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302C" w14:textId="77777777" w:rsidR="00731E31" w:rsidRDefault="00731E31" w:rsidP="00731E31">
      <w:pPr>
        <w:pStyle w:val="heading20"/>
      </w:pPr>
    </w:p>
    <w:p w14:paraId="33B3B518" w14:textId="77777777" w:rsidR="00731E31" w:rsidRDefault="00731E31" w:rsidP="00731E31">
      <w:pPr>
        <w:pStyle w:val="heading20"/>
      </w:pPr>
    </w:p>
    <w:p w14:paraId="10371A8A" w14:textId="77777777" w:rsidR="00731E31" w:rsidRDefault="00731E31" w:rsidP="00731E31">
      <w:pPr>
        <w:pStyle w:val="heading20"/>
      </w:pPr>
    </w:p>
    <w:p w14:paraId="2D01C8D2" w14:textId="77777777" w:rsidR="00731E31" w:rsidRDefault="00731E31" w:rsidP="00731E31">
      <w:pPr>
        <w:pStyle w:val="heading20"/>
      </w:pPr>
    </w:p>
    <w:p w14:paraId="3881EBF8" w14:textId="71CE7F93" w:rsidR="00731E31" w:rsidRPr="00FF0815" w:rsidRDefault="00731E31" w:rsidP="00731E31">
      <w:pPr>
        <w:pStyle w:val="heading20"/>
        <w:rPr>
          <w:lang w:val="fr-FR"/>
        </w:rPr>
      </w:pPr>
      <w:r w:rsidRPr="00731E31">
        <w:rPr>
          <w:sz w:val="28"/>
          <w:szCs w:val="28"/>
          <w:lang w:val="fr-CH"/>
        </w:rPr>
        <w:t>Texte des projets de directive formant le Guide de l’application à titre provisoire des traités et des commentaires y relatifs</w:t>
      </w:r>
      <w:r>
        <w:rPr>
          <w:sz w:val="28"/>
          <w:szCs w:val="28"/>
          <w:lang w:val="fr-FR"/>
        </w:rPr>
        <w:br/>
      </w:r>
      <w:r>
        <w:rPr>
          <w:lang w:val="fr-FR"/>
        </w:rPr>
        <w:t>2021</w:t>
      </w:r>
    </w:p>
    <w:p w14:paraId="6B464E1A" w14:textId="77777777" w:rsidR="00731E31" w:rsidRPr="00FF0815" w:rsidRDefault="00731E31" w:rsidP="00731E31">
      <w:pPr>
        <w:pStyle w:val="heading20"/>
        <w:tabs>
          <w:tab w:val="left" w:pos="4860"/>
        </w:tabs>
        <w:jc w:val="left"/>
        <w:rPr>
          <w:lang w:val="fr-FR"/>
        </w:rPr>
      </w:pPr>
    </w:p>
    <w:p w14:paraId="032F2074" w14:textId="77777777" w:rsidR="00731E31" w:rsidRPr="00FF0815" w:rsidRDefault="00731E31" w:rsidP="00731E31">
      <w:pPr>
        <w:pStyle w:val="heading20"/>
        <w:rPr>
          <w:lang w:val="fr-FR"/>
        </w:rPr>
      </w:pPr>
      <w:r>
        <w:rPr>
          <w:noProof/>
        </w:rPr>
        <mc:AlternateContent>
          <mc:Choice Requires="wpc">
            <w:drawing>
              <wp:inline distT="0" distB="0" distL="0" distR="0" wp14:anchorId="0FF4A03B" wp14:editId="1A012058">
                <wp:extent cx="5486400" cy="20574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321300" y="571212"/>
                            <a:ext cx="4800600" cy="914976"/>
                          </a:xfrm>
                          <a:prstGeom prst="rect">
                            <a:avLst/>
                          </a:prstGeom>
                          <a:solidFill>
                            <a:srgbClr val="FFFFFF"/>
                          </a:solidFill>
                          <a:ln w="9525">
                            <a:solidFill>
                              <a:srgbClr val="000000"/>
                            </a:solidFill>
                            <a:miter lim="800000"/>
                            <a:headEnd/>
                            <a:tailEnd/>
                          </a:ln>
                        </wps:spPr>
                        <wps:txbx>
                          <w:txbxContent>
                            <w:p w14:paraId="27A1B8CC" w14:textId="544B2157" w:rsidR="00731E31" w:rsidRPr="00FF0815" w:rsidRDefault="00731E31" w:rsidP="00731E31">
                              <w:pPr>
                                <w:rPr>
                                  <w:lang w:val="fr-FR"/>
                                </w:rPr>
                              </w:pPr>
                              <w:r w:rsidRPr="00FF0815">
                                <w:rPr>
                                  <w:lang w:val="fr-FR"/>
                                </w:rPr>
                                <w:t xml:space="preserve">Texte adopté par la Commission du droit international à sa </w:t>
                              </w:r>
                              <w:proofErr w:type="spellStart"/>
                              <w:r>
                                <w:rPr>
                                  <w:lang w:val="fr-FR"/>
                                </w:rPr>
                                <w:t>s</w:t>
                              </w:r>
                              <w:r w:rsidRPr="001E5119">
                                <w:rPr>
                                  <w:lang w:val="fr-FR"/>
                                </w:rPr>
                                <w:t>oixante-douzième</w:t>
                              </w:r>
                              <w:proofErr w:type="spellEnd"/>
                              <w:r w:rsidRPr="00183FA8">
                                <w:rPr>
                                  <w:bCs/>
                                  <w:lang w:val="fr-FR"/>
                                </w:rPr>
                                <w:t xml:space="preserve"> </w:t>
                              </w:r>
                              <w:r w:rsidRPr="003D661A">
                                <w:rPr>
                                  <w:bCs/>
                                  <w:lang w:val="fr-FR"/>
                                </w:rPr>
                                <w:t>session</w:t>
                              </w:r>
                              <w:r w:rsidRPr="00FF0815">
                                <w:rPr>
                                  <w:lang w:val="fr-FR"/>
                                </w:rPr>
                                <w:t>, en 20</w:t>
                              </w:r>
                              <w:r>
                                <w:rPr>
                                  <w:lang w:val="fr-FR"/>
                                </w:rPr>
                                <w:t>21</w:t>
                              </w:r>
                              <w:r w:rsidRPr="00FF0815">
                                <w:rPr>
                                  <w:lang w:val="fr-FR"/>
                                </w:rPr>
                                <w:t>, et soumis à l’Assemblée générale dans le cadre de son rapport sur les</w:t>
                              </w:r>
                              <w:r>
                                <w:rPr>
                                  <w:lang w:val="fr-FR"/>
                                </w:rPr>
                                <w:t xml:space="preserve"> </w:t>
                              </w:r>
                              <w:r w:rsidRPr="00FF0815">
                                <w:rPr>
                                  <w:lang w:val="fr-FR"/>
                                </w:rPr>
                                <w:t>travaux de ladite session (A/</w:t>
                              </w:r>
                              <w:r>
                                <w:rPr>
                                  <w:lang w:val="fr-FR"/>
                                </w:rPr>
                                <w:t>76</w:t>
                              </w:r>
                              <w:r w:rsidRPr="00FF0815">
                                <w:rPr>
                                  <w:lang w:val="fr-FR"/>
                                </w:rPr>
                                <w:t>/10). Le rapport, qui contient également des</w:t>
                              </w:r>
                              <w:r>
                                <w:rPr>
                                  <w:lang w:val="fr-FR"/>
                                </w:rPr>
                                <w:t xml:space="preserve"> </w:t>
                              </w:r>
                              <w:r w:rsidRPr="00FF0815">
                                <w:rPr>
                                  <w:lang w:val="fr-FR"/>
                                </w:rPr>
                                <w:t>commentaires sur le projet d’articles</w:t>
                              </w:r>
                              <w:r>
                                <w:rPr>
                                  <w:lang w:val="fr-FR"/>
                                </w:rPr>
                                <w:t xml:space="preserve"> (para. </w:t>
                              </w:r>
                              <w:r>
                                <w:rPr>
                                  <w:lang w:val="fr-FR"/>
                                </w:rPr>
                                <w:t>52</w:t>
                              </w:r>
                              <w:r>
                                <w:rPr>
                                  <w:lang w:val="fr-FR"/>
                                </w:rPr>
                                <w:t>)</w:t>
                              </w:r>
                              <w:r w:rsidRPr="00FF0815">
                                <w:rPr>
                                  <w:lang w:val="fr-FR"/>
                                </w:rPr>
                                <w:t>, sera reproduit dans l’</w:t>
                              </w:r>
                              <w:r w:rsidRPr="00FF0815">
                                <w:rPr>
                                  <w:i/>
                                  <w:iCs/>
                                  <w:lang w:val="fr-FR"/>
                                </w:rPr>
                                <w:t>Annuaire de la Commission</w:t>
                              </w:r>
                              <w:r>
                                <w:rPr>
                                  <w:i/>
                                  <w:iCs/>
                                  <w:lang w:val="fr-FR"/>
                                </w:rPr>
                                <w:t xml:space="preserve"> du droit international, 2021</w:t>
                              </w:r>
                              <w:r w:rsidRPr="00FF0815">
                                <w:rPr>
                                  <w:i/>
                                  <w:iCs/>
                                  <w:lang w:val="fr-FR"/>
                                </w:rPr>
                                <w:t xml:space="preserve">, </w:t>
                              </w:r>
                              <w:r w:rsidRPr="00FF0815">
                                <w:rPr>
                                  <w:lang w:val="fr-FR"/>
                                </w:rPr>
                                <w:t xml:space="preserve">vol. </w:t>
                              </w:r>
                              <w:proofErr w:type="gramStart"/>
                              <w:r w:rsidRPr="00FF0815">
                                <w:rPr>
                                  <w:lang w:val="fr-FR"/>
                                </w:rPr>
                                <w:t>II(</w:t>
                              </w:r>
                              <w:proofErr w:type="gramEnd"/>
                              <w:r w:rsidRPr="00FF0815">
                                <w:rPr>
                                  <w:lang w:val="fr-FR"/>
                                </w:rPr>
                                <w:t>2).</w:t>
                              </w:r>
                            </w:p>
                          </w:txbxContent>
                        </wps:txbx>
                        <wps:bodyPr rot="0" vert="horz" wrap="square" lIns="91440" tIns="45720" rIns="91440" bIns="45720" anchor="t" anchorCtr="0" upright="1">
                          <a:noAutofit/>
                        </wps:bodyPr>
                      </wps:wsp>
                    </wpc:wpc>
                  </a:graphicData>
                </a:graphic>
              </wp:inline>
            </w:drawing>
          </mc:Choice>
          <mc:Fallback>
            <w:pict>
              <v:group w14:anchorId="0FF4A03B" id="Canvas 3" o:spid="_x0000_s1026" editas="canvas" style="width:6in;height:162pt;mso-position-horizontal-relative:char;mso-position-vertical-relative:line" coordsize="54864,20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213;top:5712;width:48006;height:9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27A1B8CC" w14:textId="544B2157" w:rsidR="00731E31" w:rsidRPr="00FF0815" w:rsidRDefault="00731E31" w:rsidP="00731E31">
                        <w:pPr>
                          <w:rPr>
                            <w:lang w:val="fr-FR"/>
                          </w:rPr>
                        </w:pPr>
                        <w:r w:rsidRPr="00FF0815">
                          <w:rPr>
                            <w:lang w:val="fr-FR"/>
                          </w:rPr>
                          <w:t xml:space="preserve">Texte adopté par la Commission du droit international à sa </w:t>
                        </w:r>
                        <w:proofErr w:type="spellStart"/>
                        <w:r>
                          <w:rPr>
                            <w:lang w:val="fr-FR"/>
                          </w:rPr>
                          <w:t>s</w:t>
                        </w:r>
                        <w:r w:rsidRPr="001E5119">
                          <w:rPr>
                            <w:lang w:val="fr-FR"/>
                          </w:rPr>
                          <w:t>oixante-douzième</w:t>
                        </w:r>
                        <w:proofErr w:type="spellEnd"/>
                        <w:r w:rsidRPr="00183FA8">
                          <w:rPr>
                            <w:bCs/>
                            <w:lang w:val="fr-FR"/>
                          </w:rPr>
                          <w:t xml:space="preserve"> </w:t>
                        </w:r>
                        <w:r w:rsidRPr="003D661A">
                          <w:rPr>
                            <w:bCs/>
                            <w:lang w:val="fr-FR"/>
                          </w:rPr>
                          <w:t>session</w:t>
                        </w:r>
                        <w:r w:rsidRPr="00FF0815">
                          <w:rPr>
                            <w:lang w:val="fr-FR"/>
                          </w:rPr>
                          <w:t>, en 20</w:t>
                        </w:r>
                        <w:r>
                          <w:rPr>
                            <w:lang w:val="fr-FR"/>
                          </w:rPr>
                          <w:t>21</w:t>
                        </w:r>
                        <w:r w:rsidRPr="00FF0815">
                          <w:rPr>
                            <w:lang w:val="fr-FR"/>
                          </w:rPr>
                          <w:t>, et soumis à l’Assemblée générale dans le cadre de son rapport sur les</w:t>
                        </w:r>
                        <w:r>
                          <w:rPr>
                            <w:lang w:val="fr-FR"/>
                          </w:rPr>
                          <w:t xml:space="preserve"> </w:t>
                        </w:r>
                        <w:r w:rsidRPr="00FF0815">
                          <w:rPr>
                            <w:lang w:val="fr-FR"/>
                          </w:rPr>
                          <w:t>travaux de ladite session (A/</w:t>
                        </w:r>
                        <w:r>
                          <w:rPr>
                            <w:lang w:val="fr-FR"/>
                          </w:rPr>
                          <w:t>76</w:t>
                        </w:r>
                        <w:r w:rsidRPr="00FF0815">
                          <w:rPr>
                            <w:lang w:val="fr-FR"/>
                          </w:rPr>
                          <w:t>/10). Le rapport, qui contient également des</w:t>
                        </w:r>
                        <w:r>
                          <w:rPr>
                            <w:lang w:val="fr-FR"/>
                          </w:rPr>
                          <w:t xml:space="preserve"> </w:t>
                        </w:r>
                        <w:r w:rsidRPr="00FF0815">
                          <w:rPr>
                            <w:lang w:val="fr-FR"/>
                          </w:rPr>
                          <w:t>commentaires sur le projet d’articles</w:t>
                        </w:r>
                        <w:r>
                          <w:rPr>
                            <w:lang w:val="fr-FR"/>
                          </w:rPr>
                          <w:t xml:space="preserve"> (para. </w:t>
                        </w:r>
                        <w:r>
                          <w:rPr>
                            <w:lang w:val="fr-FR"/>
                          </w:rPr>
                          <w:t>52</w:t>
                        </w:r>
                        <w:r>
                          <w:rPr>
                            <w:lang w:val="fr-FR"/>
                          </w:rPr>
                          <w:t>)</w:t>
                        </w:r>
                        <w:r w:rsidRPr="00FF0815">
                          <w:rPr>
                            <w:lang w:val="fr-FR"/>
                          </w:rPr>
                          <w:t>, sera reproduit dans l’</w:t>
                        </w:r>
                        <w:r w:rsidRPr="00FF0815">
                          <w:rPr>
                            <w:i/>
                            <w:iCs/>
                            <w:lang w:val="fr-FR"/>
                          </w:rPr>
                          <w:t>Annuaire de la Commission</w:t>
                        </w:r>
                        <w:r>
                          <w:rPr>
                            <w:i/>
                            <w:iCs/>
                            <w:lang w:val="fr-FR"/>
                          </w:rPr>
                          <w:t xml:space="preserve"> du droit international, 2021</w:t>
                        </w:r>
                        <w:r w:rsidRPr="00FF0815">
                          <w:rPr>
                            <w:i/>
                            <w:iCs/>
                            <w:lang w:val="fr-FR"/>
                          </w:rPr>
                          <w:t xml:space="preserve">, </w:t>
                        </w:r>
                        <w:r w:rsidRPr="00FF0815">
                          <w:rPr>
                            <w:lang w:val="fr-FR"/>
                          </w:rPr>
                          <w:t xml:space="preserve">vol. </w:t>
                        </w:r>
                        <w:proofErr w:type="gramStart"/>
                        <w:r w:rsidRPr="00FF0815">
                          <w:rPr>
                            <w:lang w:val="fr-FR"/>
                          </w:rPr>
                          <w:t>II(</w:t>
                        </w:r>
                        <w:proofErr w:type="gramEnd"/>
                        <w:r w:rsidRPr="00FF0815">
                          <w:rPr>
                            <w:lang w:val="fr-FR"/>
                          </w:rPr>
                          <w:t>2).</w:t>
                        </w:r>
                      </w:p>
                    </w:txbxContent>
                  </v:textbox>
                </v:shape>
                <w10:anchorlock/>
              </v:group>
            </w:pict>
          </mc:Fallback>
        </mc:AlternateContent>
      </w:r>
    </w:p>
    <w:p w14:paraId="41FCAFEC" w14:textId="77777777" w:rsidR="00731E31" w:rsidRPr="00FF0815" w:rsidRDefault="00731E31" w:rsidP="00731E31">
      <w:pPr>
        <w:pStyle w:val="heading20"/>
        <w:rPr>
          <w:lang w:val="fr-FR"/>
        </w:rPr>
      </w:pPr>
    </w:p>
    <w:p w14:paraId="15F5C9E7" w14:textId="77777777" w:rsidR="00731E31" w:rsidRPr="00FF0815" w:rsidRDefault="00731E31" w:rsidP="00731E31">
      <w:pPr>
        <w:suppressAutoHyphens w:val="0"/>
        <w:jc w:val="center"/>
        <w:rPr>
          <w:sz w:val="16"/>
          <w:szCs w:val="16"/>
          <w:lang w:val="fr-FR"/>
        </w:rPr>
      </w:pPr>
    </w:p>
    <w:p w14:paraId="114F733F" w14:textId="77777777" w:rsidR="00731E31" w:rsidRPr="00FF0815" w:rsidRDefault="00731E31" w:rsidP="00731E31">
      <w:pPr>
        <w:suppressAutoHyphens w:val="0"/>
        <w:jc w:val="center"/>
        <w:rPr>
          <w:sz w:val="16"/>
          <w:szCs w:val="16"/>
          <w:lang w:val="fr-FR"/>
        </w:rPr>
      </w:pPr>
    </w:p>
    <w:p w14:paraId="3004E093" w14:textId="77777777" w:rsidR="00731E31" w:rsidRPr="00FF0815" w:rsidRDefault="00731E31" w:rsidP="00731E31">
      <w:pPr>
        <w:suppressAutoHyphens w:val="0"/>
        <w:jc w:val="center"/>
        <w:rPr>
          <w:sz w:val="16"/>
          <w:szCs w:val="16"/>
          <w:lang w:val="fr-FR"/>
        </w:rPr>
      </w:pPr>
    </w:p>
    <w:p w14:paraId="46283314" w14:textId="77777777" w:rsidR="00731E31" w:rsidRPr="00FF0815" w:rsidRDefault="00731E31" w:rsidP="00731E31">
      <w:pPr>
        <w:suppressAutoHyphens w:val="0"/>
        <w:jc w:val="center"/>
        <w:rPr>
          <w:sz w:val="16"/>
          <w:szCs w:val="16"/>
          <w:lang w:val="fr-FR"/>
        </w:rPr>
      </w:pPr>
    </w:p>
    <w:p w14:paraId="0F3C71A4" w14:textId="77777777" w:rsidR="00731E31" w:rsidRPr="00FF0815" w:rsidRDefault="00731E31" w:rsidP="00731E31">
      <w:pPr>
        <w:suppressAutoHyphens w:val="0"/>
        <w:jc w:val="center"/>
        <w:rPr>
          <w:sz w:val="16"/>
          <w:szCs w:val="16"/>
          <w:lang w:val="fr-FR"/>
        </w:rPr>
      </w:pPr>
    </w:p>
    <w:p w14:paraId="1CE05F38" w14:textId="77777777" w:rsidR="00731E31" w:rsidRPr="00FF0815" w:rsidRDefault="00731E31" w:rsidP="00731E31">
      <w:pPr>
        <w:suppressAutoHyphens w:val="0"/>
        <w:jc w:val="center"/>
        <w:rPr>
          <w:sz w:val="16"/>
          <w:szCs w:val="16"/>
          <w:lang w:val="fr-FR"/>
        </w:rPr>
      </w:pPr>
    </w:p>
    <w:p w14:paraId="66B1BB7C" w14:textId="77777777" w:rsidR="00731E31" w:rsidRPr="00FF0815" w:rsidRDefault="00731E31" w:rsidP="00731E31">
      <w:pPr>
        <w:suppressAutoHyphens w:val="0"/>
        <w:jc w:val="center"/>
        <w:rPr>
          <w:sz w:val="16"/>
          <w:szCs w:val="16"/>
          <w:lang w:val="fr-FR"/>
        </w:rPr>
      </w:pPr>
    </w:p>
    <w:p w14:paraId="4B728393" w14:textId="77777777" w:rsidR="00731E31" w:rsidRPr="00FF0815" w:rsidRDefault="00731E31" w:rsidP="00731E31">
      <w:pPr>
        <w:suppressAutoHyphens w:val="0"/>
        <w:jc w:val="center"/>
        <w:rPr>
          <w:sz w:val="16"/>
          <w:szCs w:val="16"/>
          <w:lang w:val="fr-FR"/>
        </w:rPr>
      </w:pPr>
    </w:p>
    <w:p w14:paraId="032E7E17" w14:textId="77777777" w:rsidR="00731E31" w:rsidRPr="00FF0815" w:rsidRDefault="00731E31" w:rsidP="00731E31">
      <w:pPr>
        <w:suppressAutoHyphens w:val="0"/>
        <w:jc w:val="center"/>
        <w:rPr>
          <w:sz w:val="16"/>
          <w:szCs w:val="16"/>
          <w:lang w:val="fr-FR"/>
        </w:rPr>
      </w:pPr>
    </w:p>
    <w:p w14:paraId="29A7EA1C" w14:textId="77777777" w:rsidR="00731E31" w:rsidRPr="00FF0815" w:rsidRDefault="00731E31" w:rsidP="00731E31">
      <w:pPr>
        <w:suppressAutoHyphens w:val="0"/>
        <w:jc w:val="center"/>
        <w:rPr>
          <w:sz w:val="16"/>
          <w:szCs w:val="16"/>
          <w:lang w:val="fr-FR"/>
        </w:rPr>
      </w:pPr>
    </w:p>
    <w:p w14:paraId="29CCFF07" w14:textId="77777777" w:rsidR="00731E31" w:rsidRPr="00FF0815" w:rsidRDefault="00731E31" w:rsidP="00731E31">
      <w:pPr>
        <w:suppressAutoHyphens w:val="0"/>
        <w:jc w:val="center"/>
        <w:rPr>
          <w:sz w:val="16"/>
          <w:szCs w:val="16"/>
          <w:lang w:val="fr-FR"/>
        </w:rPr>
      </w:pPr>
    </w:p>
    <w:p w14:paraId="38608BA1" w14:textId="77777777" w:rsidR="00731E31" w:rsidRPr="00FF0815" w:rsidRDefault="00731E31" w:rsidP="00731E31">
      <w:pPr>
        <w:suppressAutoHyphens w:val="0"/>
        <w:jc w:val="center"/>
        <w:rPr>
          <w:sz w:val="16"/>
          <w:szCs w:val="16"/>
          <w:lang w:val="fr-FR"/>
        </w:rPr>
      </w:pPr>
    </w:p>
    <w:p w14:paraId="6AD98264" w14:textId="77777777" w:rsidR="00731E31" w:rsidRPr="00FF0815" w:rsidRDefault="00731E31" w:rsidP="00731E31">
      <w:pPr>
        <w:suppressAutoHyphens w:val="0"/>
        <w:jc w:val="center"/>
        <w:rPr>
          <w:sz w:val="16"/>
          <w:szCs w:val="16"/>
          <w:lang w:val="fr-FR"/>
        </w:rPr>
      </w:pPr>
    </w:p>
    <w:p w14:paraId="356C2D8A" w14:textId="77777777" w:rsidR="00731E31" w:rsidRPr="00FF0815" w:rsidRDefault="00731E31" w:rsidP="00731E31">
      <w:pPr>
        <w:suppressAutoHyphens w:val="0"/>
        <w:jc w:val="center"/>
        <w:rPr>
          <w:sz w:val="16"/>
          <w:szCs w:val="16"/>
          <w:lang w:val="fr-FR"/>
        </w:rPr>
      </w:pPr>
    </w:p>
    <w:p w14:paraId="121BE0AD" w14:textId="77777777" w:rsidR="00731E31" w:rsidRPr="00FF0815" w:rsidRDefault="00731E31" w:rsidP="00731E31">
      <w:pPr>
        <w:suppressAutoHyphens w:val="0"/>
        <w:jc w:val="center"/>
        <w:rPr>
          <w:sz w:val="16"/>
          <w:szCs w:val="16"/>
          <w:lang w:val="fr-FR"/>
        </w:rPr>
      </w:pPr>
    </w:p>
    <w:p w14:paraId="528702A5" w14:textId="77777777" w:rsidR="00731E31" w:rsidRPr="00FF0815" w:rsidRDefault="00731E31" w:rsidP="00731E31">
      <w:pPr>
        <w:suppressAutoHyphens w:val="0"/>
        <w:jc w:val="center"/>
        <w:rPr>
          <w:sz w:val="16"/>
          <w:szCs w:val="16"/>
          <w:lang w:val="fr-FR"/>
        </w:rPr>
      </w:pPr>
    </w:p>
    <w:p w14:paraId="78605017" w14:textId="77777777" w:rsidR="00731E31" w:rsidRPr="00FF0815" w:rsidRDefault="00731E31" w:rsidP="00731E31">
      <w:pPr>
        <w:suppressAutoHyphens w:val="0"/>
        <w:jc w:val="center"/>
        <w:rPr>
          <w:sz w:val="16"/>
          <w:szCs w:val="16"/>
          <w:lang w:val="fr-FR"/>
        </w:rPr>
      </w:pPr>
    </w:p>
    <w:p w14:paraId="21ED84E2" w14:textId="77777777" w:rsidR="00731E31" w:rsidRPr="00FF0815" w:rsidRDefault="00731E31" w:rsidP="00731E31">
      <w:pPr>
        <w:suppressAutoHyphens w:val="0"/>
        <w:jc w:val="center"/>
        <w:rPr>
          <w:sz w:val="16"/>
          <w:szCs w:val="16"/>
          <w:lang w:val="fr-FR"/>
        </w:rPr>
      </w:pPr>
    </w:p>
    <w:p w14:paraId="300F95C3" w14:textId="77777777" w:rsidR="00731E31" w:rsidRPr="00FF0815" w:rsidRDefault="00731E31" w:rsidP="00731E31">
      <w:pPr>
        <w:suppressAutoHyphens w:val="0"/>
        <w:jc w:val="center"/>
        <w:rPr>
          <w:sz w:val="16"/>
          <w:szCs w:val="16"/>
          <w:lang w:val="fr-FR"/>
        </w:rPr>
      </w:pPr>
    </w:p>
    <w:p w14:paraId="60F13480" w14:textId="77777777" w:rsidR="00731E31" w:rsidRPr="00FF0815" w:rsidRDefault="00731E31" w:rsidP="00731E31">
      <w:pPr>
        <w:suppressAutoHyphens w:val="0"/>
        <w:jc w:val="center"/>
        <w:rPr>
          <w:sz w:val="16"/>
          <w:szCs w:val="16"/>
          <w:lang w:val="fr-FR"/>
        </w:rPr>
      </w:pPr>
      <w:r w:rsidRPr="0068649C">
        <w:rPr>
          <w:noProof/>
          <w:sz w:val="16"/>
          <w:szCs w:val="16"/>
          <w:lang w:val="en-US"/>
        </w:rPr>
        <w:drawing>
          <wp:inline distT="0" distB="0" distL="0" distR="0" wp14:anchorId="29457510" wp14:editId="68A8B5EF">
            <wp:extent cx="732155" cy="657225"/>
            <wp:effectExtent l="0" t="0" r="0" b="0"/>
            <wp:docPr id="2" name="Picture 2"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155" cy="657225"/>
                    </a:xfrm>
                    <a:prstGeom prst="rect">
                      <a:avLst/>
                    </a:prstGeom>
                    <a:noFill/>
                    <a:ln>
                      <a:noFill/>
                    </a:ln>
                  </pic:spPr>
                </pic:pic>
              </a:graphicData>
            </a:graphic>
          </wp:inline>
        </w:drawing>
      </w:r>
    </w:p>
    <w:p w14:paraId="20780A76" w14:textId="77777777" w:rsidR="00731E31" w:rsidRPr="00FF0815" w:rsidRDefault="00731E31" w:rsidP="00731E31">
      <w:pPr>
        <w:suppressAutoHyphens w:val="0"/>
        <w:rPr>
          <w:sz w:val="16"/>
          <w:szCs w:val="16"/>
          <w:lang w:val="fr-FR"/>
        </w:rPr>
      </w:pPr>
    </w:p>
    <w:p w14:paraId="3836234A" w14:textId="77777777" w:rsidR="00731E31" w:rsidRDefault="00731E31" w:rsidP="00731E31">
      <w:pPr>
        <w:pStyle w:val="heading20"/>
        <w:rPr>
          <w:b w:val="0"/>
          <w:sz w:val="16"/>
          <w:szCs w:val="16"/>
          <w:lang w:val="fr-FR"/>
        </w:rPr>
      </w:pPr>
      <w:r w:rsidRPr="00FF0815">
        <w:rPr>
          <w:b w:val="0"/>
          <w:w w:val="100"/>
          <w:kern w:val="0"/>
          <w:sz w:val="16"/>
          <w:szCs w:val="16"/>
          <w:lang w:val="fr-FR" w:eastAsia="en-US"/>
        </w:rPr>
        <w:t>Copyright © Nations Unies</w:t>
      </w:r>
      <w:r>
        <w:rPr>
          <w:b w:val="0"/>
          <w:sz w:val="16"/>
          <w:szCs w:val="16"/>
          <w:lang w:val="fr-FR"/>
        </w:rPr>
        <w:br/>
        <w:t>2021</w:t>
      </w:r>
    </w:p>
    <w:p w14:paraId="621A896A" w14:textId="77777777" w:rsidR="00731E31" w:rsidRDefault="00731E31">
      <w:pPr>
        <w:suppressAutoHyphens w:val="0"/>
        <w:kinsoku/>
        <w:overflowPunct/>
        <w:autoSpaceDE/>
        <w:autoSpaceDN/>
        <w:adjustRightInd/>
        <w:snapToGrid/>
        <w:spacing w:line="240" w:lineRule="auto"/>
        <w:rPr>
          <w:lang w:val="fr-CA"/>
        </w:rPr>
      </w:pPr>
    </w:p>
    <w:p w14:paraId="612CE5A6" w14:textId="2F16A311" w:rsidR="00731E31" w:rsidRDefault="00731E31">
      <w:pPr>
        <w:suppressAutoHyphens w:val="0"/>
        <w:kinsoku/>
        <w:overflowPunct/>
        <w:autoSpaceDE/>
        <w:autoSpaceDN/>
        <w:adjustRightInd/>
        <w:snapToGrid/>
        <w:spacing w:line="240" w:lineRule="auto"/>
        <w:rPr>
          <w:b/>
          <w:lang w:val="fr-CA"/>
        </w:rPr>
      </w:pPr>
      <w:r>
        <w:rPr>
          <w:lang w:val="fr-CA"/>
        </w:rPr>
        <w:br w:type="page"/>
      </w:r>
    </w:p>
    <w:p w14:paraId="35AE5B7E" w14:textId="72B692DC" w:rsidR="0043175D" w:rsidRPr="000934F1" w:rsidRDefault="0043175D" w:rsidP="0043175D">
      <w:pPr>
        <w:pStyle w:val="H23G"/>
        <w:rPr>
          <w:lang w:val="fr-CA"/>
        </w:rPr>
      </w:pPr>
      <w:r w:rsidRPr="000934F1">
        <w:rPr>
          <w:lang w:val="fr-CA"/>
        </w:rPr>
        <w:lastRenderedPageBreak/>
        <w:tab/>
        <w:t>2</w:t>
      </w:r>
      <w:r w:rsidRPr="00F22925">
        <w:rPr>
          <w:lang w:val="fr-CA"/>
        </w:rPr>
        <w:t>.</w:t>
      </w:r>
      <w:r w:rsidRPr="000934F1">
        <w:rPr>
          <w:lang w:val="fr-CA"/>
        </w:rPr>
        <w:tab/>
      </w:r>
      <w:bookmarkStart w:id="0" w:name="_Hlk84518553"/>
      <w:r w:rsidRPr="000934F1">
        <w:rPr>
          <w:lang w:val="fr-CA"/>
        </w:rPr>
        <w:t>Texte des projets de directive formant le Guide de l</w:t>
      </w:r>
      <w:r>
        <w:rPr>
          <w:lang w:val="fr-CA"/>
        </w:rPr>
        <w:t>’</w:t>
      </w:r>
      <w:r w:rsidRPr="000934F1">
        <w:rPr>
          <w:lang w:val="fr-CA"/>
        </w:rPr>
        <w:t xml:space="preserve">application à titre provisoire </w:t>
      </w:r>
      <w:r>
        <w:rPr>
          <w:lang w:val="fr-CA"/>
        </w:rPr>
        <w:br/>
      </w:r>
      <w:r w:rsidRPr="000934F1">
        <w:rPr>
          <w:lang w:val="fr-CA"/>
        </w:rPr>
        <w:t>des traités et des commentaires y relatifs</w:t>
      </w:r>
      <w:bookmarkEnd w:id="0"/>
    </w:p>
    <w:p w14:paraId="7CF8D33A" w14:textId="77777777" w:rsidR="0043175D" w:rsidRPr="000934F1" w:rsidRDefault="0043175D" w:rsidP="0043175D">
      <w:pPr>
        <w:pStyle w:val="SingleTxtG"/>
        <w:rPr>
          <w:lang w:val="fr-CA"/>
        </w:rPr>
      </w:pPr>
      <w:r>
        <w:rPr>
          <w:lang w:val="fr-CA"/>
        </w:rPr>
        <w:t>52</w:t>
      </w:r>
      <w:r w:rsidRPr="00F22925">
        <w:rPr>
          <w:lang w:val="fr-CA"/>
        </w:rPr>
        <w:t>.</w:t>
      </w:r>
      <w:r w:rsidRPr="000934F1">
        <w:rPr>
          <w:lang w:val="fr-CA"/>
        </w:rPr>
        <w:tab/>
        <w:t xml:space="preserve">Le texte </w:t>
      </w:r>
      <w:r>
        <w:rPr>
          <w:lang w:val="fr-CA"/>
        </w:rPr>
        <w:t>des projets de directive formant le</w:t>
      </w:r>
      <w:r w:rsidRPr="000934F1">
        <w:rPr>
          <w:lang w:val="fr-CA"/>
        </w:rPr>
        <w:t xml:space="preserve"> Guide de l</w:t>
      </w:r>
      <w:r>
        <w:rPr>
          <w:lang w:val="fr-CA"/>
        </w:rPr>
        <w:t>’</w:t>
      </w:r>
      <w:r w:rsidRPr="000934F1">
        <w:rPr>
          <w:lang w:val="fr-CA"/>
        </w:rPr>
        <w:t>application à titre provisoire des traités adopté par la Commission en seconde lecture et des commentaires y relatifs est reproduit ci-après</w:t>
      </w:r>
      <w:r w:rsidRPr="00F22925">
        <w:rPr>
          <w:lang w:val="fr-CA"/>
        </w:rPr>
        <w:t>.</w:t>
      </w:r>
      <w:r w:rsidRPr="000934F1">
        <w:rPr>
          <w:lang w:val="fr-CA"/>
        </w:rPr>
        <w:t xml:space="preserve"> </w:t>
      </w:r>
    </w:p>
    <w:p w14:paraId="70CC4BD5" w14:textId="77777777" w:rsidR="0043175D" w:rsidRPr="000934F1" w:rsidRDefault="0043175D" w:rsidP="0043175D">
      <w:pPr>
        <w:pStyle w:val="H23G"/>
        <w:rPr>
          <w:lang w:val="fr-CA"/>
        </w:rPr>
      </w:pPr>
      <w:r w:rsidRPr="000934F1">
        <w:rPr>
          <w:lang w:val="fr-CA"/>
        </w:rPr>
        <w:tab/>
      </w:r>
      <w:r w:rsidRPr="000934F1">
        <w:rPr>
          <w:lang w:val="fr-CA"/>
        </w:rPr>
        <w:tab/>
        <w:t>Guide de l</w:t>
      </w:r>
      <w:r>
        <w:rPr>
          <w:lang w:val="fr-CA"/>
        </w:rPr>
        <w:t>’</w:t>
      </w:r>
      <w:r w:rsidRPr="000934F1">
        <w:rPr>
          <w:lang w:val="fr-CA"/>
        </w:rPr>
        <w:t>application à titre provisoire des traités</w:t>
      </w:r>
    </w:p>
    <w:p w14:paraId="68861CA4" w14:textId="77777777" w:rsidR="0043175D" w:rsidRPr="000934F1" w:rsidRDefault="0043175D" w:rsidP="0043175D">
      <w:pPr>
        <w:pStyle w:val="H23G"/>
        <w:rPr>
          <w:lang w:val="fr-CA"/>
        </w:rPr>
      </w:pPr>
      <w:r w:rsidRPr="000934F1">
        <w:rPr>
          <w:lang w:val="fr-CA"/>
        </w:rPr>
        <w:tab/>
      </w:r>
      <w:r w:rsidRPr="000934F1">
        <w:rPr>
          <w:lang w:val="fr-CA"/>
        </w:rPr>
        <w:tab/>
        <w:t>Commentaire général</w:t>
      </w:r>
    </w:p>
    <w:p w14:paraId="7C05BFED" w14:textId="77777777" w:rsidR="0043175D" w:rsidRPr="000934F1" w:rsidRDefault="0043175D" w:rsidP="0043175D">
      <w:pPr>
        <w:pStyle w:val="SingleTxtG"/>
        <w:rPr>
          <w:lang w:val="fr-CA"/>
        </w:rPr>
      </w:pPr>
      <w:r w:rsidRPr="000934F1">
        <w:rPr>
          <w:lang w:val="fr-CA"/>
        </w:rPr>
        <w:t>1)</w:t>
      </w:r>
      <w:r w:rsidRPr="000934F1">
        <w:rPr>
          <w:lang w:val="fr-CA"/>
        </w:rPr>
        <w:tab/>
        <w:t>L</w:t>
      </w:r>
      <w:r>
        <w:rPr>
          <w:lang w:val="fr-CA"/>
        </w:rPr>
        <w:t>’</w:t>
      </w:r>
      <w:r w:rsidRPr="000934F1">
        <w:rPr>
          <w:lang w:val="fr-CA"/>
        </w:rPr>
        <w:t>objet du Guide de l</w:t>
      </w:r>
      <w:r>
        <w:rPr>
          <w:lang w:val="fr-CA"/>
        </w:rPr>
        <w:t>’</w:t>
      </w:r>
      <w:r w:rsidRPr="000934F1">
        <w:rPr>
          <w:lang w:val="fr-CA"/>
        </w:rPr>
        <w:t>application à titre provisoire des traités est de fournir une aide aux États, aux organisations internationales et aux autres utilisateurs en ce qui concerne le droit et la pratique relatifs à l</w:t>
      </w:r>
      <w:r>
        <w:rPr>
          <w:lang w:val="fr-CA"/>
        </w:rPr>
        <w:t>’</w:t>
      </w:r>
      <w:r w:rsidRPr="000934F1">
        <w:rPr>
          <w:lang w:val="fr-CA"/>
        </w:rPr>
        <w:t>application à titre provisoire des traités</w:t>
      </w:r>
      <w:r w:rsidRPr="00F22925">
        <w:rPr>
          <w:lang w:val="fr-CA"/>
        </w:rPr>
        <w:t>.</w:t>
      </w:r>
      <w:r w:rsidRPr="000934F1">
        <w:rPr>
          <w:lang w:val="fr-CA"/>
        </w:rPr>
        <w:t xml:space="preserve"> Les États, les organisations internationales et les autres utilisateurs peuvent rencontrer des difficultés concernant, notamment, la forme que revêt l</w:t>
      </w:r>
      <w:r>
        <w:rPr>
          <w:lang w:val="fr-CA"/>
        </w:rPr>
        <w:t>’</w:t>
      </w:r>
      <w:r w:rsidRPr="000934F1">
        <w:rPr>
          <w:lang w:val="fr-CA"/>
        </w:rPr>
        <w:t>accord relatif à l</w:t>
      </w:r>
      <w:r>
        <w:rPr>
          <w:lang w:val="fr-CA"/>
        </w:rPr>
        <w:t>’</w:t>
      </w:r>
      <w:r w:rsidRPr="000934F1">
        <w:rPr>
          <w:lang w:val="fr-CA"/>
        </w:rPr>
        <w:t>application à titre provisoire d</w:t>
      </w:r>
      <w:r>
        <w:rPr>
          <w:lang w:val="fr-CA"/>
        </w:rPr>
        <w:t>’</w:t>
      </w:r>
      <w:r w:rsidRPr="000934F1">
        <w:rPr>
          <w:lang w:val="fr-CA"/>
        </w:rPr>
        <w:t>un traité ou d</w:t>
      </w:r>
      <w:r>
        <w:rPr>
          <w:lang w:val="fr-CA"/>
        </w:rPr>
        <w:t>’</w:t>
      </w:r>
      <w:r w:rsidRPr="000934F1">
        <w:rPr>
          <w:lang w:val="fr-CA"/>
        </w:rPr>
        <w:t>une partie d</w:t>
      </w:r>
      <w:r>
        <w:rPr>
          <w:lang w:val="fr-CA"/>
        </w:rPr>
        <w:t>’</w:t>
      </w:r>
      <w:r w:rsidRPr="000934F1">
        <w:rPr>
          <w:lang w:val="fr-CA"/>
        </w:rPr>
        <w:t>un traité, la prise d</w:t>
      </w:r>
      <w:r>
        <w:rPr>
          <w:lang w:val="fr-CA"/>
        </w:rPr>
        <w:t>’</w:t>
      </w:r>
      <w:r w:rsidRPr="000934F1">
        <w:rPr>
          <w:lang w:val="fr-CA"/>
        </w:rPr>
        <w:t>effet et la cessation de l</w:t>
      </w:r>
      <w:r>
        <w:rPr>
          <w:lang w:val="fr-CA"/>
        </w:rPr>
        <w:t>’</w:t>
      </w:r>
      <w:r w:rsidRPr="000934F1">
        <w:rPr>
          <w:lang w:val="fr-CA"/>
        </w:rPr>
        <w:t>application provisoire et les effets juridiques de celle-ci</w:t>
      </w:r>
      <w:r w:rsidRPr="00F22925">
        <w:rPr>
          <w:lang w:val="fr-CA"/>
        </w:rPr>
        <w:t>.</w:t>
      </w:r>
      <w:r w:rsidRPr="000934F1">
        <w:rPr>
          <w:lang w:val="fr-CA"/>
        </w:rPr>
        <w:t xml:space="preserve"> Le Guide de l</w:t>
      </w:r>
      <w:r>
        <w:rPr>
          <w:lang w:val="fr-CA"/>
        </w:rPr>
        <w:t>’</w:t>
      </w:r>
      <w:r w:rsidRPr="000934F1">
        <w:rPr>
          <w:lang w:val="fr-CA"/>
        </w:rPr>
        <w:t xml:space="preserve">application à titre provisoire des traités </w:t>
      </w:r>
      <w:r>
        <w:rPr>
          <w:lang w:val="fr-CA"/>
        </w:rPr>
        <w:t xml:space="preserve">vient </w:t>
      </w:r>
      <w:r w:rsidRPr="000934F1">
        <w:rPr>
          <w:lang w:val="fr-CA"/>
        </w:rPr>
        <w:t>les orienter vers des réponses conformes aux règles en vigueur ou vers les solutions qui semblent les plus adaptées à la pratique contemporaine</w:t>
      </w:r>
      <w:r w:rsidRPr="00F22925">
        <w:rPr>
          <w:lang w:val="fr-CA"/>
        </w:rPr>
        <w:t>.</w:t>
      </w:r>
      <w:r w:rsidRPr="000934F1">
        <w:rPr>
          <w:lang w:val="fr-CA"/>
        </w:rPr>
        <w:t xml:space="preserve"> </w:t>
      </w:r>
      <w:r w:rsidRPr="00F4061C">
        <w:rPr>
          <w:lang w:val="fr-CA"/>
        </w:rPr>
        <w:t>Comme c</w:t>
      </w:r>
      <w:r>
        <w:rPr>
          <w:lang w:val="fr-CA"/>
        </w:rPr>
        <w:t>’</w:t>
      </w:r>
      <w:r w:rsidRPr="00F4061C">
        <w:rPr>
          <w:lang w:val="fr-CA"/>
        </w:rPr>
        <w:t>est toujours le cas pour les résultats des travaux de la Commission, les projets d</w:t>
      </w:r>
      <w:r>
        <w:rPr>
          <w:lang w:val="fr-CA"/>
        </w:rPr>
        <w:t xml:space="preserve">e directive </w:t>
      </w:r>
      <w:r w:rsidRPr="00F4061C">
        <w:rPr>
          <w:lang w:val="fr-CA"/>
        </w:rPr>
        <w:t>doivent être lus conjointement avec les commentaires</w:t>
      </w:r>
      <w:r>
        <w:rPr>
          <w:lang w:val="fr-CA"/>
        </w:rPr>
        <w:t>.</w:t>
      </w:r>
    </w:p>
    <w:p w14:paraId="797F6983" w14:textId="77777777" w:rsidR="00CC5620" w:rsidRDefault="0043175D" w:rsidP="0043175D">
      <w:pPr>
        <w:pStyle w:val="SingleTxtG"/>
        <w:rPr>
          <w:lang w:val="fr-CA"/>
        </w:rPr>
        <w:sectPr w:rsidR="00CC5620" w:rsidSect="00610EC5">
          <w:pgSz w:w="12240" w:h="15840"/>
          <w:pgMar w:top="1440" w:right="1440" w:bottom="1440" w:left="1440" w:header="720" w:footer="720" w:gutter="0"/>
          <w:cols w:space="720"/>
          <w:docGrid w:linePitch="360"/>
        </w:sectPr>
      </w:pPr>
      <w:r w:rsidRPr="000934F1">
        <w:rPr>
          <w:lang w:val="fr-CA"/>
        </w:rPr>
        <w:t>2)</w:t>
      </w:r>
      <w:r w:rsidRPr="000934F1">
        <w:rPr>
          <w:lang w:val="fr-CA"/>
        </w:rPr>
        <w:tab/>
        <w:t>L</w:t>
      </w:r>
      <w:r>
        <w:rPr>
          <w:lang w:val="fr-CA"/>
        </w:rPr>
        <w:t>’</w:t>
      </w:r>
      <w:r w:rsidRPr="000934F1">
        <w:rPr>
          <w:lang w:val="fr-CA"/>
        </w:rPr>
        <w:t>application à titre provisoire est un mécanisme dont disposent les États et les organisations internationales pour donner effet à tout ou partie des dispositions d</w:t>
      </w:r>
      <w:r>
        <w:rPr>
          <w:lang w:val="fr-CA"/>
        </w:rPr>
        <w:t>’</w:t>
      </w:r>
      <w:r w:rsidRPr="000934F1">
        <w:rPr>
          <w:lang w:val="fr-CA"/>
        </w:rPr>
        <w:t>un traité immédiatement, avant l</w:t>
      </w:r>
      <w:r>
        <w:rPr>
          <w:lang w:val="fr-CA"/>
        </w:rPr>
        <w:t>’</w:t>
      </w:r>
      <w:r w:rsidRPr="000934F1">
        <w:rPr>
          <w:lang w:val="fr-CA"/>
        </w:rPr>
        <w:t>accomplissement des modalités internes et internationales nécessaires à l</w:t>
      </w:r>
      <w:r>
        <w:rPr>
          <w:lang w:val="fr-CA"/>
        </w:rPr>
        <w:t>’</w:t>
      </w:r>
      <w:r w:rsidRPr="000934F1">
        <w:rPr>
          <w:lang w:val="fr-CA"/>
        </w:rPr>
        <w:t>entrée en vigueur de l</w:t>
      </w:r>
      <w:r>
        <w:rPr>
          <w:lang w:val="fr-CA"/>
        </w:rPr>
        <w:t>’</w:t>
      </w:r>
      <w:r w:rsidRPr="000934F1">
        <w:rPr>
          <w:lang w:val="fr-CA"/>
        </w:rPr>
        <w:t>instrument</w:t>
      </w:r>
      <w:bookmarkStart w:id="1" w:name="_Ref76972961"/>
    </w:p>
    <w:p w14:paraId="03A0ED13" w14:textId="454815F6" w:rsidR="0043175D" w:rsidRPr="000934F1" w:rsidRDefault="0043175D" w:rsidP="0043175D">
      <w:pPr>
        <w:pStyle w:val="SingleTxtG"/>
        <w:rPr>
          <w:lang w:val="fr-CA"/>
        </w:rPr>
      </w:pPr>
      <w:r w:rsidRPr="00F22830">
        <w:rPr>
          <w:rStyle w:val="FootnoteReference"/>
        </w:rPr>
        <w:footnoteReference w:id="1"/>
      </w:r>
      <w:bookmarkEnd w:id="1"/>
      <w:r w:rsidRPr="00F22925">
        <w:rPr>
          <w:lang w:val="fr-CA"/>
        </w:rPr>
        <w:t>.</w:t>
      </w:r>
      <w:r w:rsidRPr="000934F1">
        <w:rPr>
          <w:lang w:val="fr-CA"/>
        </w:rPr>
        <w:t xml:space="preserve"> L</w:t>
      </w:r>
      <w:r>
        <w:rPr>
          <w:lang w:val="fr-CA"/>
        </w:rPr>
        <w:t>’</w:t>
      </w:r>
      <w:r w:rsidRPr="000934F1">
        <w:rPr>
          <w:lang w:val="fr-CA"/>
        </w:rPr>
        <w:t xml:space="preserve">application à titre provisoire a une </w:t>
      </w:r>
      <w:proofErr w:type="gramStart"/>
      <w:r w:rsidRPr="000934F1">
        <w:rPr>
          <w:lang w:val="fr-CA"/>
        </w:rPr>
        <w:t>finalité</w:t>
      </w:r>
      <w:proofErr w:type="gramEnd"/>
      <w:r w:rsidRPr="000934F1">
        <w:rPr>
          <w:lang w:val="fr-CA"/>
        </w:rPr>
        <w:t xml:space="preserve"> pratique qui la rend utile, lorsque le traité porte sur une question présentant un certain degré d</w:t>
      </w:r>
      <w:r>
        <w:rPr>
          <w:lang w:val="fr-CA"/>
        </w:rPr>
        <w:t>’</w:t>
      </w:r>
      <w:r w:rsidRPr="000934F1">
        <w:rPr>
          <w:lang w:val="fr-CA"/>
        </w:rPr>
        <w:t>urgence ou lorsque les États ou les organisations internationales ayant participé à la négociation cherchent à instaurer la confiance dans l</w:t>
      </w:r>
      <w:r>
        <w:rPr>
          <w:lang w:val="fr-CA"/>
        </w:rPr>
        <w:t>’</w:t>
      </w:r>
      <w:r w:rsidRPr="000934F1">
        <w:rPr>
          <w:lang w:val="fr-CA"/>
        </w:rPr>
        <w:t>attente de l</w:t>
      </w:r>
      <w:r>
        <w:rPr>
          <w:lang w:val="fr-CA"/>
        </w:rPr>
        <w:t>’</w:t>
      </w:r>
      <w:r w:rsidRPr="000934F1">
        <w:rPr>
          <w:lang w:val="fr-CA"/>
        </w:rPr>
        <w:t>entrée en vigueur</w:t>
      </w:r>
      <w:r w:rsidRPr="00F22830">
        <w:rPr>
          <w:rStyle w:val="FootnoteReference"/>
        </w:rPr>
        <w:footnoteReference w:id="2"/>
      </w:r>
      <w:r w:rsidRPr="000934F1">
        <w:rPr>
          <w:lang w:val="fr-CA"/>
        </w:rPr>
        <w:t>, notamment</w:t>
      </w:r>
      <w:r w:rsidRPr="00F22830">
        <w:rPr>
          <w:rStyle w:val="FootnoteReference"/>
        </w:rPr>
        <w:footnoteReference w:id="3"/>
      </w:r>
      <w:r w:rsidRPr="00F22925">
        <w:rPr>
          <w:lang w:val="fr-CA"/>
        </w:rPr>
        <w:t>.</w:t>
      </w:r>
      <w:r w:rsidRPr="000934F1">
        <w:rPr>
          <w:lang w:val="fr-CA"/>
        </w:rPr>
        <w:t xml:space="preserve"> D</w:t>
      </w:r>
      <w:r>
        <w:rPr>
          <w:lang w:val="fr-CA"/>
        </w:rPr>
        <w:t>’</w:t>
      </w:r>
      <w:r w:rsidRPr="000934F1">
        <w:rPr>
          <w:lang w:val="fr-CA"/>
        </w:rPr>
        <w:t>une manière plus générale, elle vise à préparer ou à faciliter l</w:t>
      </w:r>
      <w:r>
        <w:rPr>
          <w:lang w:val="fr-CA"/>
        </w:rPr>
        <w:t>’</w:t>
      </w:r>
      <w:r w:rsidRPr="000934F1">
        <w:rPr>
          <w:lang w:val="fr-CA"/>
        </w:rPr>
        <w:t>entrée en vigueur du traité</w:t>
      </w:r>
      <w:r w:rsidRPr="00F22925">
        <w:rPr>
          <w:lang w:val="fr-CA"/>
        </w:rPr>
        <w:t>.</w:t>
      </w:r>
      <w:r w:rsidRPr="000934F1">
        <w:rPr>
          <w:lang w:val="fr-CA"/>
        </w:rPr>
        <w:t xml:space="preserve"> Il faut toutefois souligner que c</w:t>
      </w:r>
      <w:r>
        <w:rPr>
          <w:lang w:val="fr-CA"/>
        </w:rPr>
        <w:t>’</w:t>
      </w:r>
      <w:r w:rsidRPr="000934F1">
        <w:rPr>
          <w:lang w:val="fr-CA"/>
        </w:rPr>
        <w:t>est un mécanisme volontaire, auquel les États et les organisations internationales sont libres de recourir ou non, qui peut être soumis à des limites découlant du droit interne des États et des règles des organisations internationales</w:t>
      </w:r>
      <w:r w:rsidRPr="00F22925">
        <w:rPr>
          <w:lang w:val="fr-CA"/>
        </w:rPr>
        <w:t>.</w:t>
      </w:r>
    </w:p>
    <w:p w14:paraId="4FB39CB0" w14:textId="77777777" w:rsidR="0043175D" w:rsidRPr="000934F1" w:rsidRDefault="0043175D" w:rsidP="0043175D">
      <w:pPr>
        <w:pStyle w:val="SingleTxtG"/>
        <w:rPr>
          <w:lang w:val="fr-CA"/>
        </w:rPr>
      </w:pPr>
      <w:r w:rsidRPr="000934F1">
        <w:rPr>
          <w:lang w:val="fr-CA"/>
        </w:rPr>
        <w:t>3)</w:t>
      </w:r>
      <w:r w:rsidRPr="000934F1">
        <w:rPr>
          <w:lang w:val="fr-CA"/>
        </w:rPr>
        <w:tab/>
        <w:t xml:space="preserve">Sans être juridiquement contraignant en tant que tel, le Guide </w:t>
      </w:r>
      <w:r>
        <w:rPr>
          <w:lang w:val="fr-CA"/>
        </w:rPr>
        <w:t xml:space="preserve">vient </w:t>
      </w:r>
      <w:proofErr w:type="spellStart"/>
      <w:r>
        <w:rPr>
          <w:lang w:val="fr-CA"/>
        </w:rPr>
        <w:t>décrire</w:t>
      </w:r>
      <w:proofErr w:type="spellEnd"/>
      <w:r>
        <w:rPr>
          <w:lang w:val="fr-CA"/>
        </w:rPr>
        <w:t xml:space="preserve"> et préciser</w:t>
      </w:r>
      <w:r w:rsidRPr="000934F1">
        <w:rPr>
          <w:lang w:val="fr-CA"/>
        </w:rPr>
        <w:t xml:space="preserve"> les règles de droit international existantes en tenant compte de la pratique contemporaine</w:t>
      </w:r>
      <w:r w:rsidRPr="00F22925">
        <w:rPr>
          <w:lang w:val="fr-CA"/>
        </w:rPr>
        <w:t>.</w:t>
      </w:r>
      <w:r w:rsidRPr="000934F1">
        <w:rPr>
          <w:lang w:val="fr-CA"/>
        </w:rPr>
        <w:t xml:space="preserve"> Il </w:t>
      </w:r>
      <w:r>
        <w:rPr>
          <w:lang w:val="fr-CA"/>
        </w:rPr>
        <w:t>s’inspire de</w:t>
      </w:r>
      <w:r w:rsidRPr="000934F1">
        <w:rPr>
          <w:lang w:val="fr-CA"/>
        </w:rPr>
        <w:t xml:space="preserve"> l</w:t>
      </w:r>
      <w:r>
        <w:rPr>
          <w:lang w:val="fr-CA"/>
        </w:rPr>
        <w:t>’</w:t>
      </w:r>
      <w:r w:rsidRPr="000934F1">
        <w:rPr>
          <w:lang w:val="fr-CA"/>
        </w:rPr>
        <w:t>article 25 de la Convention de Vienne sur le droit des traités, de 1969 (la «</w:t>
      </w:r>
      <w:r>
        <w:rPr>
          <w:lang w:val="fr-CA"/>
        </w:rPr>
        <w:t> </w:t>
      </w:r>
      <w:r w:rsidRPr="000934F1">
        <w:rPr>
          <w:lang w:val="fr-CA"/>
        </w:rPr>
        <w:t>Convention de Vienne de 1969 »)</w:t>
      </w:r>
      <w:r w:rsidRPr="00F22830">
        <w:rPr>
          <w:rStyle w:val="FootnoteReference"/>
        </w:rPr>
        <w:footnoteReference w:id="4"/>
      </w:r>
      <w:r w:rsidRPr="000934F1">
        <w:rPr>
          <w:lang w:val="fr-CA"/>
        </w:rPr>
        <w:t xml:space="preserve"> et </w:t>
      </w:r>
      <w:r>
        <w:rPr>
          <w:lang w:val="fr-CA"/>
        </w:rPr>
        <w:t xml:space="preserve">de </w:t>
      </w:r>
      <w:r w:rsidRPr="000934F1">
        <w:rPr>
          <w:lang w:val="fr-CA"/>
        </w:rPr>
        <w:t>l</w:t>
      </w:r>
      <w:r>
        <w:rPr>
          <w:lang w:val="fr-CA"/>
        </w:rPr>
        <w:t>’</w:t>
      </w:r>
      <w:r w:rsidRPr="000934F1">
        <w:rPr>
          <w:lang w:val="fr-CA"/>
        </w:rPr>
        <w:t xml:space="preserve">article 25 de la </w:t>
      </w:r>
      <w:r w:rsidRPr="000934F1">
        <w:rPr>
          <w:lang w:val="fr-CA"/>
        </w:rPr>
        <w:lastRenderedPageBreak/>
        <w:t>Convention de Vienne sur le droit des traités entre États et organisations internationales ou entre organisations internationales, de 1986 (la « Convention de Vienne de 1986 »)</w:t>
      </w:r>
      <w:r w:rsidRPr="00F22830">
        <w:rPr>
          <w:rStyle w:val="FootnoteReference"/>
        </w:rPr>
        <w:footnoteReference w:id="5"/>
      </w:r>
      <w:r w:rsidRPr="000934F1">
        <w:rPr>
          <w:lang w:val="fr-CA"/>
        </w:rPr>
        <w:t>, qu</w:t>
      </w:r>
      <w:r>
        <w:rPr>
          <w:lang w:val="fr-CA"/>
        </w:rPr>
        <w:t>’</w:t>
      </w:r>
      <w:r w:rsidRPr="000934F1">
        <w:rPr>
          <w:lang w:val="fr-CA"/>
        </w:rPr>
        <w:t>il tend à préciser et à expliquer</w:t>
      </w:r>
      <w:r>
        <w:rPr>
          <w:lang w:val="fr-CA"/>
        </w:rPr>
        <w:t xml:space="preserve">, ainsi que de </w:t>
      </w:r>
      <w:r w:rsidRPr="000934F1">
        <w:rPr>
          <w:lang w:val="fr-CA"/>
        </w:rPr>
        <w:t>la pratique des États et des organisations internationales en la matière</w:t>
      </w:r>
      <w:r w:rsidRPr="00F22925">
        <w:rPr>
          <w:lang w:val="fr-CA"/>
        </w:rPr>
        <w:t>.</w:t>
      </w:r>
      <w:r w:rsidRPr="000934F1">
        <w:rPr>
          <w:lang w:val="fr-CA"/>
        </w:rPr>
        <w:t xml:space="preserve"> Les expressions définies à l</w:t>
      </w:r>
      <w:r>
        <w:rPr>
          <w:lang w:val="fr-CA"/>
        </w:rPr>
        <w:t>’</w:t>
      </w:r>
      <w:r w:rsidRPr="000934F1">
        <w:rPr>
          <w:lang w:val="fr-CA"/>
        </w:rPr>
        <w:t>article 2 des Conventions de Vienne de 1969 et de 1986 sont employées ici dans le sens qui leur est donné dans cette disposition</w:t>
      </w:r>
      <w:r w:rsidRPr="00F22925">
        <w:rPr>
          <w:lang w:val="fr-CA"/>
        </w:rPr>
        <w:t>.</w:t>
      </w:r>
      <w:r w:rsidRPr="000934F1">
        <w:rPr>
          <w:lang w:val="fr-CA"/>
        </w:rPr>
        <w:t xml:space="preserve"> S</w:t>
      </w:r>
      <w:r>
        <w:rPr>
          <w:lang w:val="fr-CA"/>
        </w:rPr>
        <w:t>’</w:t>
      </w:r>
      <w:r w:rsidRPr="000934F1">
        <w:rPr>
          <w:lang w:val="fr-CA"/>
        </w:rPr>
        <w:t>il est sans préjudice de l</w:t>
      </w:r>
      <w:r>
        <w:rPr>
          <w:lang w:val="fr-CA"/>
        </w:rPr>
        <w:t>’</w:t>
      </w:r>
      <w:r w:rsidRPr="000934F1">
        <w:rPr>
          <w:lang w:val="fr-CA"/>
        </w:rPr>
        <w:t>application des autres règles du droit des traités, le Guide s</w:t>
      </w:r>
      <w:r>
        <w:rPr>
          <w:lang w:val="fr-CA"/>
        </w:rPr>
        <w:t>’</w:t>
      </w:r>
      <w:r w:rsidRPr="000934F1">
        <w:rPr>
          <w:lang w:val="fr-CA"/>
        </w:rPr>
        <w:t>appuie lorsqu</w:t>
      </w:r>
      <w:r>
        <w:rPr>
          <w:lang w:val="fr-CA"/>
        </w:rPr>
        <w:t>’</w:t>
      </w:r>
      <w:r w:rsidRPr="000934F1">
        <w:rPr>
          <w:lang w:val="fr-CA"/>
        </w:rPr>
        <w:t>il y a lieu sur les règles applicables des Conventions de Vienne de 1969 et de 1986, sans toutefois être destiné à couvrir toutes les applications possibles de toutes les dispositions de ces instruments, en particulier lorsqu</w:t>
      </w:r>
      <w:r>
        <w:rPr>
          <w:lang w:val="fr-CA"/>
        </w:rPr>
        <w:t>’</w:t>
      </w:r>
      <w:r w:rsidRPr="000934F1">
        <w:rPr>
          <w:lang w:val="fr-CA"/>
        </w:rPr>
        <w:t>il n</w:t>
      </w:r>
      <w:r>
        <w:rPr>
          <w:lang w:val="fr-CA"/>
        </w:rPr>
        <w:t>’</w:t>
      </w:r>
      <w:r w:rsidRPr="000934F1">
        <w:rPr>
          <w:lang w:val="fr-CA"/>
        </w:rPr>
        <w:t>y a pas de pratique établie</w:t>
      </w:r>
      <w:r w:rsidRPr="00F22925">
        <w:rPr>
          <w:lang w:val="fr-CA"/>
        </w:rPr>
        <w:t>.</w:t>
      </w:r>
      <w:r w:rsidRPr="000934F1">
        <w:rPr>
          <w:lang w:val="fr-CA"/>
        </w:rPr>
        <w:t xml:space="preserve"> De manière générale, quoi que certains de ses éléments aient plutôt valeur de recommandation, le Guide reflète la </w:t>
      </w:r>
      <w:proofErr w:type="spellStart"/>
      <w:r w:rsidRPr="000934F1">
        <w:rPr>
          <w:i/>
          <w:iCs/>
          <w:lang w:val="fr-CA"/>
        </w:rPr>
        <w:t>lex</w:t>
      </w:r>
      <w:proofErr w:type="spellEnd"/>
      <w:r w:rsidRPr="000934F1">
        <w:rPr>
          <w:i/>
          <w:iCs/>
          <w:lang w:val="fr-CA"/>
        </w:rPr>
        <w:t xml:space="preserve"> </w:t>
      </w:r>
      <w:proofErr w:type="spellStart"/>
      <w:r w:rsidRPr="000934F1">
        <w:rPr>
          <w:i/>
          <w:iCs/>
          <w:lang w:val="fr-CA"/>
        </w:rPr>
        <w:t>lata</w:t>
      </w:r>
      <w:proofErr w:type="spellEnd"/>
      <w:r w:rsidRPr="00F22925">
        <w:rPr>
          <w:lang w:val="fr-CA"/>
        </w:rPr>
        <w:t>.</w:t>
      </w:r>
      <w:r w:rsidRPr="000934F1">
        <w:rPr>
          <w:lang w:val="fr-CA"/>
        </w:rPr>
        <w:t xml:space="preserve"> Ainsi, c</w:t>
      </w:r>
      <w:r>
        <w:rPr>
          <w:lang w:val="fr-CA"/>
        </w:rPr>
        <w:t>’</w:t>
      </w:r>
      <w:r w:rsidRPr="000934F1">
        <w:rPr>
          <w:lang w:val="fr-CA"/>
        </w:rPr>
        <w:t>est un vade-mecum dans lequel les praticiens devraient trouver des réponses aux questions que soulève l</w:t>
      </w:r>
      <w:r>
        <w:rPr>
          <w:lang w:val="fr-CA"/>
        </w:rPr>
        <w:t>’</w:t>
      </w:r>
      <w:r w:rsidRPr="000934F1">
        <w:rPr>
          <w:lang w:val="fr-CA"/>
        </w:rPr>
        <w:t>application à titre provisoire des traités</w:t>
      </w:r>
      <w:r w:rsidRPr="00F22925">
        <w:rPr>
          <w:lang w:val="fr-CA"/>
        </w:rPr>
        <w:t>.</w:t>
      </w:r>
      <w:r w:rsidRPr="000934F1">
        <w:rPr>
          <w:lang w:val="fr-CA"/>
        </w:rPr>
        <w:t xml:space="preserve"> Il convient toutefois de souligner que, </w:t>
      </w:r>
      <w:r>
        <w:rPr>
          <w:lang w:val="fr-CA"/>
        </w:rPr>
        <w:t xml:space="preserve">il </w:t>
      </w:r>
      <w:r w:rsidRPr="000934F1">
        <w:rPr>
          <w:lang w:val="fr-CA"/>
        </w:rPr>
        <w:t>ne saurait être compris comme établissant une quelconque présomption en faveur du recours à ce mécanisme</w:t>
      </w:r>
      <w:r w:rsidRPr="00F22925">
        <w:rPr>
          <w:lang w:val="fr-CA"/>
        </w:rPr>
        <w:t>.</w:t>
      </w:r>
      <w:r w:rsidRPr="000934F1">
        <w:rPr>
          <w:lang w:val="fr-CA"/>
        </w:rPr>
        <w:t xml:space="preserve"> L</w:t>
      </w:r>
      <w:r>
        <w:rPr>
          <w:lang w:val="fr-CA"/>
        </w:rPr>
        <w:t>’</w:t>
      </w:r>
      <w:r w:rsidRPr="000934F1">
        <w:rPr>
          <w:lang w:val="fr-CA"/>
        </w:rPr>
        <w:t xml:space="preserve">application provisoire </w:t>
      </w:r>
      <w:r>
        <w:rPr>
          <w:lang w:val="fr-CA"/>
        </w:rPr>
        <w:t>ne vient pas</w:t>
      </w:r>
      <w:r w:rsidRPr="000934F1">
        <w:rPr>
          <w:lang w:val="fr-CA"/>
        </w:rPr>
        <w:t xml:space="preserve"> se substituer à l</w:t>
      </w:r>
      <w:r>
        <w:rPr>
          <w:lang w:val="fr-CA"/>
        </w:rPr>
        <w:t>’</w:t>
      </w:r>
      <w:r w:rsidRPr="000934F1">
        <w:rPr>
          <w:lang w:val="fr-CA"/>
        </w:rPr>
        <w:t>entrée en vigueur, qui est la vocation naturelle des traités, et ne doit pas non plus être un moyen de contourner les procédures internes</w:t>
      </w:r>
      <w:r w:rsidRPr="00F22925">
        <w:rPr>
          <w:lang w:val="fr-CA"/>
        </w:rPr>
        <w:t>.</w:t>
      </w:r>
    </w:p>
    <w:p w14:paraId="388EDAEA" w14:textId="77777777" w:rsidR="0043175D" w:rsidRPr="000934F1" w:rsidRDefault="0043175D" w:rsidP="0043175D">
      <w:pPr>
        <w:pStyle w:val="SingleTxtG"/>
        <w:rPr>
          <w:lang w:val="fr-CA"/>
        </w:rPr>
      </w:pPr>
      <w:r w:rsidRPr="000934F1">
        <w:rPr>
          <w:lang w:val="fr-CA"/>
        </w:rPr>
        <w:t>4)</w:t>
      </w:r>
      <w:r w:rsidRPr="000934F1">
        <w:rPr>
          <w:lang w:val="fr-CA"/>
        </w:rPr>
        <w:tab/>
        <w:t>Il est bien entendu impossible d</w:t>
      </w:r>
      <w:r>
        <w:rPr>
          <w:lang w:val="fr-CA"/>
        </w:rPr>
        <w:t>’</w:t>
      </w:r>
      <w:r w:rsidRPr="000934F1">
        <w:rPr>
          <w:lang w:val="fr-CA"/>
        </w:rPr>
        <w:t>apporter une réponse à toutes les questions qui peuvent se poser dans la pratique et de couvrir la multitude de situations que les États et les organisations internationales sont susceptibles de rencontrer</w:t>
      </w:r>
      <w:r w:rsidRPr="00F22925">
        <w:rPr>
          <w:lang w:val="fr-CA"/>
        </w:rPr>
        <w:t>.</w:t>
      </w:r>
      <w:r w:rsidRPr="000934F1">
        <w:rPr>
          <w:lang w:val="fr-CA"/>
        </w:rPr>
        <w:t xml:space="preserve"> Suivre une approche générale ne pose toutefois pas problème sachant que le Guide s</w:t>
      </w:r>
      <w:r>
        <w:rPr>
          <w:lang w:val="fr-CA"/>
        </w:rPr>
        <w:t>’</w:t>
      </w:r>
      <w:r w:rsidRPr="000934F1">
        <w:rPr>
          <w:lang w:val="fr-CA"/>
        </w:rPr>
        <w:t>inscrit dans une volonté de reconnaître la souplesse inhérente à l</w:t>
      </w:r>
      <w:r>
        <w:rPr>
          <w:lang w:val="fr-CA"/>
        </w:rPr>
        <w:t>’</w:t>
      </w:r>
      <w:r w:rsidRPr="000934F1">
        <w:rPr>
          <w:lang w:val="fr-CA"/>
        </w:rPr>
        <w:t>application à titre provisoire des traités</w:t>
      </w:r>
      <w:r w:rsidRPr="00F22830">
        <w:rPr>
          <w:rStyle w:val="FootnoteReference"/>
        </w:rPr>
        <w:footnoteReference w:id="6"/>
      </w:r>
      <w:r w:rsidRPr="000934F1">
        <w:rPr>
          <w:lang w:val="fr-CA"/>
        </w:rPr>
        <w:t xml:space="preserve"> et d</w:t>
      </w:r>
      <w:r>
        <w:rPr>
          <w:lang w:val="fr-CA"/>
        </w:rPr>
        <w:t>’</w:t>
      </w:r>
      <w:r w:rsidRPr="000934F1">
        <w:rPr>
          <w:lang w:val="fr-CA"/>
        </w:rPr>
        <w:t>éviter toute tentation d</w:t>
      </w:r>
      <w:r>
        <w:rPr>
          <w:lang w:val="fr-CA"/>
        </w:rPr>
        <w:t>’</w:t>
      </w:r>
      <w:r w:rsidRPr="000934F1">
        <w:rPr>
          <w:lang w:val="fr-CA"/>
        </w:rPr>
        <w:t>être excessivement prescriptif</w:t>
      </w:r>
      <w:r w:rsidRPr="00F22925">
        <w:rPr>
          <w:lang w:val="fr-CA"/>
        </w:rPr>
        <w:t>.</w:t>
      </w:r>
      <w:r w:rsidRPr="000934F1">
        <w:rPr>
          <w:lang w:val="fr-CA"/>
        </w:rPr>
        <w:t xml:space="preserve"> Étant donné la nature essentiellement volontaire de l</w:t>
      </w:r>
      <w:r>
        <w:rPr>
          <w:lang w:val="fr-CA"/>
        </w:rPr>
        <w:t>’</w:t>
      </w:r>
      <w:r w:rsidRPr="000934F1">
        <w:rPr>
          <w:lang w:val="fr-CA"/>
        </w:rPr>
        <w:t xml:space="preserve">application à titre provisoire, toujours facultative, le présent document reflète le fait que les États et les organisations internationales peuvent convenir de solutions qui ne sont pas visées par ses dispositions et qui leur paraissent plus </w:t>
      </w:r>
      <w:r w:rsidRPr="000934F1">
        <w:rPr>
          <w:lang w:val="fr-CA"/>
        </w:rPr>
        <w:lastRenderedPageBreak/>
        <w:t>adaptées aux fins de tel ou tel traité</w:t>
      </w:r>
      <w:r w:rsidRPr="00F22925">
        <w:rPr>
          <w:lang w:val="fr-CA"/>
        </w:rPr>
        <w:t>.</w:t>
      </w:r>
      <w:r w:rsidRPr="000934F1">
        <w:rPr>
          <w:lang w:val="fr-CA"/>
        </w:rPr>
        <w:t xml:space="preserve"> Une autre caractéristique essentielle de l</w:t>
      </w:r>
      <w:r>
        <w:rPr>
          <w:lang w:val="fr-CA"/>
        </w:rPr>
        <w:t>’</w:t>
      </w:r>
      <w:r w:rsidRPr="000934F1">
        <w:rPr>
          <w:lang w:val="fr-CA"/>
        </w:rPr>
        <w:t>application à titre provisoire est sa capacité à s</w:t>
      </w:r>
      <w:r>
        <w:rPr>
          <w:lang w:val="fr-CA"/>
        </w:rPr>
        <w:t>’</w:t>
      </w:r>
      <w:r w:rsidRPr="000934F1">
        <w:rPr>
          <w:lang w:val="fr-CA"/>
        </w:rPr>
        <w:t>adapter à des situations qui évoluent</w:t>
      </w:r>
      <w:r w:rsidRPr="00F22830">
        <w:rPr>
          <w:rStyle w:val="FootnoteReference"/>
        </w:rPr>
        <w:footnoteReference w:id="7"/>
      </w:r>
      <w:r w:rsidRPr="00F22925">
        <w:rPr>
          <w:lang w:val="fr-CA"/>
        </w:rPr>
        <w:t>.</w:t>
      </w:r>
    </w:p>
    <w:p w14:paraId="5B7107B7" w14:textId="77777777" w:rsidR="0043175D" w:rsidRPr="000934F1" w:rsidRDefault="0043175D" w:rsidP="0043175D">
      <w:pPr>
        <w:pStyle w:val="SingleTxtG"/>
        <w:rPr>
          <w:lang w:val="fr-CA"/>
        </w:rPr>
      </w:pPr>
      <w:r w:rsidRPr="000934F1">
        <w:rPr>
          <w:lang w:val="fr-CA"/>
        </w:rPr>
        <w:t>5)</w:t>
      </w:r>
      <w:r w:rsidRPr="000934F1">
        <w:rPr>
          <w:lang w:val="fr-CA"/>
        </w:rPr>
        <w:tab/>
        <w:t xml:space="preserve">Le Guide comporte des exemples de </w:t>
      </w:r>
      <w:r>
        <w:rPr>
          <w:lang w:val="fr-CA"/>
        </w:rPr>
        <w:t>dispositions</w:t>
      </w:r>
      <w:r w:rsidRPr="000934F1">
        <w:rPr>
          <w:lang w:val="fr-CA"/>
        </w:rPr>
        <w:t xml:space="preserve"> relatives à l</w:t>
      </w:r>
      <w:r>
        <w:rPr>
          <w:lang w:val="fr-CA"/>
        </w:rPr>
        <w:t>’</w:t>
      </w:r>
      <w:r w:rsidRPr="000934F1">
        <w:rPr>
          <w:lang w:val="fr-CA"/>
        </w:rPr>
        <w:t xml:space="preserve">application provisoire tirées de traités bilatéraux et multilatéraux, reproduites </w:t>
      </w:r>
      <w:r>
        <w:rPr>
          <w:lang w:val="fr-CA"/>
        </w:rPr>
        <w:t>dans le projet d’</w:t>
      </w:r>
      <w:r w:rsidRPr="000934F1">
        <w:rPr>
          <w:lang w:val="fr-CA"/>
        </w:rPr>
        <w:t>annexe, dans l</w:t>
      </w:r>
      <w:r>
        <w:rPr>
          <w:lang w:val="fr-CA"/>
        </w:rPr>
        <w:t>’</w:t>
      </w:r>
      <w:r w:rsidRPr="000934F1">
        <w:rPr>
          <w:lang w:val="fr-CA"/>
        </w:rPr>
        <w:t>objectif d</w:t>
      </w:r>
      <w:r>
        <w:rPr>
          <w:lang w:val="fr-CA"/>
        </w:rPr>
        <w:t>’</w:t>
      </w:r>
      <w:r w:rsidRPr="000934F1">
        <w:rPr>
          <w:lang w:val="fr-CA"/>
        </w:rPr>
        <w:t>apporter une aide supplémentaire aux États et aux organisations internationales</w:t>
      </w:r>
      <w:r w:rsidRPr="00F22925">
        <w:rPr>
          <w:lang w:val="fr-CA"/>
        </w:rPr>
        <w:t>.</w:t>
      </w:r>
      <w:r w:rsidRPr="000934F1">
        <w:rPr>
          <w:lang w:val="fr-CA"/>
        </w:rPr>
        <w:t xml:space="preserve"> La reproduction de ces </w:t>
      </w:r>
      <w:r>
        <w:rPr>
          <w:lang w:val="fr-CA"/>
        </w:rPr>
        <w:t>dispositions</w:t>
      </w:r>
      <w:r w:rsidRPr="000934F1">
        <w:rPr>
          <w:lang w:val="fr-CA"/>
        </w:rPr>
        <w:t xml:space="preserve"> ne </w:t>
      </w:r>
      <w:r>
        <w:rPr>
          <w:lang w:val="fr-CA"/>
        </w:rPr>
        <w:t>vient</w:t>
      </w:r>
      <w:r w:rsidRPr="000934F1">
        <w:rPr>
          <w:lang w:val="fr-CA"/>
        </w:rPr>
        <w:t xml:space="preserve"> aucunement remettre en question le caractère flexible et volontaire de l</w:t>
      </w:r>
      <w:r>
        <w:rPr>
          <w:lang w:val="fr-CA"/>
        </w:rPr>
        <w:t>’</w:t>
      </w:r>
      <w:r w:rsidRPr="000934F1">
        <w:rPr>
          <w:lang w:val="fr-CA"/>
        </w:rPr>
        <w:t>application à titre provisoire des traités, et les exemples donnés ne sauraient être considérés comme couvrant l</w:t>
      </w:r>
      <w:r>
        <w:rPr>
          <w:lang w:val="fr-CA"/>
        </w:rPr>
        <w:t>’</w:t>
      </w:r>
      <w:r w:rsidRPr="000934F1">
        <w:rPr>
          <w:lang w:val="fr-CA"/>
        </w:rPr>
        <w:t>ensemble des situations susceptibles de survenir ni comme étant autre chose que des exemples</w:t>
      </w:r>
      <w:r w:rsidRPr="00F22925">
        <w:rPr>
          <w:lang w:val="fr-CA"/>
        </w:rPr>
        <w:t>.</w:t>
      </w:r>
      <w:r w:rsidRPr="000934F1">
        <w:rPr>
          <w:lang w:val="fr-CA"/>
        </w:rPr>
        <w:t xml:space="preserve"> </w:t>
      </w:r>
    </w:p>
    <w:p w14:paraId="1A41E6FA" w14:textId="77777777" w:rsidR="0043175D" w:rsidRPr="000934F1" w:rsidRDefault="0043175D" w:rsidP="0043175D">
      <w:pPr>
        <w:pStyle w:val="H23G"/>
        <w:ind w:left="1701" w:firstLine="0"/>
        <w:rPr>
          <w:i/>
          <w:lang w:val="fr-CA"/>
        </w:rPr>
      </w:pPr>
      <w:r w:rsidRPr="000934F1">
        <w:rPr>
          <w:lang w:val="fr-CA"/>
        </w:rPr>
        <w:tab/>
        <w:t xml:space="preserve">Directive 1 </w:t>
      </w:r>
      <w:r w:rsidRPr="000934F1">
        <w:rPr>
          <w:lang w:val="fr-CA"/>
        </w:rPr>
        <w:br/>
        <w:t>Champ d</w:t>
      </w:r>
      <w:r>
        <w:rPr>
          <w:lang w:val="fr-CA"/>
        </w:rPr>
        <w:t>’</w:t>
      </w:r>
      <w:r w:rsidRPr="000934F1">
        <w:rPr>
          <w:lang w:val="fr-CA"/>
        </w:rPr>
        <w:t>application</w:t>
      </w:r>
    </w:p>
    <w:p w14:paraId="6D46C315" w14:textId="77777777" w:rsidR="0043175D" w:rsidRPr="000934F1" w:rsidRDefault="0043175D" w:rsidP="0043175D">
      <w:pPr>
        <w:pStyle w:val="SingleTxtG"/>
        <w:ind w:left="1701"/>
        <w:rPr>
          <w:lang w:val="fr-CA"/>
        </w:rPr>
      </w:pPr>
      <w:r w:rsidRPr="000934F1">
        <w:rPr>
          <w:lang w:val="fr-CA"/>
        </w:rPr>
        <w:tab/>
        <w:t>Les présents projets de directive portent sur l</w:t>
      </w:r>
      <w:r>
        <w:rPr>
          <w:lang w:val="fr-CA"/>
        </w:rPr>
        <w:t>’</w:t>
      </w:r>
      <w:r w:rsidRPr="000934F1">
        <w:rPr>
          <w:lang w:val="fr-CA"/>
        </w:rPr>
        <w:t>application à titre provisoire des traités par des États ou par des organisations internationales</w:t>
      </w:r>
      <w:r w:rsidRPr="00F22925">
        <w:rPr>
          <w:lang w:val="fr-CA"/>
        </w:rPr>
        <w:t>.</w:t>
      </w:r>
    </w:p>
    <w:p w14:paraId="4EB6FAA8" w14:textId="77777777" w:rsidR="0043175D" w:rsidRPr="000934F1" w:rsidRDefault="0043175D" w:rsidP="0043175D">
      <w:pPr>
        <w:pStyle w:val="H23G"/>
        <w:rPr>
          <w:lang w:val="fr-CA"/>
        </w:rPr>
      </w:pPr>
      <w:r w:rsidRPr="000934F1">
        <w:rPr>
          <w:lang w:val="fr-CA"/>
        </w:rPr>
        <w:tab/>
      </w:r>
      <w:r w:rsidRPr="000934F1">
        <w:rPr>
          <w:lang w:val="fr-CA"/>
        </w:rPr>
        <w:tab/>
        <w:t>Commentaire</w:t>
      </w:r>
    </w:p>
    <w:p w14:paraId="5CBAECF3" w14:textId="77777777" w:rsidR="0043175D" w:rsidRPr="000934F1" w:rsidRDefault="0043175D" w:rsidP="0043175D">
      <w:pPr>
        <w:pStyle w:val="SingleTxtG"/>
        <w:rPr>
          <w:lang w:val="fr-CA"/>
        </w:rPr>
      </w:pPr>
      <w:r w:rsidRPr="000934F1">
        <w:rPr>
          <w:lang w:val="fr-CA"/>
        </w:rPr>
        <w:t>1)</w:t>
      </w:r>
      <w:r w:rsidRPr="000934F1">
        <w:rPr>
          <w:lang w:val="fr-CA"/>
        </w:rPr>
        <w:tab/>
        <w:t>Le projet de directive 1 traite du champ d</w:t>
      </w:r>
      <w:r>
        <w:rPr>
          <w:lang w:val="fr-CA"/>
        </w:rPr>
        <w:t>’</w:t>
      </w:r>
      <w:r w:rsidRPr="000934F1">
        <w:rPr>
          <w:lang w:val="fr-CA"/>
        </w:rPr>
        <w:t>application du Guide</w:t>
      </w:r>
      <w:r w:rsidRPr="00F22925">
        <w:rPr>
          <w:lang w:val="fr-CA"/>
        </w:rPr>
        <w:t>.</w:t>
      </w:r>
      <w:r w:rsidRPr="000934F1">
        <w:rPr>
          <w:lang w:val="fr-CA"/>
        </w:rPr>
        <w:t xml:space="preserve"> Il doit être lu en parallèle avec le projet de directive 2, qui énonce l</w:t>
      </w:r>
      <w:r>
        <w:rPr>
          <w:lang w:val="fr-CA"/>
        </w:rPr>
        <w:t>’</w:t>
      </w:r>
      <w:r w:rsidRPr="000934F1">
        <w:rPr>
          <w:lang w:val="fr-CA"/>
        </w:rPr>
        <w:t>objet du document</w:t>
      </w:r>
      <w:r w:rsidRPr="00F22925">
        <w:rPr>
          <w:lang w:val="fr-CA"/>
        </w:rPr>
        <w:t>.</w:t>
      </w:r>
    </w:p>
    <w:p w14:paraId="0A211207" w14:textId="77777777" w:rsidR="0043175D" w:rsidRPr="000934F1" w:rsidRDefault="0043175D" w:rsidP="0043175D">
      <w:pPr>
        <w:pStyle w:val="SingleTxtG"/>
        <w:rPr>
          <w:lang w:val="fr-CA"/>
        </w:rPr>
      </w:pPr>
      <w:r w:rsidRPr="000934F1">
        <w:rPr>
          <w:lang w:val="fr-CA"/>
        </w:rPr>
        <w:t>2)</w:t>
      </w:r>
      <w:r w:rsidRPr="000934F1">
        <w:rPr>
          <w:lang w:val="fr-CA"/>
        </w:rPr>
        <w:tab/>
        <w:t>Dans le Guide, c</w:t>
      </w:r>
      <w:r>
        <w:rPr>
          <w:lang w:val="fr-CA"/>
        </w:rPr>
        <w:t>’</w:t>
      </w:r>
      <w:r w:rsidRPr="000934F1">
        <w:rPr>
          <w:lang w:val="fr-CA"/>
        </w:rPr>
        <w:t>est l</w:t>
      </w:r>
      <w:r>
        <w:rPr>
          <w:lang w:val="fr-CA"/>
        </w:rPr>
        <w:t>’</w:t>
      </w:r>
      <w:r w:rsidRPr="000934F1">
        <w:rPr>
          <w:lang w:val="fr-CA"/>
        </w:rPr>
        <w:t>expression « application à titre provisoire des traités » qui est systématiquement employée</w:t>
      </w:r>
      <w:r w:rsidRPr="00F22925">
        <w:rPr>
          <w:lang w:val="fr-CA"/>
        </w:rPr>
        <w:t>.</w:t>
      </w:r>
      <w:r w:rsidRPr="000934F1">
        <w:rPr>
          <w:lang w:val="fr-CA"/>
        </w:rPr>
        <w:t xml:space="preserve"> Dans la pratique, l</w:t>
      </w:r>
      <w:r>
        <w:rPr>
          <w:lang w:val="fr-CA"/>
        </w:rPr>
        <w:t>’</w:t>
      </w:r>
      <w:r w:rsidRPr="000934F1">
        <w:rPr>
          <w:lang w:val="fr-CA"/>
        </w:rPr>
        <w:t>emploi fréquent d</w:t>
      </w:r>
      <w:r>
        <w:rPr>
          <w:lang w:val="fr-CA"/>
        </w:rPr>
        <w:t>’</w:t>
      </w:r>
      <w:r w:rsidRPr="000934F1">
        <w:rPr>
          <w:lang w:val="fr-CA"/>
        </w:rPr>
        <w:t xml:space="preserve">autres expressions, comme « entrée en vigueur provisoire », par opposition à « entrée en vigueur </w:t>
      </w:r>
      <w:r w:rsidRPr="000934F1">
        <w:rPr>
          <w:i/>
          <w:iCs/>
          <w:lang w:val="fr-CA"/>
        </w:rPr>
        <w:t>définitive</w:t>
      </w:r>
      <w:r w:rsidRPr="000934F1">
        <w:rPr>
          <w:lang w:val="fr-CA"/>
        </w:rPr>
        <w:t xml:space="preserve"> », a donné lieu à une certaine confusion en ce qui concerne la portée de la notion d</w:t>
      </w:r>
      <w:r>
        <w:rPr>
          <w:lang w:val="fr-CA"/>
        </w:rPr>
        <w:t>’</w:t>
      </w:r>
      <w:r w:rsidRPr="000934F1">
        <w:rPr>
          <w:lang w:val="fr-CA"/>
        </w:rPr>
        <w:t>application à titre provisoire des traités et les effets juridiques de cette application</w:t>
      </w:r>
      <w:r w:rsidRPr="00F22830">
        <w:rPr>
          <w:rStyle w:val="FootnoteReference"/>
        </w:rPr>
        <w:footnoteReference w:id="8"/>
      </w:r>
      <w:r w:rsidRPr="00F22925">
        <w:rPr>
          <w:lang w:val="fr-CA"/>
        </w:rPr>
        <w:t>.</w:t>
      </w:r>
      <w:r w:rsidRPr="000934F1">
        <w:rPr>
          <w:lang w:val="fr-CA"/>
        </w:rPr>
        <w:t xml:space="preserve"> En outre, en anglais, l</w:t>
      </w:r>
      <w:r>
        <w:rPr>
          <w:lang w:val="fr-CA"/>
        </w:rPr>
        <w:t>’</w:t>
      </w:r>
      <w:r w:rsidRPr="000934F1">
        <w:rPr>
          <w:lang w:val="fr-CA"/>
        </w:rPr>
        <w:t xml:space="preserve">expression « à titre provisoire » est relativement souvent rendue </w:t>
      </w:r>
      <w:r w:rsidRPr="000934F1">
        <w:rPr>
          <w:lang w:val="fr-CA"/>
        </w:rPr>
        <w:lastRenderedPageBreak/>
        <w:t>non pas par l</w:t>
      </w:r>
      <w:r>
        <w:rPr>
          <w:lang w:val="fr-CA"/>
        </w:rPr>
        <w:t>’</w:t>
      </w:r>
      <w:r w:rsidRPr="000934F1">
        <w:rPr>
          <w:lang w:val="fr-CA"/>
        </w:rPr>
        <w:t xml:space="preserve">adjectif </w:t>
      </w:r>
      <w:proofErr w:type="spellStart"/>
      <w:r w:rsidRPr="000934F1">
        <w:rPr>
          <w:i/>
          <w:iCs/>
          <w:lang w:val="fr-CA"/>
        </w:rPr>
        <w:t>provisional</w:t>
      </w:r>
      <w:proofErr w:type="spellEnd"/>
      <w:r w:rsidRPr="000934F1">
        <w:rPr>
          <w:lang w:val="fr-CA"/>
        </w:rPr>
        <w:t xml:space="preserve">, mais par les qualificatifs </w:t>
      </w:r>
      <w:proofErr w:type="spellStart"/>
      <w:r w:rsidRPr="000934F1">
        <w:rPr>
          <w:i/>
          <w:iCs/>
          <w:lang w:val="fr-CA"/>
        </w:rPr>
        <w:t>temporary</w:t>
      </w:r>
      <w:proofErr w:type="spellEnd"/>
      <w:r w:rsidRPr="000934F1">
        <w:rPr>
          <w:lang w:val="fr-CA"/>
        </w:rPr>
        <w:t xml:space="preserve"> ou </w:t>
      </w:r>
      <w:proofErr w:type="spellStart"/>
      <w:r w:rsidRPr="000934F1">
        <w:rPr>
          <w:i/>
          <w:iCs/>
          <w:lang w:val="fr-CA"/>
        </w:rPr>
        <w:t>interim</w:t>
      </w:r>
      <w:proofErr w:type="spellEnd"/>
      <w:r w:rsidRPr="00F22830">
        <w:rPr>
          <w:rStyle w:val="FootnoteReference"/>
        </w:rPr>
        <w:footnoteReference w:id="9"/>
      </w:r>
      <w:r w:rsidRPr="00F22925">
        <w:rPr>
          <w:lang w:val="fr-CA"/>
        </w:rPr>
        <w:t>.</w:t>
      </w:r>
      <w:r w:rsidRPr="000934F1">
        <w:rPr>
          <w:lang w:val="fr-CA"/>
        </w:rPr>
        <w:t xml:space="preserve"> Bien qu</w:t>
      </w:r>
      <w:r>
        <w:rPr>
          <w:lang w:val="fr-CA"/>
        </w:rPr>
        <w:t>’</w:t>
      </w:r>
      <w:r w:rsidRPr="000934F1">
        <w:rPr>
          <w:lang w:val="fr-CA"/>
        </w:rPr>
        <w:t>il constitue le fondement juridique de l</w:t>
      </w:r>
      <w:r>
        <w:rPr>
          <w:lang w:val="fr-CA"/>
        </w:rPr>
        <w:t>’</w:t>
      </w:r>
      <w:r w:rsidRPr="000934F1">
        <w:rPr>
          <w:lang w:val="fr-CA"/>
        </w:rPr>
        <w:t>application provisoire des traités</w:t>
      </w:r>
      <w:r w:rsidRPr="00F22830">
        <w:rPr>
          <w:rStyle w:val="FootnoteReference"/>
        </w:rPr>
        <w:footnoteReference w:id="10"/>
      </w:r>
      <w:r w:rsidRPr="000934F1">
        <w:rPr>
          <w:lang w:val="fr-CA"/>
        </w:rPr>
        <w:t>, l</w:t>
      </w:r>
      <w:r>
        <w:rPr>
          <w:lang w:val="fr-CA"/>
        </w:rPr>
        <w:t>’</w:t>
      </w:r>
      <w:r w:rsidRPr="000934F1">
        <w:rPr>
          <w:lang w:val="fr-CA"/>
        </w:rPr>
        <w:t xml:space="preserve">article 25 des Conventions de Vienne de 1969 et de 1986 manque de </w:t>
      </w:r>
      <w:r>
        <w:rPr>
          <w:lang w:val="fr-CA"/>
        </w:rPr>
        <w:t xml:space="preserve">détail et de </w:t>
      </w:r>
      <w:r w:rsidRPr="000934F1">
        <w:rPr>
          <w:lang w:val="fr-CA"/>
        </w:rPr>
        <w:t xml:space="preserve">précision </w:t>
      </w:r>
      <w:r>
        <w:rPr>
          <w:lang w:val="fr-CA"/>
        </w:rPr>
        <w:t>et mérite des éclaircissements</w:t>
      </w:r>
      <w:r w:rsidRPr="00F22830">
        <w:rPr>
          <w:rStyle w:val="FootnoteReference"/>
        </w:rPr>
        <w:footnoteReference w:id="11"/>
      </w:r>
      <w:r w:rsidRPr="00F22925">
        <w:rPr>
          <w:lang w:val="fr-CA"/>
        </w:rPr>
        <w:t>.</w:t>
      </w:r>
      <w:r w:rsidRPr="000934F1">
        <w:rPr>
          <w:lang w:val="fr-CA"/>
        </w:rPr>
        <w:t xml:space="preserve"> Le Guide a pour objectif d</w:t>
      </w:r>
      <w:r>
        <w:rPr>
          <w:lang w:val="fr-CA"/>
        </w:rPr>
        <w:t>’</w:t>
      </w:r>
      <w:r w:rsidRPr="000934F1">
        <w:rPr>
          <w:lang w:val="fr-CA"/>
        </w:rPr>
        <w:t>en clarifier l</w:t>
      </w:r>
      <w:r>
        <w:rPr>
          <w:lang w:val="fr-CA"/>
        </w:rPr>
        <w:t>’</w:t>
      </w:r>
      <w:r w:rsidRPr="000934F1">
        <w:rPr>
          <w:lang w:val="fr-CA"/>
        </w:rPr>
        <w:t>interprétation</w:t>
      </w:r>
      <w:r w:rsidRPr="00F22925">
        <w:rPr>
          <w:lang w:val="fr-CA"/>
        </w:rPr>
        <w:t>.</w:t>
      </w:r>
    </w:p>
    <w:p w14:paraId="31BD51AA" w14:textId="77777777" w:rsidR="0043175D" w:rsidRPr="000934F1" w:rsidRDefault="0043175D" w:rsidP="0043175D">
      <w:pPr>
        <w:pStyle w:val="SingleTxtG"/>
        <w:rPr>
          <w:lang w:val="fr-CA"/>
        </w:rPr>
      </w:pPr>
      <w:r w:rsidRPr="000934F1">
        <w:rPr>
          <w:lang w:val="fr-CA"/>
        </w:rPr>
        <w:t>3)</w:t>
      </w:r>
      <w:r w:rsidRPr="000934F1">
        <w:rPr>
          <w:lang w:val="fr-CA"/>
        </w:rPr>
        <w:tab/>
        <w:t>Le Guide porte sur l</w:t>
      </w:r>
      <w:r>
        <w:rPr>
          <w:lang w:val="fr-CA"/>
        </w:rPr>
        <w:t>’</w:t>
      </w:r>
      <w:r w:rsidRPr="000934F1">
        <w:rPr>
          <w:lang w:val="fr-CA"/>
        </w:rPr>
        <w:t>application à titre provisoire des traités « par des États ou par des organisations internationales »</w:t>
      </w:r>
      <w:r w:rsidRPr="00F22925">
        <w:rPr>
          <w:lang w:val="fr-CA"/>
        </w:rPr>
        <w:t>.</w:t>
      </w:r>
      <w:r w:rsidRPr="000934F1">
        <w:rPr>
          <w:lang w:val="fr-CA"/>
        </w:rPr>
        <w:t xml:space="preserve"> Le fait que plusieurs des projets de directive mentionnent les « États » et les « organisations internationales » ne saurait être compris comme signifiant que le champ d</w:t>
      </w:r>
      <w:r>
        <w:rPr>
          <w:lang w:val="fr-CA"/>
        </w:rPr>
        <w:t>’</w:t>
      </w:r>
      <w:r w:rsidRPr="000934F1">
        <w:rPr>
          <w:lang w:val="fr-CA"/>
        </w:rPr>
        <w:t>application du projet de directives est limité aux traités conclus entre États, entre États et organisations internationales ou entre organisations internationales</w:t>
      </w:r>
      <w:r>
        <w:rPr>
          <w:lang w:val="fr-CA"/>
        </w:rPr>
        <w:t>.</w:t>
      </w:r>
    </w:p>
    <w:p w14:paraId="46F2A64C" w14:textId="77777777" w:rsidR="0043175D" w:rsidRPr="000934F1" w:rsidRDefault="0043175D" w:rsidP="0043175D">
      <w:pPr>
        <w:pStyle w:val="H23G"/>
        <w:ind w:left="1701" w:firstLine="0"/>
        <w:rPr>
          <w:lang w:val="fr-CA"/>
        </w:rPr>
      </w:pPr>
      <w:r w:rsidRPr="000934F1">
        <w:rPr>
          <w:lang w:val="fr-CA"/>
        </w:rPr>
        <w:tab/>
        <w:t xml:space="preserve">Directive </w:t>
      </w:r>
      <w:r w:rsidRPr="000934F1">
        <w:rPr>
          <w:bCs/>
          <w:lang w:val="fr-CA"/>
        </w:rPr>
        <w:t xml:space="preserve">2 </w:t>
      </w:r>
      <w:r w:rsidRPr="000934F1">
        <w:rPr>
          <w:bCs/>
          <w:lang w:val="fr-CA"/>
        </w:rPr>
        <w:br/>
      </w:r>
      <w:r w:rsidRPr="000934F1">
        <w:rPr>
          <w:lang w:val="fr-CA"/>
        </w:rPr>
        <w:t>Objet</w:t>
      </w:r>
    </w:p>
    <w:p w14:paraId="65E28CA5" w14:textId="77777777" w:rsidR="0043175D" w:rsidRPr="000934F1" w:rsidRDefault="0043175D" w:rsidP="0043175D">
      <w:pPr>
        <w:pStyle w:val="SingleTxtG"/>
        <w:ind w:left="1701"/>
        <w:rPr>
          <w:lang w:val="fr-CA"/>
        </w:rPr>
      </w:pPr>
      <w:r w:rsidRPr="000934F1">
        <w:rPr>
          <w:lang w:val="fr-CA"/>
        </w:rPr>
        <w:tab/>
        <w:t>L</w:t>
      </w:r>
      <w:r>
        <w:rPr>
          <w:lang w:val="fr-CA"/>
        </w:rPr>
        <w:t>’</w:t>
      </w:r>
      <w:r w:rsidRPr="000934F1">
        <w:rPr>
          <w:lang w:val="fr-CA"/>
        </w:rPr>
        <w:t>objet des présents projets de directive est de fournir des orientations en ce qui concerne le droit et la pratique relatifs à l</w:t>
      </w:r>
      <w:r>
        <w:rPr>
          <w:lang w:val="fr-CA"/>
        </w:rPr>
        <w:t>’</w:t>
      </w:r>
      <w:r w:rsidRPr="000934F1">
        <w:rPr>
          <w:lang w:val="fr-CA"/>
        </w:rPr>
        <w:t>application à titre provisoire des traités, sur la base de l</w:t>
      </w:r>
      <w:r>
        <w:rPr>
          <w:lang w:val="fr-CA"/>
        </w:rPr>
        <w:t>’</w:t>
      </w:r>
      <w:r w:rsidRPr="000934F1">
        <w:rPr>
          <w:lang w:val="fr-CA"/>
        </w:rPr>
        <w:t>article 25 de la Convention de Vienne sur le droit des traités et des autres règles pertinentes de droit international</w:t>
      </w:r>
      <w:r w:rsidRPr="00F22925">
        <w:rPr>
          <w:lang w:val="fr-CA"/>
        </w:rPr>
        <w:t>.</w:t>
      </w:r>
    </w:p>
    <w:p w14:paraId="3F3A8A61" w14:textId="77777777" w:rsidR="0043175D" w:rsidRPr="000934F1" w:rsidRDefault="0043175D" w:rsidP="0043175D">
      <w:pPr>
        <w:pStyle w:val="H23G"/>
        <w:rPr>
          <w:lang w:val="fr-CA"/>
        </w:rPr>
      </w:pPr>
      <w:r w:rsidRPr="000934F1">
        <w:rPr>
          <w:lang w:val="fr-CA"/>
        </w:rPr>
        <w:tab/>
      </w:r>
      <w:r w:rsidRPr="000934F1">
        <w:rPr>
          <w:lang w:val="fr-CA"/>
        </w:rPr>
        <w:tab/>
        <w:t>Commentaire</w:t>
      </w:r>
    </w:p>
    <w:p w14:paraId="43DB8F6B" w14:textId="77777777" w:rsidR="0043175D" w:rsidRPr="000934F1" w:rsidRDefault="0043175D" w:rsidP="0043175D">
      <w:pPr>
        <w:pStyle w:val="SingleTxtG"/>
        <w:rPr>
          <w:lang w:val="fr-CA"/>
        </w:rPr>
      </w:pPr>
      <w:r w:rsidRPr="000934F1">
        <w:rPr>
          <w:lang w:val="fr-CA"/>
        </w:rPr>
        <w:t>1)</w:t>
      </w:r>
      <w:r w:rsidRPr="000934F1">
        <w:rPr>
          <w:lang w:val="fr-CA"/>
        </w:rPr>
        <w:tab/>
        <w:t>Le projet de directive 2 définit l</w:t>
      </w:r>
      <w:r>
        <w:rPr>
          <w:lang w:val="fr-CA"/>
        </w:rPr>
        <w:t>’</w:t>
      </w:r>
      <w:r w:rsidRPr="000934F1">
        <w:rPr>
          <w:lang w:val="fr-CA"/>
        </w:rPr>
        <w:t>objet du Guide, qui est de fournir aux États et aux organisations internationales des orientations en ce qui concerne le droit et la pratique relatifs à l</w:t>
      </w:r>
      <w:r>
        <w:rPr>
          <w:lang w:val="fr-CA"/>
        </w:rPr>
        <w:t>’</w:t>
      </w:r>
      <w:r w:rsidRPr="000934F1">
        <w:rPr>
          <w:lang w:val="fr-CA"/>
        </w:rPr>
        <w:t>application à titre provisoire des traités</w:t>
      </w:r>
      <w:r w:rsidRPr="00F22925">
        <w:rPr>
          <w:lang w:val="fr-CA"/>
        </w:rPr>
        <w:t>.</w:t>
      </w:r>
    </w:p>
    <w:p w14:paraId="5919D017" w14:textId="77777777" w:rsidR="0043175D" w:rsidRPr="000934F1" w:rsidRDefault="0043175D" w:rsidP="0043175D">
      <w:pPr>
        <w:pStyle w:val="SingleTxtG"/>
        <w:rPr>
          <w:lang w:val="fr-CA"/>
        </w:rPr>
      </w:pPr>
      <w:r w:rsidRPr="000934F1">
        <w:rPr>
          <w:lang w:val="fr-CA"/>
        </w:rPr>
        <w:t>2)</w:t>
      </w:r>
      <w:r w:rsidRPr="000934F1">
        <w:rPr>
          <w:lang w:val="fr-CA"/>
        </w:rPr>
        <w:tab/>
        <w:t xml:space="preserve">Le projet de directive </w:t>
      </w:r>
      <w:r>
        <w:rPr>
          <w:lang w:val="fr-CA"/>
        </w:rPr>
        <w:t>vient</w:t>
      </w:r>
      <w:r w:rsidRPr="000934F1">
        <w:rPr>
          <w:lang w:val="fr-CA"/>
        </w:rPr>
        <w:t xml:space="preserve"> mettre l</w:t>
      </w:r>
      <w:r>
        <w:rPr>
          <w:lang w:val="fr-CA"/>
        </w:rPr>
        <w:t>’</w:t>
      </w:r>
      <w:r w:rsidRPr="000934F1">
        <w:rPr>
          <w:lang w:val="fr-CA"/>
        </w:rPr>
        <w:t>accent sur le fait que le Guide est fondé sur les dispositions de la Convention de Vienne de 1969 et les autres règles pertinentes de droit international, notamment celles énoncées dans la Convention de Vienne de 1986</w:t>
      </w:r>
      <w:r w:rsidRPr="00F22925">
        <w:rPr>
          <w:lang w:val="fr-CA"/>
        </w:rPr>
        <w:t>.</w:t>
      </w:r>
      <w:r w:rsidRPr="000934F1">
        <w:rPr>
          <w:lang w:val="fr-CA"/>
        </w:rPr>
        <w:t xml:space="preserve"> La formule « et des autres règles pertinentes de droit international » tend avant tout à étendre le champ d</w:t>
      </w:r>
      <w:r>
        <w:rPr>
          <w:lang w:val="fr-CA"/>
        </w:rPr>
        <w:t>’</w:t>
      </w:r>
      <w:r w:rsidRPr="000934F1">
        <w:rPr>
          <w:lang w:val="fr-CA"/>
        </w:rPr>
        <w:t>application du projet de directives à l</w:t>
      </w:r>
      <w:r>
        <w:rPr>
          <w:lang w:val="fr-CA"/>
        </w:rPr>
        <w:t>’</w:t>
      </w:r>
      <w:r w:rsidRPr="000934F1">
        <w:rPr>
          <w:lang w:val="fr-CA"/>
        </w:rPr>
        <w:t>application provisoire des traités par des organisations internationales</w:t>
      </w:r>
      <w:r w:rsidRPr="00F22925">
        <w:rPr>
          <w:lang w:val="fr-CA"/>
        </w:rPr>
        <w:t>.</w:t>
      </w:r>
      <w:r w:rsidRPr="000934F1">
        <w:rPr>
          <w:lang w:val="fr-CA"/>
        </w:rPr>
        <w:t xml:space="preserve"> Elle reflète le fait que la Convention de Vienne de 1986 n</w:t>
      </w:r>
      <w:r>
        <w:rPr>
          <w:lang w:val="fr-CA"/>
        </w:rPr>
        <w:t>’</w:t>
      </w:r>
      <w:r w:rsidRPr="000934F1">
        <w:rPr>
          <w:lang w:val="fr-CA"/>
        </w:rPr>
        <w:t>est pas encore entrée en vigueur et, partant, ne doit pas être mentionnée sur un pied d</w:t>
      </w:r>
      <w:r>
        <w:rPr>
          <w:lang w:val="fr-CA"/>
        </w:rPr>
        <w:t>’</w:t>
      </w:r>
      <w:r w:rsidRPr="000934F1">
        <w:rPr>
          <w:lang w:val="fr-CA"/>
        </w:rPr>
        <w:t>égalité avec celle de 1969</w:t>
      </w:r>
      <w:r w:rsidRPr="00F22925">
        <w:rPr>
          <w:lang w:val="fr-CA"/>
        </w:rPr>
        <w:t>.</w:t>
      </w:r>
      <w:r w:rsidRPr="000934F1">
        <w:rPr>
          <w:lang w:val="fr-CA"/>
        </w:rPr>
        <w:t xml:space="preserve"> </w:t>
      </w:r>
    </w:p>
    <w:p w14:paraId="4E50E27D" w14:textId="77777777" w:rsidR="0043175D" w:rsidRPr="000934F1" w:rsidRDefault="0043175D" w:rsidP="0043175D">
      <w:pPr>
        <w:pStyle w:val="SingleTxtG"/>
        <w:rPr>
          <w:lang w:val="fr-CA"/>
        </w:rPr>
      </w:pPr>
      <w:r w:rsidRPr="000934F1">
        <w:rPr>
          <w:lang w:val="fr-CA"/>
        </w:rPr>
        <w:t>3)</w:t>
      </w:r>
      <w:r w:rsidRPr="000934F1">
        <w:rPr>
          <w:lang w:val="fr-CA"/>
        </w:rPr>
        <w:tab/>
        <w:t>Le projet de directive 2 vient poser le principe sur lequel repose l</w:t>
      </w:r>
      <w:r>
        <w:rPr>
          <w:lang w:val="fr-CA"/>
        </w:rPr>
        <w:t>’</w:t>
      </w:r>
      <w:r w:rsidRPr="000934F1">
        <w:rPr>
          <w:lang w:val="fr-CA"/>
        </w:rPr>
        <w:t>ensemble du Guide, à savoir que l</w:t>
      </w:r>
      <w:r>
        <w:rPr>
          <w:lang w:val="fr-CA"/>
        </w:rPr>
        <w:t>’</w:t>
      </w:r>
      <w:r w:rsidRPr="000934F1">
        <w:rPr>
          <w:lang w:val="fr-CA"/>
        </w:rPr>
        <w:t xml:space="preserve">article 25 des Conventions de Vienne de 1969 et </w:t>
      </w:r>
      <w:r>
        <w:rPr>
          <w:lang w:val="fr-CA"/>
        </w:rPr>
        <w:t xml:space="preserve">de </w:t>
      </w:r>
      <w:r w:rsidRPr="000934F1">
        <w:rPr>
          <w:lang w:val="fr-CA"/>
        </w:rPr>
        <w:t>1986 ne reflète pas tous les aspects de la pratique contemporaine en ce qui concerne l</w:t>
      </w:r>
      <w:r>
        <w:rPr>
          <w:lang w:val="fr-CA"/>
        </w:rPr>
        <w:t>’</w:t>
      </w:r>
      <w:r w:rsidRPr="000934F1">
        <w:rPr>
          <w:lang w:val="fr-CA"/>
        </w:rPr>
        <w:t xml:space="preserve">application à titre </w:t>
      </w:r>
      <w:r w:rsidRPr="000934F1">
        <w:rPr>
          <w:lang w:val="fr-CA"/>
        </w:rPr>
        <w:lastRenderedPageBreak/>
        <w:t>provisoire des traités</w:t>
      </w:r>
      <w:r w:rsidRPr="00F22925">
        <w:rPr>
          <w:lang w:val="fr-CA"/>
        </w:rPr>
        <w:t>.</w:t>
      </w:r>
      <w:r w:rsidRPr="000934F1">
        <w:rPr>
          <w:lang w:val="fr-CA"/>
        </w:rPr>
        <w:t xml:space="preserve"> Cela ressort implicitement du fait que sont mentionnés à la fois « le droit et la pratique » relatifs à l</w:t>
      </w:r>
      <w:r>
        <w:rPr>
          <w:lang w:val="fr-CA"/>
        </w:rPr>
        <w:t>’</w:t>
      </w:r>
      <w:r w:rsidRPr="000934F1">
        <w:rPr>
          <w:lang w:val="fr-CA"/>
        </w:rPr>
        <w:t>application provisoire des traités, ainsi que de la référence aux « autres règles pertinentes de droit international », qui vient indiquer que d</w:t>
      </w:r>
      <w:r>
        <w:rPr>
          <w:lang w:val="fr-CA"/>
        </w:rPr>
        <w:t>’</w:t>
      </w:r>
      <w:r w:rsidRPr="000934F1">
        <w:rPr>
          <w:lang w:val="fr-CA"/>
        </w:rPr>
        <w:t>autres règles de droit international, comme celles du droit international coutumier, peuvent également trouver à s</w:t>
      </w:r>
      <w:r>
        <w:rPr>
          <w:lang w:val="fr-CA"/>
        </w:rPr>
        <w:t>’</w:t>
      </w:r>
      <w:r w:rsidRPr="000934F1">
        <w:rPr>
          <w:lang w:val="fr-CA"/>
        </w:rPr>
        <w:t>appliquer en la matière</w:t>
      </w:r>
      <w:r w:rsidRPr="00F22925">
        <w:rPr>
          <w:lang w:val="fr-CA"/>
        </w:rPr>
        <w:t>.</w:t>
      </w:r>
    </w:p>
    <w:p w14:paraId="100DB0FA" w14:textId="77777777" w:rsidR="0043175D" w:rsidRPr="000934F1" w:rsidRDefault="0043175D" w:rsidP="0043175D">
      <w:pPr>
        <w:pStyle w:val="SingleTxtG"/>
        <w:rPr>
          <w:lang w:val="fr-CA"/>
        </w:rPr>
      </w:pPr>
      <w:r w:rsidRPr="000934F1">
        <w:rPr>
          <w:lang w:val="fr-CA"/>
        </w:rPr>
        <w:t>4)</w:t>
      </w:r>
      <w:r w:rsidRPr="000934F1">
        <w:rPr>
          <w:lang w:val="fr-CA"/>
        </w:rPr>
        <w:tab/>
        <w:t>Dans le même temps, nonobstant la possibilité qu</w:t>
      </w:r>
      <w:r>
        <w:rPr>
          <w:lang w:val="fr-CA"/>
        </w:rPr>
        <w:t>’</w:t>
      </w:r>
      <w:r w:rsidRPr="000934F1">
        <w:rPr>
          <w:lang w:val="fr-CA"/>
        </w:rPr>
        <w:t>il existe d</w:t>
      </w:r>
      <w:r>
        <w:rPr>
          <w:lang w:val="fr-CA"/>
        </w:rPr>
        <w:t>’</w:t>
      </w:r>
      <w:r w:rsidRPr="000934F1">
        <w:rPr>
          <w:lang w:val="fr-CA"/>
        </w:rPr>
        <w:t>autres règles et pratiques pertinentes concernant l</w:t>
      </w:r>
      <w:r>
        <w:rPr>
          <w:lang w:val="fr-CA"/>
        </w:rPr>
        <w:t>’</w:t>
      </w:r>
      <w:r w:rsidRPr="000934F1">
        <w:rPr>
          <w:lang w:val="fr-CA"/>
        </w:rPr>
        <w:t>application à titre provisoire des traités, le Guide vient confirmer l</w:t>
      </w:r>
      <w:r>
        <w:rPr>
          <w:lang w:val="fr-CA"/>
        </w:rPr>
        <w:t>’</w:t>
      </w:r>
      <w:r w:rsidRPr="000934F1">
        <w:rPr>
          <w:lang w:val="fr-CA"/>
        </w:rPr>
        <w:t>importance fondamentale de l</w:t>
      </w:r>
      <w:r>
        <w:rPr>
          <w:lang w:val="fr-CA"/>
        </w:rPr>
        <w:t>’</w:t>
      </w:r>
      <w:r w:rsidRPr="000934F1">
        <w:rPr>
          <w:lang w:val="fr-CA"/>
        </w:rPr>
        <w:t>article 25 des Conventions de Vienne de 1969 et</w:t>
      </w:r>
      <w:r>
        <w:rPr>
          <w:lang w:val="fr-CA"/>
        </w:rPr>
        <w:t xml:space="preserve"> de</w:t>
      </w:r>
      <w:r w:rsidRPr="000934F1">
        <w:rPr>
          <w:lang w:val="fr-CA"/>
        </w:rPr>
        <w:t xml:space="preserve"> 1986</w:t>
      </w:r>
      <w:r w:rsidRPr="00F22925">
        <w:rPr>
          <w:lang w:val="fr-CA"/>
        </w:rPr>
        <w:t>.</w:t>
      </w:r>
      <w:r w:rsidRPr="000934F1">
        <w:rPr>
          <w:lang w:val="fr-CA"/>
        </w:rPr>
        <w:t xml:space="preserve"> L</w:t>
      </w:r>
      <w:r>
        <w:rPr>
          <w:lang w:val="fr-CA"/>
        </w:rPr>
        <w:t>’</w:t>
      </w:r>
      <w:r w:rsidRPr="000934F1">
        <w:rPr>
          <w:lang w:val="fr-CA"/>
        </w:rPr>
        <w:t>emploi de la formule « sur la base de », suivi d</w:t>
      </w:r>
      <w:r>
        <w:rPr>
          <w:lang w:val="fr-CA"/>
        </w:rPr>
        <w:t>’</w:t>
      </w:r>
      <w:r w:rsidRPr="000934F1">
        <w:rPr>
          <w:lang w:val="fr-CA"/>
        </w:rPr>
        <w:t>une référence expresse à l</w:t>
      </w:r>
      <w:r>
        <w:rPr>
          <w:lang w:val="fr-CA"/>
        </w:rPr>
        <w:t>’</w:t>
      </w:r>
      <w:r w:rsidRPr="000934F1">
        <w:rPr>
          <w:lang w:val="fr-CA"/>
        </w:rPr>
        <w:t>article 25, indique que cet article est le point de départ du Guide, même s</w:t>
      </w:r>
      <w:r>
        <w:rPr>
          <w:lang w:val="fr-CA"/>
        </w:rPr>
        <w:t>’</w:t>
      </w:r>
      <w:r w:rsidRPr="000934F1">
        <w:rPr>
          <w:lang w:val="fr-CA"/>
        </w:rPr>
        <w:t>il doit être complété par d</w:t>
      </w:r>
      <w:r>
        <w:rPr>
          <w:lang w:val="fr-CA"/>
        </w:rPr>
        <w:t>’</w:t>
      </w:r>
      <w:r w:rsidRPr="000934F1">
        <w:rPr>
          <w:lang w:val="fr-CA"/>
        </w:rPr>
        <w:t>autres règles de droit international si l</w:t>
      </w:r>
      <w:r>
        <w:rPr>
          <w:lang w:val="fr-CA"/>
        </w:rPr>
        <w:t>’</w:t>
      </w:r>
      <w:r w:rsidRPr="000934F1">
        <w:rPr>
          <w:lang w:val="fr-CA"/>
        </w:rPr>
        <w:t xml:space="preserve">on veut </w:t>
      </w:r>
      <w:r>
        <w:rPr>
          <w:lang w:val="fr-CA"/>
        </w:rPr>
        <w:t xml:space="preserve">obtenir </w:t>
      </w:r>
      <w:r w:rsidRPr="000934F1">
        <w:rPr>
          <w:lang w:val="fr-CA"/>
        </w:rPr>
        <w:t>une vue d</w:t>
      </w:r>
      <w:r>
        <w:rPr>
          <w:lang w:val="fr-CA"/>
        </w:rPr>
        <w:t>’</w:t>
      </w:r>
      <w:r w:rsidRPr="000934F1">
        <w:rPr>
          <w:lang w:val="fr-CA"/>
        </w:rPr>
        <w:t>ensemble du droit applicable à l</w:t>
      </w:r>
      <w:r>
        <w:rPr>
          <w:lang w:val="fr-CA"/>
        </w:rPr>
        <w:t>’</w:t>
      </w:r>
      <w:r w:rsidRPr="000934F1">
        <w:rPr>
          <w:lang w:val="fr-CA"/>
        </w:rPr>
        <w:t>application provisoire des traités</w:t>
      </w:r>
      <w:r w:rsidRPr="00F22925">
        <w:rPr>
          <w:lang w:val="fr-CA"/>
        </w:rPr>
        <w:t>.</w:t>
      </w:r>
    </w:p>
    <w:p w14:paraId="784B18F2" w14:textId="77777777" w:rsidR="0043175D" w:rsidRPr="00540A15" w:rsidRDefault="0043175D" w:rsidP="0043175D">
      <w:pPr>
        <w:pStyle w:val="H23G"/>
        <w:ind w:left="1701" w:firstLine="0"/>
        <w:rPr>
          <w:bCs/>
          <w:lang w:val="fr-FR"/>
        </w:rPr>
      </w:pPr>
      <w:r w:rsidRPr="00540A15">
        <w:rPr>
          <w:bCs/>
          <w:lang w:val="fr-FR"/>
        </w:rPr>
        <w:t xml:space="preserve">Directive 3 </w:t>
      </w:r>
      <w:r w:rsidRPr="00540A15">
        <w:rPr>
          <w:bCs/>
          <w:lang w:val="fr-FR"/>
        </w:rPr>
        <w:br/>
        <w:t>Règle générale</w:t>
      </w:r>
    </w:p>
    <w:p w14:paraId="7408E99B" w14:textId="77777777" w:rsidR="0043175D" w:rsidRPr="000C2B76" w:rsidRDefault="0043175D" w:rsidP="0043175D">
      <w:pPr>
        <w:pStyle w:val="SingleTxtG"/>
        <w:ind w:left="1701"/>
        <w:rPr>
          <w:lang w:val="fr-FR"/>
        </w:rPr>
      </w:pPr>
      <w:r>
        <w:rPr>
          <w:lang w:val="fr-FR"/>
        </w:rPr>
        <w:tab/>
      </w:r>
      <w:r w:rsidRPr="000C2B76">
        <w:rPr>
          <w:lang w:val="fr-FR"/>
        </w:rPr>
        <w:t>Un traité ou une partie d</w:t>
      </w:r>
      <w:r>
        <w:rPr>
          <w:lang w:val="fr-FR"/>
        </w:rPr>
        <w:t>’</w:t>
      </w:r>
      <w:r w:rsidRPr="000C2B76">
        <w:rPr>
          <w:lang w:val="fr-FR"/>
        </w:rPr>
        <w:t>un traité s</w:t>
      </w:r>
      <w:r>
        <w:rPr>
          <w:lang w:val="fr-FR"/>
        </w:rPr>
        <w:t>’</w:t>
      </w:r>
      <w:r w:rsidRPr="000C2B76">
        <w:rPr>
          <w:lang w:val="fr-FR"/>
        </w:rPr>
        <w:t>applique à titre provisoire en attendant son entrée en vigueur entre les États ou organisations internationales concernés, lorsque le traité lui-même en dispose ainsi, ou lorsqu</w:t>
      </w:r>
      <w:r>
        <w:rPr>
          <w:lang w:val="fr-FR"/>
        </w:rPr>
        <w:t>’</w:t>
      </w:r>
      <w:r w:rsidRPr="000C2B76">
        <w:rPr>
          <w:lang w:val="fr-FR"/>
        </w:rPr>
        <w:t>il en a été ainsi convenu d</w:t>
      </w:r>
      <w:r>
        <w:rPr>
          <w:lang w:val="fr-FR"/>
        </w:rPr>
        <w:t>’</w:t>
      </w:r>
      <w:r w:rsidRPr="000C2B76">
        <w:rPr>
          <w:lang w:val="fr-FR"/>
        </w:rPr>
        <w:t>une autre manière</w:t>
      </w:r>
      <w:r w:rsidRPr="00F22925">
        <w:rPr>
          <w:lang w:val="fr-FR"/>
        </w:rPr>
        <w:t>.</w:t>
      </w:r>
    </w:p>
    <w:p w14:paraId="14F6DC84" w14:textId="77777777" w:rsidR="0043175D" w:rsidRPr="000C2B76" w:rsidRDefault="0043175D" w:rsidP="0043175D">
      <w:pPr>
        <w:pStyle w:val="H23G"/>
        <w:rPr>
          <w:lang w:val="fr-FR"/>
        </w:rPr>
      </w:pPr>
      <w:r w:rsidRPr="000C2B76">
        <w:rPr>
          <w:lang w:val="fr-FR"/>
        </w:rPr>
        <w:tab/>
      </w:r>
      <w:r w:rsidRPr="000C2B76">
        <w:rPr>
          <w:lang w:val="fr-FR"/>
        </w:rPr>
        <w:tab/>
        <w:t>Commentaire</w:t>
      </w:r>
    </w:p>
    <w:p w14:paraId="5D767B82" w14:textId="77777777" w:rsidR="0043175D" w:rsidRPr="000C2B76" w:rsidRDefault="0043175D" w:rsidP="0043175D">
      <w:pPr>
        <w:pStyle w:val="SingleTxtG"/>
        <w:rPr>
          <w:lang w:val="fr-FR"/>
        </w:rPr>
      </w:pPr>
      <w:r w:rsidRPr="000C2B76">
        <w:rPr>
          <w:lang w:val="fr-FR"/>
        </w:rPr>
        <w:t>1)</w:t>
      </w:r>
      <w:r w:rsidRPr="000C2B76">
        <w:rPr>
          <w:lang w:val="fr-FR"/>
        </w:rPr>
        <w:tab/>
        <w:t>Le projet de directive 3 énonce la règle générale en matière d</w:t>
      </w:r>
      <w:r>
        <w:rPr>
          <w:lang w:val="fr-FR"/>
        </w:rPr>
        <w:t>’</w:t>
      </w:r>
      <w:r w:rsidRPr="000C2B76">
        <w:rPr>
          <w:lang w:val="fr-FR"/>
        </w:rPr>
        <w:t>application à titre provisoire des traités</w:t>
      </w:r>
      <w:r w:rsidRPr="00F22925">
        <w:rPr>
          <w:lang w:val="fr-FR"/>
        </w:rPr>
        <w:t>.</w:t>
      </w:r>
      <w:r w:rsidRPr="000C2B76">
        <w:rPr>
          <w:lang w:val="fr-FR"/>
        </w:rPr>
        <w:t xml:space="preserve"> Le texte du projet de directive suit le libellé de l</w:t>
      </w:r>
      <w:r>
        <w:rPr>
          <w:lang w:val="fr-FR"/>
        </w:rPr>
        <w:t>’</w:t>
      </w:r>
      <w:r w:rsidRPr="000C2B76">
        <w:rPr>
          <w:lang w:val="fr-FR"/>
        </w:rPr>
        <w:t>article 25 de la Convention de Vienne de 1969, l</w:t>
      </w:r>
      <w:r>
        <w:rPr>
          <w:lang w:val="fr-FR"/>
        </w:rPr>
        <w:t>’</w:t>
      </w:r>
      <w:r w:rsidRPr="000C2B76">
        <w:rPr>
          <w:lang w:val="fr-FR"/>
        </w:rPr>
        <w:t>objectif étant de souligner que cet article est le point de départ du Guide, étant entendu, ainsi qu</w:t>
      </w:r>
      <w:r>
        <w:rPr>
          <w:lang w:val="fr-FR"/>
        </w:rPr>
        <w:t>’</w:t>
      </w:r>
      <w:r w:rsidRPr="000C2B76">
        <w:rPr>
          <w:lang w:val="fr-FR"/>
        </w:rPr>
        <w:t>il est dit au paragraphe 3 du commentaire du projet de directive 2, que les</w:t>
      </w:r>
      <w:r>
        <w:rPr>
          <w:lang w:val="fr-FR"/>
        </w:rPr>
        <w:t xml:space="preserve"> </w:t>
      </w:r>
      <w:r w:rsidRPr="000C2B76">
        <w:rPr>
          <w:lang w:val="fr-FR"/>
        </w:rPr>
        <w:t>Conventions de Vienne de 1969 et</w:t>
      </w:r>
      <w:r>
        <w:rPr>
          <w:lang w:val="fr-FR"/>
        </w:rPr>
        <w:t xml:space="preserve"> de</w:t>
      </w:r>
      <w:r w:rsidRPr="000C2B76">
        <w:rPr>
          <w:lang w:val="fr-FR"/>
        </w:rPr>
        <w:t xml:space="preserve"> 1986 ne reflètent pas tous les aspects de la pratique contemporaine en la matière</w:t>
      </w:r>
      <w:r w:rsidRPr="00F22925">
        <w:rPr>
          <w:lang w:val="fr-FR"/>
        </w:rPr>
        <w:t>.</w:t>
      </w:r>
    </w:p>
    <w:p w14:paraId="256D15FA" w14:textId="77777777" w:rsidR="0043175D" w:rsidRPr="000C2B76" w:rsidRDefault="0043175D" w:rsidP="0043175D">
      <w:pPr>
        <w:pStyle w:val="SingleTxtG"/>
        <w:rPr>
          <w:lang w:val="fr-FR"/>
        </w:rPr>
      </w:pPr>
      <w:r w:rsidRPr="000C2B76">
        <w:rPr>
          <w:lang w:val="fr-FR"/>
        </w:rPr>
        <w:t>2)</w:t>
      </w:r>
      <w:r w:rsidRPr="000C2B76">
        <w:rPr>
          <w:lang w:val="fr-FR"/>
        </w:rPr>
        <w:tab/>
        <w:t>Le premier membre de phrase confirme que, de manière générale, un traité ou une partie d</w:t>
      </w:r>
      <w:r>
        <w:rPr>
          <w:lang w:val="fr-FR"/>
        </w:rPr>
        <w:t>’</w:t>
      </w:r>
      <w:r w:rsidRPr="000C2B76">
        <w:rPr>
          <w:lang w:val="fr-FR"/>
        </w:rPr>
        <w:t>un traité peut s</w:t>
      </w:r>
      <w:r>
        <w:rPr>
          <w:lang w:val="fr-FR"/>
        </w:rPr>
        <w:t>’</w:t>
      </w:r>
      <w:r w:rsidRPr="000C2B76">
        <w:rPr>
          <w:lang w:val="fr-FR"/>
        </w:rPr>
        <w:t>appliquer à titre provisoire</w:t>
      </w:r>
      <w:r w:rsidRPr="00F22925">
        <w:rPr>
          <w:lang w:val="fr-FR"/>
        </w:rPr>
        <w:t>.</w:t>
      </w:r>
      <w:r w:rsidRPr="000C2B76">
        <w:rPr>
          <w:lang w:val="fr-FR"/>
        </w:rPr>
        <w:t xml:space="preserve"> Sa formulation suit celle de la phrase introductive du paragraphe 1 de l</w:t>
      </w:r>
      <w:r>
        <w:rPr>
          <w:lang w:val="fr-FR"/>
        </w:rPr>
        <w:t>’</w:t>
      </w:r>
      <w:r w:rsidRPr="000C2B76">
        <w:rPr>
          <w:lang w:val="fr-FR"/>
        </w:rPr>
        <w:t xml:space="preserve">article 25 des Conventions de Vienne de 1969 et </w:t>
      </w:r>
      <w:r>
        <w:rPr>
          <w:lang w:val="fr-FR"/>
        </w:rPr>
        <w:t xml:space="preserve">de </w:t>
      </w:r>
      <w:r w:rsidRPr="000C2B76">
        <w:rPr>
          <w:lang w:val="fr-FR"/>
        </w:rPr>
        <w:t>1986</w:t>
      </w:r>
      <w:r w:rsidRPr="00F22925">
        <w:rPr>
          <w:lang w:val="fr-FR"/>
        </w:rPr>
        <w:t>.</w:t>
      </w:r>
    </w:p>
    <w:p w14:paraId="64F0D2F0" w14:textId="77777777" w:rsidR="0043175D" w:rsidRPr="000C2B76" w:rsidRDefault="0043175D" w:rsidP="0043175D">
      <w:pPr>
        <w:pStyle w:val="SingleTxtG"/>
        <w:rPr>
          <w:lang w:val="fr-FR"/>
        </w:rPr>
      </w:pPr>
      <w:r w:rsidRPr="000C2B76">
        <w:rPr>
          <w:lang w:val="fr-FR"/>
        </w:rPr>
        <w:t>3)</w:t>
      </w:r>
      <w:r w:rsidRPr="000C2B76">
        <w:rPr>
          <w:lang w:val="fr-FR"/>
        </w:rPr>
        <w:tab/>
        <w:t>La distinction établie entre l</w:t>
      </w:r>
      <w:r>
        <w:rPr>
          <w:lang w:val="fr-FR"/>
        </w:rPr>
        <w:t>’</w:t>
      </w:r>
      <w:r w:rsidRPr="000C2B76">
        <w:rPr>
          <w:lang w:val="fr-FR"/>
        </w:rPr>
        <w:t>application à titre provisoire d</w:t>
      </w:r>
      <w:r>
        <w:rPr>
          <w:lang w:val="fr-FR"/>
        </w:rPr>
        <w:t>’</w:t>
      </w:r>
      <w:r w:rsidRPr="000C2B76">
        <w:rPr>
          <w:lang w:val="fr-FR"/>
        </w:rPr>
        <w:t>un traité dans son intégralité et l</w:t>
      </w:r>
      <w:r>
        <w:rPr>
          <w:lang w:val="fr-FR"/>
        </w:rPr>
        <w:t>’</w:t>
      </w:r>
      <w:r w:rsidRPr="000C2B76">
        <w:rPr>
          <w:lang w:val="fr-FR"/>
        </w:rPr>
        <w:t>application à titre provisoire d</w:t>
      </w:r>
      <w:r>
        <w:rPr>
          <w:lang w:val="fr-FR"/>
        </w:rPr>
        <w:t>’</w:t>
      </w:r>
      <w:r w:rsidRPr="000C2B76">
        <w:rPr>
          <w:lang w:val="fr-FR"/>
        </w:rPr>
        <w:t>une « partie » d</w:t>
      </w:r>
      <w:r>
        <w:rPr>
          <w:lang w:val="fr-FR"/>
        </w:rPr>
        <w:t>’</w:t>
      </w:r>
      <w:r w:rsidRPr="000C2B76">
        <w:rPr>
          <w:lang w:val="fr-FR"/>
        </w:rPr>
        <w:t>un traité trouve son origine dans l</w:t>
      </w:r>
      <w:r>
        <w:rPr>
          <w:lang w:val="fr-FR"/>
        </w:rPr>
        <w:t>’</w:t>
      </w:r>
      <w:r w:rsidRPr="000C2B76">
        <w:rPr>
          <w:lang w:val="fr-FR"/>
        </w:rPr>
        <w:t>article 25</w:t>
      </w:r>
      <w:r w:rsidRPr="00F22925">
        <w:rPr>
          <w:lang w:val="fr-FR"/>
        </w:rPr>
        <w:t>.</w:t>
      </w:r>
      <w:r w:rsidRPr="000C2B76">
        <w:rPr>
          <w:lang w:val="fr-FR"/>
        </w:rPr>
        <w:t xml:space="preserve"> Dans </w:t>
      </w:r>
      <w:r>
        <w:rPr>
          <w:lang w:val="fr-FR"/>
        </w:rPr>
        <w:t>ses</w:t>
      </w:r>
      <w:r w:rsidRPr="000C2B76">
        <w:rPr>
          <w:lang w:val="fr-FR"/>
        </w:rPr>
        <w:t xml:space="preserve"> </w:t>
      </w:r>
      <w:r>
        <w:rPr>
          <w:lang w:val="fr-FR"/>
        </w:rPr>
        <w:t xml:space="preserve">précédents </w:t>
      </w:r>
      <w:r w:rsidRPr="000C2B76">
        <w:rPr>
          <w:lang w:val="fr-FR"/>
        </w:rPr>
        <w:t xml:space="preserve">travaux </w:t>
      </w:r>
      <w:r>
        <w:rPr>
          <w:lang w:val="fr-FR"/>
        </w:rPr>
        <w:t>sur le</w:t>
      </w:r>
      <w:r w:rsidRPr="000C2B76">
        <w:rPr>
          <w:lang w:val="fr-FR"/>
        </w:rPr>
        <w:t xml:space="preserve"> droit des traités, la Commission a expressément envisagé la possibilité de l</w:t>
      </w:r>
      <w:r>
        <w:rPr>
          <w:lang w:val="fr-FR"/>
        </w:rPr>
        <w:t>’</w:t>
      </w:r>
      <w:r w:rsidRPr="000C2B76">
        <w:rPr>
          <w:lang w:val="fr-FR"/>
        </w:rPr>
        <w:t>application provisoire d</w:t>
      </w:r>
      <w:r>
        <w:rPr>
          <w:lang w:val="fr-FR"/>
        </w:rPr>
        <w:t>’</w:t>
      </w:r>
      <w:r w:rsidRPr="000C2B76">
        <w:rPr>
          <w:lang w:val="fr-FR"/>
        </w:rPr>
        <w:t>une partie seulement d</w:t>
      </w:r>
      <w:r>
        <w:rPr>
          <w:lang w:val="fr-FR"/>
        </w:rPr>
        <w:t>’</w:t>
      </w:r>
      <w:r w:rsidRPr="000C2B76">
        <w:rPr>
          <w:lang w:val="fr-FR"/>
        </w:rPr>
        <w:t>un traité</w:t>
      </w:r>
      <w:r w:rsidRPr="00F22925">
        <w:rPr>
          <w:lang w:val="fr-FR"/>
        </w:rPr>
        <w:t>.</w:t>
      </w:r>
      <w:r w:rsidRPr="000C2B76">
        <w:rPr>
          <w:lang w:val="fr-FR"/>
        </w:rPr>
        <w:t xml:space="preserve"> Au paragraphe 2 de l</w:t>
      </w:r>
      <w:r>
        <w:rPr>
          <w:lang w:val="fr-FR"/>
        </w:rPr>
        <w:t>’</w:t>
      </w:r>
      <w:r w:rsidRPr="000C2B76">
        <w:rPr>
          <w:lang w:val="fr-FR"/>
        </w:rPr>
        <w:t>article 22 du projet d</w:t>
      </w:r>
      <w:r>
        <w:rPr>
          <w:lang w:val="fr-FR"/>
        </w:rPr>
        <w:t>’</w:t>
      </w:r>
      <w:r w:rsidRPr="000C2B76">
        <w:rPr>
          <w:lang w:val="fr-FR"/>
        </w:rPr>
        <w:t>articles de 1966 sur le droit des traités, elle a établi que la « même règle » s</w:t>
      </w:r>
      <w:r>
        <w:rPr>
          <w:lang w:val="fr-FR"/>
        </w:rPr>
        <w:t>’</w:t>
      </w:r>
      <w:r w:rsidRPr="000C2B76">
        <w:rPr>
          <w:lang w:val="fr-FR"/>
        </w:rPr>
        <w:t>appliquait à une « partie d</w:t>
      </w:r>
      <w:r>
        <w:rPr>
          <w:lang w:val="fr-FR"/>
        </w:rPr>
        <w:t>’</w:t>
      </w:r>
      <w:r w:rsidRPr="000C2B76">
        <w:rPr>
          <w:lang w:val="fr-FR"/>
        </w:rPr>
        <w:t>un traité »</w:t>
      </w:r>
      <w:bookmarkStart w:id="4" w:name="_Ref76973086"/>
      <w:r w:rsidRPr="00F22830">
        <w:rPr>
          <w:rStyle w:val="FootnoteReference"/>
        </w:rPr>
        <w:footnoteReference w:id="12"/>
      </w:r>
      <w:bookmarkEnd w:id="4"/>
      <w:r w:rsidRPr="00F22925">
        <w:rPr>
          <w:lang w:val="fr-FR"/>
        </w:rPr>
        <w:t>.</w:t>
      </w:r>
      <w:r w:rsidRPr="000C2B76">
        <w:rPr>
          <w:lang w:val="fr-FR"/>
        </w:rPr>
        <w:t xml:space="preserve"> Dans le commentaire correspondant, elle a dit ce qui suit : « Non moins fréquente de nos jours est la pratique consistant à mettre en vigueur provisoirement une partie seulement d</w:t>
      </w:r>
      <w:r>
        <w:rPr>
          <w:lang w:val="fr-FR"/>
        </w:rPr>
        <w:t>’</w:t>
      </w:r>
      <w:r w:rsidRPr="000C2B76">
        <w:rPr>
          <w:lang w:val="fr-FR"/>
        </w:rPr>
        <w:t>un traité pour faire face aux besoins immédiats de la situation</w:t>
      </w:r>
      <w:r w:rsidRPr="00F22830">
        <w:rPr>
          <w:rStyle w:val="FootnoteReference"/>
        </w:rPr>
        <w:footnoteReference w:id="13"/>
      </w:r>
      <w:r w:rsidRPr="000C2B76">
        <w:rPr>
          <w:lang w:val="fr-FR"/>
        </w:rPr>
        <w:t> »</w:t>
      </w:r>
      <w:r w:rsidRPr="00F22925">
        <w:rPr>
          <w:lang w:val="fr-FR"/>
        </w:rPr>
        <w:t>.</w:t>
      </w:r>
      <w:r w:rsidRPr="000C2B76">
        <w:rPr>
          <w:lang w:val="fr-FR"/>
        </w:rPr>
        <w:t xml:space="preserve"> La</w:t>
      </w:r>
      <w:r>
        <w:rPr>
          <w:lang w:val="fr-FR"/>
        </w:rPr>
        <w:t xml:space="preserve"> </w:t>
      </w:r>
      <w:r w:rsidRPr="000C2B76">
        <w:rPr>
          <w:lang w:val="fr-FR"/>
        </w:rPr>
        <w:t>possibilité d</w:t>
      </w:r>
      <w:r>
        <w:rPr>
          <w:lang w:val="fr-FR"/>
        </w:rPr>
        <w:t>’</w:t>
      </w:r>
      <w:r w:rsidRPr="000C2B76">
        <w:rPr>
          <w:lang w:val="fr-FR"/>
        </w:rPr>
        <w:t>appliquer à titre provisoire une partie seulement d</w:t>
      </w:r>
      <w:r>
        <w:rPr>
          <w:lang w:val="fr-FR"/>
        </w:rPr>
        <w:t>’</w:t>
      </w:r>
      <w:r w:rsidRPr="000C2B76">
        <w:rPr>
          <w:lang w:val="fr-FR"/>
        </w:rPr>
        <w:t>un traité permet de surcroît de surmonter les difficultés que posent certains types de dispositions, telles que les clauses opérationnelles établissant des mécanismes de surveillance des traités qui peuvent remplir leurs fonctions au stade de l</w:t>
      </w:r>
      <w:r>
        <w:rPr>
          <w:lang w:val="fr-FR"/>
        </w:rPr>
        <w:t>’</w:t>
      </w:r>
      <w:r w:rsidRPr="000C2B76">
        <w:rPr>
          <w:lang w:val="fr-FR"/>
        </w:rPr>
        <w:t>application provisoire</w:t>
      </w:r>
      <w:r w:rsidRPr="00F22925">
        <w:rPr>
          <w:lang w:val="fr-FR"/>
        </w:rPr>
        <w:t>.</w:t>
      </w:r>
      <w:r w:rsidRPr="000C2B76">
        <w:rPr>
          <w:lang w:val="fr-FR"/>
        </w:rPr>
        <w:t xml:space="preserve"> En outre, les traités </w:t>
      </w:r>
      <w:r>
        <w:rPr>
          <w:lang w:val="fr-FR"/>
        </w:rPr>
        <w:t>contenant des dispositions commerciales</w:t>
      </w:r>
      <w:r w:rsidRPr="000C2B76">
        <w:rPr>
          <w:lang w:val="fr-FR"/>
        </w:rPr>
        <w:t xml:space="preserve"> sont souvent appliqués à titre provisoire</w:t>
      </w:r>
      <w:r w:rsidRPr="00F22830">
        <w:rPr>
          <w:rStyle w:val="FootnoteReference"/>
        </w:rPr>
        <w:footnoteReference w:id="14"/>
      </w:r>
      <w:r w:rsidRPr="00F22925">
        <w:rPr>
          <w:lang w:val="fr-FR"/>
        </w:rPr>
        <w:t>.</w:t>
      </w:r>
      <w:r w:rsidRPr="000C2B76">
        <w:rPr>
          <w:lang w:val="fr-FR"/>
        </w:rPr>
        <w:t xml:space="preserve"> C</w:t>
      </w:r>
      <w:r>
        <w:rPr>
          <w:lang w:val="fr-FR"/>
        </w:rPr>
        <w:t>’</w:t>
      </w:r>
      <w:r w:rsidRPr="000C2B76">
        <w:rPr>
          <w:lang w:val="fr-FR"/>
        </w:rPr>
        <w:t>est pourquoi l</w:t>
      </w:r>
      <w:r>
        <w:rPr>
          <w:lang w:val="fr-FR"/>
        </w:rPr>
        <w:t>’</w:t>
      </w:r>
      <w:r w:rsidRPr="000C2B76">
        <w:rPr>
          <w:lang w:val="fr-FR"/>
        </w:rPr>
        <w:t xml:space="preserve">application </w:t>
      </w:r>
      <w:r w:rsidRPr="000C2B76">
        <w:rPr>
          <w:lang w:val="fr-FR"/>
        </w:rPr>
        <w:lastRenderedPageBreak/>
        <w:t>provisoire d</w:t>
      </w:r>
      <w:r>
        <w:rPr>
          <w:lang w:val="fr-FR"/>
        </w:rPr>
        <w:t>’</w:t>
      </w:r>
      <w:r w:rsidRPr="000C2B76">
        <w:rPr>
          <w:lang w:val="fr-FR"/>
        </w:rPr>
        <w:t>une partie d</w:t>
      </w:r>
      <w:r>
        <w:rPr>
          <w:lang w:val="fr-FR"/>
        </w:rPr>
        <w:t>’</w:t>
      </w:r>
      <w:r w:rsidRPr="000C2B76">
        <w:rPr>
          <w:lang w:val="fr-FR"/>
        </w:rPr>
        <w:t>un traité a été envisagée, au moyen de la formule « l</w:t>
      </w:r>
      <w:r>
        <w:rPr>
          <w:lang w:val="fr-FR"/>
        </w:rPr>
        <w:t>’</w:t>
      </w:r>
      <w:r w:rsidRPr="000C2B76">
        <w:rPr>
          <w:lang w:val="fr-FR"/>
        </w:rPr>
        <w:t>application à titre provisoire d</w:t>
      </w:r>
      <w:r>
        <w:rPr>
          <w:lang w:val="fr-FR"/>
        </w:rPr>
        <w:t>’</w:t>
      </w:r>
      <w:r w:rsidRPr="000C2B76">
        <w:rPr>
          <w:lang w:val="fr-FR"/>
        </w:rPr>
        <w:t>un traité ou d</w:t>
      </w:r>
      <w:r>
        <w:rPr>
          <w:lang w:val="fr-FR"/>
        </w:rPr>
        <w:t>’</w:t>
      </w:r>
      <w:r w:rsidRPr="000C2B76">
        <w:rPr>
          <w:lang w:val="fr-FR"/>
        </w:rPr>
        <w:t>une partie d</w:t>
      </w:r>
      <w:r>
        <w:rPr>
          <w:lang w:val="fr-FR"/>
        </w:rPr>
        <w:t>’</w:t>
      </w:r>
      <w:r w:rsidRPr="000C2B76">
        <w:rPr>
          <w:lang w:val="fr-FR"/>
        </w:rPr>
        <w:t>un traité », utilisée dans l</w:t>
      </w:r>
      <w:r>
        <w:rPr>
          <w:lang w:val="fr-FR"/>
        </w:rPr>
        <w:t>’</w:t>
      </w:r>
      <w:r w:rsidRPr="000C2B76">
        <w:rPr>
          <w:lang w:val="fr-FR"/>
        </w:rPr>
        <w:t>ensemble du Guide</w:t>
      </w:r>
      <w:r w:rsidRPr="00F22830">
        <w:rPr>
          <w:rStyle w:val="FootnoteReference"/>
        </w:rPr>
        <w:footnoteReference w:id="15"/>
      </w:r>
      <w:r w:rsidRPr="00F22925">
        <w:rPr>
          <w:lang w:val="fr-FR"/>
        </w:rPr>
        <w:t>.</w:t>
      </w:r>
    </w:p>
    <w:p w14:paraId="05D92718" w14:textId="77777777" w:rsidR="0043175D" w:rsidRPr="000C2B76" w:rsidRDefault="0043175D" w:rsidP="0043175D">
      <w:pPr>
        <w:pStyle w:val="SingleTxtG"/>
        <w:rPr>
          <w:lang w:val="fr-FR"/>
        </w:rPr>
      </w:pPr>
      <w:r w:rsidRPr="000C2B76">
        <w:rPr>
          <w:lang w:val="fr-FR"/>
        </w:rPr>
        <w:t>4)</w:t>
      </w:r>
      <w:r w:rsidRPr="000C2B76">
        <w:rPr>
          <w:lang w:val="fr-FR"/>
        </w:rPr>
        <w:tab/>
        <w:t>Le deuxième membre de phrase, « en attendant son entrée en vigueur entre les États ou organisations internationales concernés », est basé sur la phrase introductive de l</w:t>
      </w:r>
      <w:r>
        <w:rPr>
          <w:lang w:val="fr-FR"/>
        </w:rPr>
        <w:t>’</w:t>
      </w:r>
      <w:r w:rsidRPr="000C2B76">
        <w:rPr>
          <w:lang w:val="fr-FR"/>
        </w:rPr>
        <w:t>article 25</w:t>
      </w:r>
      <w:r w:rsidRPr="00F22925">
        <w:rPr>
          <w:lang w:val="fr-FR"/>
        </w:rPr>
        <w:t>.</w:t>
      </w:r>
      <w:r w:rsidRPr="000C2B76">
        <w:rPr>
          <w:lang w:val="fr-FR"/>
        </w:rPr>
        <w:t xml:space="preserve"> L</w:t>
      </w:r>
      <w:r>
        <w:rPr>
          <w:lang w:val="fr-FR"/>
        </w:rPr>
        <w:t>’</w:t>
      </w:r>
      <w:r w:rsidRPr="000C2B76">
        <w:rPr>
          <w:lang w:val="fr-FR"/>
        </w:rPr>
        <w:t>emploi de la formule « en attendant son entrée en vigueur » vient souligner que, quoi qu</w:t>
      </w:r>
      <w:r>
        <w:rPr>
          <w:lang w:val="fr-FR"/>
        </w:rPr>
        <w:t>’</w:t>
      </w:r>
      <w:r w:rsidRPr="000C2B76">
        <w:rPr>
          <w:lang w:val="fr-FR"/>
        </w:rPr>
        <w:t>elle puisse aussi viser d</w:t>
      </w:r>
      <w:r>
        <w:rPr>
          <w:lang w:val="fr-FR"/>
        </w:rPr>
        <w:t>’</w:t>
      </w:r>
      <w:r w:rsidRPr="000C2B76">
        <w:rPr>
          <w:lang w:val="fr-FR"/>
        </w:rPr>
        <w:t>autres objectifs, l</w:t>
      </w:r>
      <w:r>
        <w:rPr>
          <w:lang w:val="fr-FR"/>
        </w:rPr>
        <w:t>’</w:t>
      </w:r>
      <w:r w:rsidRPr="000C2B76">
        <w:rPr>
          <w:lang w:val="fr-FR"/>
        </w:rPr>
        <w:t>application à titre provisoire joue un rôle dans la préparation ou la facilitation de l</w:t>
      </w:r>
      <w:r>
        <w:rPr>
          <w:lang w:val="fr-FR"/>
        </w:rPr>
        <w:t>’</w:t>
      </w:r>
      <w:r w:rsidRPr="000C2B76">
        <w:rPr>
          <w:lang w:val="fr-FR"/>
        </w:rPr>
        <w:t>entrée en vigueur</w:t>
      </w:r>
      <w:r w:rsidRPr="00F22925">
        <w:rPr>
          <w:lang w:val="fr-FR"/>
        </w:rPr>
        <w:t>.</w:t>
      </w:r>
      <w:r w:rsidRPr="000C2B76">
        <w:rPr>
          <w:lang w:val="fr-FR"/>
        </w:rPr>
        <w:t xml:space="preserve"> Si </w:t>
      </w:r>
      <w:r>
        <w:rPr>
          <w:lang w:val="fr-FR"/>
        </w:rPr>
        <w:t xml:space="preserve">cette formule </w:t>
      </w:r>
      <w:r w:rsidRPr="000C2B76">
        <w:rPr>
          <w:lang w:val="fr-FR"/>
        </w:rPr>
        <w:t xml:space="preserve">peut </w:t>
      </w:r>
      <w:r>
        <w:rPr>
          <w:lang w:val="fr-FR"/>
        </w:rPr>
        <w:t>être lue comme faisant</w:t>
      </w:r>
      <w:r w:rsidRPr="000C2B76">
        <w:rPr>
          <w:lang w:val="fr-FR"/>
        </w:rPr>
        <w:t xml:space="preserve"> référence à l</w:t>
      </w:r>
      <w:r>
        <w:rPr>
          <w:lang w:val="fr-FR"/>
        </w:rPr>
        <w:t>’</w:t>
      </w:r>
      <w:r w:rsidRPr="000C2B76">
        <w:rPr>
          <w:lang w:val="fr-FR"/>
        </w:rPr>
        <w:t>entrée en vigueur d</w:t>
      </w:r>
      <w:r>
        <w:rPr>
          <w:lang w:val="fr-FR"/>
        </w:rPr>
        <w:t>’</w:t>
      </w:r>
      <w:r w:rsidRPr="000C2B76">
        <w:rPr>
          <w:lang w:val="fr-FR"/>
        </w:rPr>
        <w:t>un traité en soi</w:t>
      </w:r>
      <w:r w:rsidRPr="00F22830">
        <w:rPr>
          <w:rStyle w:val="FootnoteReference"/>
        </w:rPr>
        <w:footnoteReference w:id="16"/>
      </w:r>
      <w:r w:rsidRPr="000C2B76">
        <w:rPr>
          <w:lang w:val="fr-FR"/>
        </w:rPr>
        <w:t xml:space="preserve">, </w:t>
      </w:r>
      <w:r>
        <w:rPr>
          <w:lang w:val="fr-FR"/>
        </w:rPr>
        <w:t>dans le cas des traités multilatéraux, le</w:t>
      </w:r>
      <w:r w:rsidRPr="000C2B76">
        <w:rPr>
          <w:lang w:val="fr-FR"/>
        </w:rPr>
        <w:t xml:space="preserve"> traité déjà entré en vigueur en soi continue </w:t>
      </w:r>
      <w:r>
        <w:rPr>
          <w:lang w:val="fr-FR"/>
        </w:rPr>
        <w:t>généralement</w:t>
      </w:r>
      <w:r w:rsidRPr="000C2B76">
        <w:rPr>
          <w:lang w:val="fr-FR"/>
        </w:rPr>
        <w:t xml:space="preserve"> de s</w:t>
      </w:r>
      <w:r>
        <w:rPr>
          <w:lang w:val="fr-FR"/>
        </w:rPr>
        <w:t>’</w:t>
      </w:r>
      <w:r w:rsidRPr="000C2B76">
        <w:rPr>
          <w:lang w:val="fr-FR"/>
        </w:rPr>
        <w:t xml:space="preserve">appliquer à titre provisoire pour </w:t>
      </w:r>
      <w:r>
        <w:rPr>
          <w:lang w:val="fr-FR"/>
        </w:rPr>
        <w:t>les</w:t>
      </w:r>
      <w:r w:rsidRPr="000C2B76">
        <w:rPr>
          <w:lang w:val="fr-FR"/>
        </w:rPr>
        <w:t xml:space="preserve"> États </w:t>
      </w:r>
      <w:r>
        <w:rPr>
          <w:lang w:val="fr-FR"/>
        </w:rPr>
        <w:t>et</w:t>
      </w:r>
      <w:r w:rsidRPr="000C2B76">
        <w:rPr>
          <w:lang w:val="fr-FR"/>
        </w:rPr>
        <w:t xml:space="preserve"> organisations internationales </w:t>
      </w:r>
      <w:r>
        <w:rPr>
          <w:lang w:val="fr-FR"/>
        </w:rPr>
        <w:t>à l’égard d</w:t>
      </w:r>
      <w:r w:rsidRPr="000C2B76">
        <w:rPr>
          <w:lang w:val="fr-FR"/>
        </w:rPr>
        <w:t>esquels il n</w:t>
      </w:r>
      <w:r>
        <w:rPr>
          <w:lang w:val="fr-FR"/>
        </w:rPr>
        <w:t>’</w:t>
      </w:r>
      <w:r w:rsidRPr="000C2B76">
        <w:rPr>
          <w:lang w:val="fr-FR"/>
        </w:rPr>
        <w:t>est pas encore entré en vigueur</w:t>
      </w:r>
      <w:r w:rsidRPr="00F22830">
        <w:rPr>
          <w:rStyle w:val="FootnoteReference"/>
        </w:rPr>
        <w:footnoteReference w:id="17"/>
      </w:r>
      <w:r w:rsidRPr="00F22925">
        <w:rPr>
          <w:lang w:val="fr-FR"/>
        </w:rPr>
        <w:t>.</w:t>
      </w:r>
      <w:r w:rsidRPr="000C2B76">
        <w:rPr>
          <w:lang w:val="fr-FR"/>
        </w:rPr>
        <w:t xml:space="preserve"> Aux fins du projet de directive 3, l</w:t>
      </w:r>
      <w:r>
        <w:rPr>
          <w:lang w:val="fr-FR"/>
        </w:rPr>
        <w:t>’</w:t>
      </w:r>
      <w:r w:rsidRPr="000C2B76">
        <w:rPr>
          <w:lang w:val="fr-FR"/>
        </w:rPr>
        <w:t>expression « entrée en vigueur » doit donc être interprétée à la lumière de l</w:t>
      </w:r>
      <w:r>
        <w:rPr>
          <w:lang w:val="fr-FR"/>
        </w:rPr>
        <w:t>’</w:t>
      </w:r>
      <w:r w:rsidRPr="000C2B76">
        <w:rPr>
          <w:lang w:val="fr-FR"/>
        </w:rPr>
        <w:t xml:space="preserve">article 24 des Conventions de Vienne de 1969 et </w:t>
      </w:r>
      <w:r>
        <w:rPr>
          <w:lang w:val="fr-FR"/>
        </w:rPr>
        <w:t xml:space="preserve">de </w:t>
      </w:r>
      <w:r w:rsidRPr="000C2B76">
        <w:rPr>
          <w:lang w:val="fr-FR"/>
        </w:rPr>
        <w:t>1986</w:t>
      </w:r>
      <w:r w:rsidRPr="00F22925">
        <w:rPr>
          <w:lang w:val="fr-FR"/>
        </w:rPr>
        <w:t>.</w:t>
      </w:r>
      <w:r w:rsidRPr="000C2B76">
        <w:rPr>
          <w:lang w:val="fr-FR"/>
        </w:rPr>
        <w:t xml:space="preserve"> Le projet de directive traite à la fois de l</w:t>
      </w:r>
      <w:r>
        <w:rPr>
          <w:lang w:val="fr-FR"/>
        </w:rPr>
        <w:t>’</w:t>
      </w:r>
      <w:r w:rsidRPr="000C2B76">
        <w:rPr>
          <w:lang w:val="fr-FR"/>
        </w:rPr>
        <w:t>entrée en vigueur du traité en soi et de l</w:t>
      </w:r>
      <w:r>
        <w:rPr>
          <w:lang w:val="fr-FR"/>
        </w:rPr>
        <w:t>’</w:t>
      </w:r>
      <w:r w:rsidRPr="000C2B76">
        <w:rPr>
          <w:lang w:val="fr-FR"/>
        </w:rPr>
        <w:t>entrée en vigueur pour chaque État ou organisation internationale concerné, c</w:t>
      </w:r>
      <w:r>
        <w:rPr>
          <w:lang w:val="fr-FR"/>
        </w:rPr>
        <w:t>’</w:t>
      </w:r>
      <w:r w:rsidRPr="000C2B76">
        <w:rPr>
          <w:lang w:val="fr-FR"/>
        </w:rPr>
        <w:t>est-à-dire chaque État ou organisation internationale pour qui l</w:t>
      </w:r>
      <w:r>
        <w:rPr>
          <w:lang w:val="fr-FR"/>
        </w:rPr>
        <w:t>’</w:t>
      </w:r>
      <w:r w:rsidRPr="000C2B76">
        <w:rPr>
          <w:lang w:val="fr-FR"/>
        </w:rPr>
        <w:t>application provisoire a créé des droits et des obligations</w:t>
      </w:r>
      <w:r w:rsidRPr="00F22925">
        <w:rPr>
          <w:lang w:val="fr-FR"/>
        </w:rPr>
        <w:t>.</w:t>
      </w:r>
      <w:r w:rsidRPr="000C2B76">
        <w:rPr>
          <w:lang w:val="fr-FR"/>
        </w:rPr>
        <w:t xml:space="preserve"> L</w:t>
      </w:r>
      <w:r>
        <w:rPr>
          <w:lang w:val="fr-FR"/>
        </w:rPr>
        <w:t>’</w:t>
      </w:r>
      <w:r w:rsidRPr="000C2B76">
        <w:rPr>
          <w:lang w:val="fr-FR"/>
        </w:rPr>
        <w:t xml:space="preserve">ajout du membre de phrase « entre les États ou organisations internationales concernés » dans le projet de directive </w:t>
      </w:r>
      <w:r>
        <w:rPr>
          <w:lang w:val="fr-FR"/>
        </w:rPr>
        <w:t>reflète le fait</w:t>
      </w:r>
      <w:r w:rsidRPr="000C2B76">
        <w:rPr>
          <w:lang w:val="fr-FR"/>
        </w:rPr>
        <w:t xml:space="preserve"> que l</w:t>
      </w:r>
      <w:r>
        <w:rPr>
          <w:lang w:val="fr-FR"/>
        </w:rPr>
        <w:t>’</w:t>
      </w:r>
      <w:r w:rsidRPr="000C2B76">
        <w:rPr>
          <w:lang w:val="fr-FR"/>
        </w:rPr>
        <w:t xml:space="preserve">application à titre provisoire peut se poursuivre </w:t>
      </w:r>
      <w:r w:rsidRPr="000C2B76">
        <w:rPr>
          <w:lang w:val="fr-FR"/>
        </w:rPr>
        <w:lastRenderedPageBreak/>
        <w:t>à l</w:t>
      </w:r>
      <w:r>
        <w:rPr>
          <w:lang w:val="fr-FR"/>
        </w:rPr>
        <w:t>’</w:t>
      </w:r>
      <w:r w:rsidRPr="000C2B76">
        <w:rPr>
          <w:lang w:val="fr-FR"/>
        </w:rPr>
        <w:t>égard des États ou organisations internationales pour lesquels le traité n</w:t>
      </w:r>
      <w:r>
        <w:rPr>
          <w:lang w:val="fr-FR"/>
        </w:rPr>
        <w:t>’</w:t>
      </w:r>
      <w:r w:rsidRPr="000C2B76">
        <w:rPr>
          <w:lang w:val="fr-FR"/>
        </w:rPr>
        <w:t>est pas encore entré en vigueur, après l</w:t>
      </w:r>
      <w:r>
        <w:rPr>
          <w:lang w:val="fr-FR"/>
        </w:rPr>
        <w:t>’</w:t>
      </w:r>
      <w:r w:rsidRPr="000C2B76">
        <w:rPr>
          <w:lang w:val="fr-FR"/>
        </w:rPr>
        <w:t>entrée en vigueur du traité lui-même</w:t>
      </w:r>
      <w:r w:rsidRPr="00F22925">
        <w:rPr>
          <w:lang w:val="fr-FR"/>
        </w:rPr>
        <w:t>.</w:t>
      </w:r>
      <w:r w:rsidRPr="000C2B76">
        <w:rPr>
          <w:lang w:val="fr-FR"/>
        </w:rPr>
        <w:t xml:space="preserve"> </w:t>
      </w:r>
    </w:p>
    <w:p w14:paraId="76BD7864" w14:textId="77777777" w:rsidR="0043175D" w:rsidRPr="000C2B76" w:rsidRDefault="0043175D" w:rsidP="0043175D">
      <w:pPr>
        <w:pStyle w:val="SingleTxtG"/>
        <w:rPr>
          <w:lang w:val="fr-FR"/>
        </w:rPr>
      </w:pPr>
      <w:r w:rsidRPr="000C2B76">
        <w:rPr>
          <w:lang w:val="fr-FR"/>
        </w:rPr>
        <w:t>5)</w:t>
      </w:r>
      <w:r w:rsidRPr="000C2B76">
        <w:rPr>
          <w:lang w:val="fr-FR"/>
        </w:rPr>
        <w:tab/>
        <w:t xml:space="preserve">Les troisième et </w:t>
      </w:r>
      <w:proofErr w:type="gramStart"/>
      <w:r w:rsidRPr="000C2B76">
        <w:rPr>
          <w:lang w:val="fr-FR"/>
        </w:rPr>
        <w:t>quatrième membres</w:t>
      </w:r>
      <w:proofErr w:type="gramEnd"/>
      <w:r w:rsidRPr="000C2B76">
        <w:rPr>
          <w:lang w:val="fr-FR"/>
        </w:rPr>
        <w:t xml:space="preserve"> de phrase (« lorsque le traité lui-même en dispose ainsi, ou lorsqu</w:t>
      </w:r>
      <w:r>
        <w:rPr>
          <w:lang w:val="fr-FR"/>
        </w:rPr>
        <w:t>’</w:t>
      </w:r>
      <w:r w:rsidRPr="000C2B76">
        <w:rPr>
          <w:lang w:val="fr-FR"/>
        </w:rPr>
        <w:t>il en a été ainsi convenu d</w:t>
      </w:r>
      <w:r>
        <w:rPr>
          <w:lang w:val="fr-FR"/>
        </w:rPr>
        <w:t>’</w:t>
      </w:r>
      <w:r w:rsidRPr="000C2B76">
        <w:rPr>
          <w:lang w:val="fr-FR"/>
        </w:rPr>
        <w:t>une autre manière ») reflètent les deux cas de figure dans lesquels l</w:t>
      </w:r>
      <w:r>
        <w:rPr>
          <w:lang w:val="fr-FR"/>
        </w:rPr>
        <w:t>’</w:t>
      </w:r>
      <w:r w:rsidRPr="000C2B76">
        <w:rPr>
          <w:lang w:val="fr-FR"/>
        </w:rPr>
        <w:t>application à titre provisoire est possible selon les alinéas a) et b) du paragraphe 1 de l</w:t>
      </w:r>
      <w:r>
        <w:rPr>
          <w:lang w:val="fr-FR"/>
        </w:rPr>
        <w:t>’</w:t>
      </w:r>
      <w:r w:rsidRPr="000C2B76">
        <w:rPr>
          <w:lang w:val="fr-FR"/>
        </w:rPr>
        <w:t>article 25</w:t>
      </w:r>
      <w:r w:rsidRPr="00F22925">
        <w:rPr>
          <w:lang w:val="fr-FR"/>
        </w:rPr>
        <w:t>.</w:t>
      </w:r>
      <w:r w:rsidRPr="000C2B76">
        <w:rPr>
          <w:lang w:val="fr-FR"/>
        </w:rPr>
        <w:t xml:space="preserve"> La possibilité d</w:t>
      </w:r>
      <w:r>
        <w:rPr>
          <w:lang w:val="fr-FR"/>
        </w:rPr>
        <w:t>’</w:t>
      </w:r>
      <w:r w:rsidRPr="000C2B76">
        <w:rPr>
          <w:lang w:val="fr-FR"/>
        </w:rPr>
        <w:t>appliquer un traité provisoirement sur la base d</w:t>
      </w:r>
      <w:r>
        <w:rPr>
          <w:lang w:val="fr-FR"/>
        </w:rPr>
        <w:t>’</w:t>
      </w:r>
      <w:r w:rsidRPr="000C2B76">
        <w:rPr>
          <w:lang w:val="fr-FR"/>
        </w:rPr>
        <w:t>une disposition du traité en question étant bien établie</w:t>
      </w:r>
      <w:r w:rsidRPr="00F22830">
        <w:rPr>
          <w:rStyle w:val="FootnoteReference"/>
        </w:rPr>
        <w:footnoteReference w:id="18"/>
      </w:r>
      <w:r w:rsidRPr="000C2B76">
        <w:rPr>
          <w:lang w:val="fr-FR"/>
        </w:rPr>
        <w:t xml:space="preserve">, la formulation du troisième membre de phrase est calquée sur celle des Conventions de Vienne </w:t>
      </w:r>
      <w:r>
        <w:rPr>
          <w:lang w:val="fr-FR"/>
        </w:rPr>
        <w:t>de 1969 et de 1986</w:t>
      </w:r>
      <w:r w:rsidRPr="00F22925">
        <w:rPr>
          <w:lang w:val="fr-FR"/>
        </w:rPr>
        <w:t>.</w:t>
      </w:r>
    </w:p>
    <w:p w14:paraId="5DC088C4" w14:textId="77777777" w:rsidR="0043175D" w:rsidRPr="000C2B76" w:rsidRDefault="0043175D" w:rsidP="0043175D">
      <w:pPr>
        <w:pStyle w:val="SingleTxtG"/>
        <w:rPr>
          <w:lang w:val="fr-FR"/>
        </w:rPr>
      </w:pPr>
      <w:r w:rsidRPr="000C2B76">
        <w:rPr>
          <w:lang w:val="fr-FR"/>
        </w:rPr>
        <w:t>6)</w:t>
      </w:r>
      <w:r w:rsidRPr="000C2B76">
        <w:rPr>
          <w:lang w:val="fr-FR"/>
        </w:rPr>
        <w:tab/>
      </w:r>
      <w:r>
        <w:rPr>
          <w:lang w:val="fr-FR"/>
        </w:rPr>
        <w:t>Si</w:t>
      </w:r>
      <w:r w:rsidRPr="000C2B76">
        <w:rPr>
          <w:lang w:val="fr-FR"/>
        </w:rPr>
        <w:t xml:space="preserve"> l</w:t>
      </w:r>
      <w:r>
        <w:rPr>
          <w:lang w:val="fr-FR"/>
        </w:rPr>
        <w:t>’</w:t>
      </w:r>
      <w:r w:rsidRPr="000C2B76">
        <w:rPr>
          <w:lang w:val="fr-FR"/>
        </w:rPr>
        <w:t xml:space="preserve">article 25 des Conventions de Vienne </w:t>
      </w:r>
      <w:r>
        <w:rPr>
          <w:lang w:val="fr-FR"/>
        </w:rPr>
        <w:t>de 1969 et de 1986 fait référence, à</w:t>
      </w:r>
      <w:r w:rsidRPr="000C2B76">
        <w:rPr>
          <w:lang w:val="fr-FR"/>
        </w:rPr>
        <w:t xml:space="preserve"> l</w:t>
      </w:r>
      <w:r>
        <w:rPr>
          <w:lang w:val="fr-FR"/>
        </w:rPr>
        <w:t>’</w:t>
      </w:r>
      <w:r w:rsidRPr="000C2B76">
        <w:rPr>
          <w:lang w:val="fr-FR"/>
        </w:rPr>
        <w:t>alinéa</w:t>
      </w:r>
      <w:r>
        <w:rPr>
          <w:lang w:val="fr-FR"/>
        </w:rPr>
        <w:t> </w:t>
      </w:r>
      <w:r w:rsidRPr="000C2B76">
        <w:rPr>
          <w:lang w:val="fr-FR"/>
        </w:rPr>
        <w:t>b) du paragraphe 1</w:t>
      </w:r>
      <w:r>
        <w:rPr>
          <w:lang w:val="fr-FR"/>
        </w:rPr>
        <w:t>,</w:t>
      </w:r>
      <w:r w:rsidRPr="000C2B76">
        <w:rPr>
          <w:lang w:val="fr-FR"/>
        </w:rPr>
        <w:t xml:space="preserve"> à l</w:t>
      </w:r>
      <w:r>
        <w:rPr>
          <w:lang w:val="fr-FR"/>
        </w:rPr>
        <w:t>’</w:t>
      </w:r>
      <w:r w:rsidRPr="000C2B76">
        <w:rPr>
          <w:lang w:val="fr-FR"/>
        </w:rPr>
        <w:t>application à titre provisoire d</w:t>
      </w:r>
      <w:r>
        <w:rPr>
          <w:lang w:val="fr-FR"/>
        </w:rPr>
        <w:t>’</w:t>
      </w:r>
      <w:r w:rsidRPr="000C2B76">
        <w:rPr>
          <w:lang w:val="fr-FR"/>
        </w:rPr>
        <w:t>un traité ou d</w:t>
      </w:r>
      <w:r>
        <w:rPr>
          <w:lang w:val="fr-FR"/>
        </w:rPr>
        <w:t>’</w:t>
      </w:r>
      <w:r w:rsidRPr="000C2B76">
        <w:rPr>
          <w:lang w:val="fr-FR"/>
        </w:rPr>
        <w:t>une partie d</w:t>
      </w:r>
      <w:r>
        <w:rPr>
          <w:lang w:val="fr-FR"/>
        </w:rPr>
        <w:t>’</w:t>
      </w:r>
      <w:r w:rsidRPr="000C2B76">
        <w:rPr>
          <w:lang w:val="fr-FR"/>
        </w:rPr>
        <w:t xml:space="preserve">un traité </w:t>
      </w:r>
      <w:r>
        <w:rPr>
          <w:lang w:val="fr-FR"/>
        </w:rPr>
        <w:t xml:space="preserve">convenue </w:t>
      </w:r>
      <w:r w:rsidRPr="000C2B76">
        <w:rPr>
          <w:lang w:val="fr-FR"/>
        </w:rPr>
        <w:t>entre «</w:t>
      </w:r>
      <w:r>
        <w:rPr>
          <w:lang w:val="fr-FR"/>
        </w:rPr>
        <w:t xml:space="preserve"> les </w:t>
      </w:r>
      <w:r w:rsidRPr="000C2B76">
        <w:rPr>
          <w:lang w:val="fr-FR"/>
        </w:rPr>
        <w:t xml:space="preserve">États ayant participé à la négociation » ou « les États et les organisations </w:t>
      </w:r>
      <w:r>
        <w:rPr>
          <w:lang w:val="fr-FR"/>
        </w:rPr>
        <w:t xml:space="preserve">[…] </w:t>
      </w:r>
      <w:r w:rsidRPr="000C2B76">
        <w:rPr>
          <w:lang w:val="fr-FR"/>
        </w:rPr>
        <w:t xml:space="preserve">ayant participé à la négociation », </w:t>
      </w:r>
      <w:r>
        <w:rPr>
          <w:lang w:val="fr-FR"/>
        </w:rPr>
        <w:t>ce n’est pas le cas du</w:t>
      </w:r>
      <w:r w:rsidRPr="000C2B76">
        <w:rPr>
          <w:lang w:val="fr-FR"/>
        </w:rPr>
        <w:t xml:space="preserve"> projet de directive</w:t>
      </w:r>
      <w:r>
        <w:rPr>
          <w:lang w:val="fr-FR"/>
        </w:rPr>
        <w:t> </w:t>
      </w:r>
      <w:r w:rsidRPr="000C2B76">
        <w:rPr>
          <w:lang w:val="fr-FR"/>
        </w:rPr>
        <w:t>3</w:t>
      </w:r>
      <w:r w:rsidRPr="00F22925">
        <w:rPr>
          <w:lang w:val="fr-FR"/>
        </w:rPr>
        <w:t>.</w:t>
      </w:r>
      <w:r w:rsidRPr="000C2B76">
        <w:rPr>
          <w:lang w:val="fr-FR"/>
        </w:rPr>
        <w:t xml:space="preserve"> Dans la pratique contemporaine, il arrive qu</w:t>
      </w:r>
      <w:r>
        <w:rPr>
          <w:lang w:val="fr-FR"/>
        </w:rPr>
        <w:t>’</w:t>
      </w:r>
      <w:r w:rsidRPr="000C2B76">
        <w:rPr>
          <w:lang w:val="fr-FR"/>
        </w:rPr>
        <w:t>un traité soit appliqué provisoirement par des États ou des organisations internationales qui n</w:t>
      </w:r>
      <w:r>
        <w:rPr>
          <w:lang w:val="fr-FR"/>
        </w:rPr>
        <w:t>’</w:t>
      </w:r>
      <w:r w:rsidRPr="000C2B76">
        <w:rPr>
          <w:lang w:val="fr-FR"/>
        </w:rPr>
        <w:t>ont pas participé à sa négociation</w:t>
      </w:r>
      <w:r>
        <w:rPr>
          <w:lang w:val="fr-FR"/>
        </w:rPr>
        <w:t>,</w:t>
      </w:r>
      <w:r w:rsidRPr="000C2B76">
        <w:rPr>
          <w:lang w:val="fr-FR"/>
        </w:rPr>
        <w:t xml:space="preserve"> mais</w:t>
      </w:r>
      <w:r>
        <w:rPr>
          <w:lang w:val="fr-FR"/>
        </w:rPr>
        <w:t xml:space="preserve"> ont</w:t>
      </w:r>
      <w:r w:rsidRPr="000C2B76">
        <w:rPr>
          <w:lang w:val="fr-FR"/>
        </w:rPr>
        <w:t xml:space="preserve"> ultérieurement</w:t>
      </w:r>
      <w:r>
        <w:rPr>
          <w:lang w:val="fr-FR"/>
        </w:rPr>
        <w:t xml:space="preserve"> consenti à son application provisoire</w:t>
      </w:r>
      <w:r w:rsidRPr="00F22925">
        <w:rPr>
          <w:lang w:val="fr-FR"/>
        </w:rPr>
        <w:t>.</w:t>
      </w:r>
      <w:r w:rsidRPr="000C2B76">
        <w:rPr>
          <w:lang w:val="fr-FR"/>
        </w:rPr>
        <w:t xml:space="preserve"> La pratique pertinente peut être déterminée à la lumière de certains accords sur des produits de base qui ne sont jamais entrés en vigueur, mais dont l</w:t>
      </w:r>
      <w:r>
        <w:rPr>
          <w:lang w:val="fr-FR"/>
        </w:rPr>
        <w:t>’</w:t>
      </w:r>
      <w:r w:rsidRPr="000C2B76">
        <w:rPr>
          <w:lang w:val="fr-FR"/>
        </w:rPr>
        <w:t>application provisoire a été prorogée au-delà de la date de leur extinction</w:t>
      </w:r>
      <w:r w:rsidRPr="00F22830">
        <w:rPr>
          <w:rStyle w:val="FootnoteReference"/>
        </w:rPr>
        <w:footnoteReference w:id="19"/>
      </w:r>
      <w:r w:rsidRPr="00F22925">
        <w:rPr>
          <w:lang w:val="fr-FR"/>
        </w:rPr>
        <w:t>.</w:t>
      </w:r>
      <w:r w:rsidRPr="000C2B76">
        <w:rPr>
          <w:lang w:val="fr-FR"/>
        </w:rPr>
        <w:t xml:space="preserve"> Dans le cas de ces accords, la prorogation </w:t>
      </w:r>
      <w:r w:rsidRPr="000C2B76">
        <w:rPr>
          <w:lang w:val="fr-FR"/>
        </w:rPr>
        <w:lastRenderedPageBreak/>
        <w:t>peut être interprétée comme s</w:t>
      </w:r>
      <w:r>
        <w:rPr>
          <w:lang w:val="fr-FR"/>
        </w:rPr>
        <w:t>’</w:t>
      </w:r>
      <w:r w:rsidRPr="000C2B76">
        <w:rPr>
          <w:lang w:val="fr-FR"/>
        </w:rPr>
        <w:t>appliquant aussi aux États ayant adhéré à l</w:t>
      </w:r>
      <w:r>
        <w:rPr>
          <w:lang w:val="fr-FR"/>
        </w:rPr>
        <w:t>’</w:t>
      </w:r>
      <w:r w:rsidRPr="000C2B76">
        <w:rPr>
          <w:lang w:val="fr-FR"/>
        </w:rPr>
        <w:t>accord, ce qui montre que ces États étaient considérés comme ayant également appliqué l</w:t>
      </w:r>
      <w:r>
        <w:rPr>
          <w:lang w:val="fr-FR"/>
        </w:rPr>
        <w:t>’</w:t>
      </w:r>
      <w:r w:rsidRPr="000C2B76">
        <w:rPr>
          <w:lang w:val="fr-FR"/>
        </w:rPr>
        <w:t>accord provisoirement</w:t>
      </w:r>
      <w:r w:rsidRPr="00F22925">
        <w:rPr>
          <w:lang w:val="fr-FR"/>
        </w:rPr>
        <w:t>.</w:t>
      </w:r>
      <w:r w:rsidRPr="000C2B76">
        <w:rPr>
          <w:lang w:val="fr-FR"/>
        </w:rPr>
        <w:t xml:space="preserve"> En outre, établir une distinction entre différents groupes d</w:t>
      </w:r>
      <w:r>
        <w:rPr>
          <w:lang w:val="fr-FR"/>
        </w:rPr>
        <w:t>’</w:t>
      </w:r>
      <w:r w:rsidRPr="000C2B76">
        <w:rPr>
          <w:lang w:val="fr-FR"/>
        </w:rPr>
        <w:t>États ou d</w:t>
      </w:r>
      <w:r>
        <w:rPr>
          <w:lang w:val="fr-FR"/>
        </w:rPr>
        <w:t>’</w:t>
      </w:r>
      <w:r w:rsidRPr="000C2B76">
        <w:rPr>
          <w:lang w:val="fr-FR"/>
        </w:rPr>
        <w:t xml:space="preserve">organisations internationales </w:t>
      </w:r>
      <w:r>
        <w:rPr>
          <w:lang w:val="fr-FR"/>
        </w:rPr>
        <w:t>selon qu’ils ont ou non participé à la négociation du traité</w:t>
      </w:r>
      <w:r w:rsidRPr="000C2B76">
        <w:rPr>
          <w:lang w:val="fr-FR"/>
        </w:rPr>
        <w:t xml:space="preserve"> n</w:t>
      </w:r>
      <w:r>
        <w:rPr>
          <w:lang w:val="fr-FR"/>
        </w:rPr>
        <w:t>’</w:t>
      </w:r>
      <w:r w:rsidRPr="000C2B76">
        <w:rPr>
          <w:lang w:val="fr-FR"/>
        </w:rPr>
        <w:t>est guère utile dans le contexte des traités bilatéraux ; or, ce sont ces traités qui constituent la grande majorité des instruments appliqués à titre provisoire</w:t>
      </w:r>
      <w:r w:rsidRPr="00F22925">
        <w:rPr>
          <w:lang w:val="fr-FR"/>
        </w:rPr>
        <w:t>.</w:t>
      </w:r>
      <w:r w:rsidRPr="000C2B76">
        <w:rPr>
          <w:lang w:val="fr-FR"/>
        </w:rPr>
        <w:t xml:space="preserve"> C</w:t>
      </w:r>
      <w:r>
        <w:rPr>
          <w:lang w:val="fr-FR"/>
        </w:rPr>
        <w:t>’</w:t>
      </w:r>
      <w:r w:rsidRPr="000C2B76">
        <w:rPr>
          <w:lang w:val="fr-FR"/>
        </w:rPr>
        <w:t>est pourquoi le projet de directive 3 réaffirme</w:t>
      </w:r>
      <w:r>
        <w:rPr>
          <w:lang w:val="fr-FR"/>
        </w:rPr>
        <w:t xml:space="preserve"> </w:t>
      </w:r>
      <w:r w:rsidRPr="000C2B76">
        <w:rPr>
          <w:lang w:val="fr-FR"/>
        </w:rPr>
        <w:t>la règle de base</w:t>
      </w:r>
      <w:r>
        <w:rPr>
          <w:lang w:val="fr-FR"/>
        </w:rPr>
        <w:t xml:space="preserve"> sans mentionner « les États ayant participé à la négociation » ou « </w:t>
      </w:r>
      <w:r w:rsidRPr="000C2B76">
        <w:rPr>
          <w:lang w:val="fr-FR"/>
        </w:rPr>
        <w:t xml:space="preserve">les États et les organisations </w:t>
      </w:r>
      <w:r>
        <w:rPr>
          <w:lang w:val="fr-FR"/>
        </w:rPr>
        <w:t xml:space="preserve">[…] </w:t>
      </w:r>
      <w:r w:rsidRPr="000C2B76">
        <w:rPr>
          <w:lang w:val="fr-FR"/>
        </w:rPr>
        <w:t>ayant participé à la négociation »</w:t>
      </w:r>
      <w:r w:rsidRPr="00F22925">
        <w:rPr>
          <w:lang w:val="fr-FR"/>
        </w:rPr>
        <w:t>.</w:t>
      </w:r>
    </w:p>
    <w:p w14:paraId="3E4BAB88" w14:textId="77777777" w:rsidR="0043175D" w:rsidRPr="000C2B76" w:rsidRDefault="0043175D" w:rsidP="0043175D">
      <w:pPr>
        <w:pStyle w:val="SingleTxtG"/>
        <w:rPr>
          <w:lang w:val="fr-FR"/>
        </w:rPr>
      </w:pPr>
      <w:r w:rsidRPr="000C2B76">
        <w:rPr>
          <w:lang w:val="fr-FR"/>
        </w:rPr>
        <w:t>7)</w:t>
      </w:r>
      <w:r w:rsidRPr="000C2B76">
        <w:rPr>
          <w:lang w:val="fr-FR"/>
        </w:rPr>
        <w:tab/>
        <w:t>Le projet de directive 3 doit être lu en parallèle avec le projet de directive 4, qui apporte des précisions sur l</w:t>
      </w:r>
      <w:r>
        <w:rPr>
          <w:lang w:val="fr-FR"/>
        </w:rPr>
        <w:t>’</w:t>
      </w:r>
      <w:r w:rsidRPr="000C2B76">
        <w:rPr>
          <w:lang w:val="fr-FR"/>
        </w:rPr>
        <w:t>application à titre provisoire au moyen d</w:t>
      </w:r>
      <w:r>
        <w:rPr>
          <w:lang w:val="fr-FR"/>
        </w:rPr>
        <w:t>’</w:t>
      </w:r>
      <w:r w:rsidRPr="000C2B76">
        <w:rPr>
          <w:lang w:val="fr-FR"/>
        </w:rPr>
        <w:t>un accord distinct en expliquant le sens des termes « convenu d</w:t>
      </w:r>
      <w:r>
        <w:rPr>
          <w:lang w:val="fr-FR"/>
        </w:rPr>
        <w:t>’</w:t>
      </w:r>
      <w:r w:rsidRPr="000C2B76">
        <w:rPr>
          <w:lang w:val="fr-FR"/>
        </w:rPr>
        <w:t>une autre manière »</w:t>
      </w:r>
      <w:r w:rsidRPr="00F22925">
        <w:rPr>
          <w:lang w:val="fr-FR"/>
        </w:rPr>
        <w:t>.</w:t>
      </w:r>
    </w:p>
    <w:p w14:paraId="7800628F" w14:textId="77777777" w:rsidR="0043175D" w:rsidRPr="000C2B76" w:rsidRDefault="0043175D" w:rsidP="0043175D">
      <w:pPr>
        <w:pStyle w:val="SingleTxtG"/>
        <w:ind w:left="1701"/>
        <w:rPr>
          <w:b/>
          <w:lang w:val="fr-FR"/>
        </w:rPr>
      </w:pPr>
      <w:r w:rsidRPr="000C2B76">
        <w:rPr>
          <w:b/>
          <w:lang w:val="fr-FR"/>
        </w:rPr>
        <w:t xml:space="preserve">Directive 4 </w:t>
      </w:r>
      <w:r w:rsidRPr="000C2B76">
        <w:rPr>
          <w:b/>
          <w:lang w:val="fr-FR"/>
        </w:rPr>
        <w:br/>
        <w:t>Forme de l</w:t>
      </w:r>
      <w:r>
        <w:rPr>
          <w:b/>
          <w:lang w:val="fr-FR"/>
        </w:rPr>
        <w:t>’</w:t>
      </w:r>
      <w:r w:rsidRPr="000C2B76">
        <w:rPr>
          <w:b/>
          <w:lang w:val="fr-FR"/>
        </w:rPr>
        <w:t>accord</w:t>
      </w:r>
    </w:p>
    <w:p w14:paraId="41D20634" w14:textId="77777777" w:rsidR="0043175D" w:rsidRPr="000C2B76" w:rsidRDefault="0043175D" w:rsidP="0043175D">
      <w:pPr>
        <w:pStyle w:val="SingleTxtG"/>
        <w:ind w:left="1701"/>
        <w:rPr>
          <w:lang w:val="fr-FR"/>
        </w:rPr>
      </w:pPr>
      <w:r>
        <w:rPr>
          <w:lang w:val="fr-FR"/>
        </w:rPr>
        <w:tab/>
      </w:r>
      <w:r w:rsidRPr="000C2B76">
        <w:rPr>
          <w:lang w:val="fr-FR"/>
        </w:rPr>
        <w:t>Outre le cas dans lequel le traité en dispose ainsi, l</w:t>
      </w:r>
      <w:r>
        <w:rPr>
          <w:lang w:val="fr-FR"/>
        </w:rPr>
        <w:t>’</w:t>
      </w:r>
      <w:r w:rsidRPr="000C2B76">
        <w:rPr>
          <w:lang w:val="fr-FR"/>
        </w:rPr>
        <w:t>application à titre provisoire d</w:t>
      </w:r>
      <w:r>
        <w:rPr>
          <w:lang w:val="fr-FR"/>
        </w:rPr>
        <w:t>’</w:t>
      </w:r>
      <w:r w:rsidRPr="000C2B76">
        <w:rPr>
          <w:lang w:val="fr-FR"/>
        </w:rPr>
        <w:t>un traité ou d</w:t>
      </w:r>
      <w:r>
        <w:rPr>
          <w:lang w:val="fr-FR"/>
        </w:rPr>
        <w:t>’</w:t>
      </w:r>
      <w:r w:rsidRPr="000C2B76">
        <w:rPr>
          <w:lang w:val="fr-FR"/>
        </w:rPr>
        <w:t>une partie d</w:t>
      </w:r>
      <w:r>
        <w:rPr>
          <w:lang w:val="fr-FR"/>
        </w:rPr>
        <w:t>’</w:t>
      </w:r>
      <w:r w:rsidRPr="000C2B76">
        <w:rPr>
          <w:lang w:val="fr-FR"/>
        </w:rPr>
        <w:t>un traité peut être convenue entre les États ou organisations internationales concernés au moyen :</w:t>
      </w:r>
    </w:p>
    <w:p w14:paraId="3144D547" w14:textId="77777777" w:rsidR="0043175D" w:rsidRPr="000C2B76" w:rsidRDefault="0043175D" w:rsidP="0043175D">
      <w:pPr>
        <w:pStyle w:val="SingleTxtG"/>
        <w:ind w:left="1701" w:firstLine="567"/>
        <w:rPr>
          <w:lang w:val="fr-FR"/>
        </w:rPr>
      </w:pPr>
      <w:r w:rsidRPr="000C2B76">
        <w:rPr>
          <w:lang w:val="fr-FR"/>
        </w:rPr>
        <w:t>a)</w:t>
      </w:r>
      <w:r w:rsidRPr="000C2B76">
        <w:rPr>
          <w:lang w:val="fr-FR"/>
        </w:rPr>
        <w:tab/>
        <w:t>D</w:t>
      </w:r>
      <w:r>
        <w:rPr>
          <w:lang w:val="fr-FR"/>
        </w:rPr>
        <w:t>’</w:t>
      </w:r>
      <w:r w:rsidRPr="000C2B76">
        <w:rPr>
          <w:lang w:val="fr-FR"/>
        </w:rPr>
        <w:t xml:space="preserve">un traité distinct ; </w:t>
      </w:r>
      <w:proofErr w:type="gramStart"/>
      <w:r w:rsidRPr="000C2B76">
        <w:rPr>
          <w:lang w:val="fr-FR"/>
        </w:rPr>
        <w:t>ou</w:t>
      </w:r>
      <w:proofErr w:type="gramEnd"/>
    </w:p>
    <w:p w14:paraId="38B6DD36" w14:textId="77777777" w:rsidR="0043175D" w:rsidRPr="000C2B76" w:rsidRDefault="0043175D" w:rsidP="0043175D">
      <w:pPr>
        <w:pStyle w:val="SingleTxtG"/>
        <w:ind w:left="1701" w:firstLine="567"/>
        <w:rPr>
          <w:lang w:val="fr-FR"/>
        </w:rPr>
      </w:pPr>
      <w:r w:rsidRPr="000C2B76">
        <w:rPr>
          <w:lang w:val="fr-FR"/>
        </w:rPr>
        <w:t>b)</w:t>
      </w:r>
      <w:r w:rsidRPr="000C2B76">
        <w:rPr>
          <w:lang w:val="fr-FR"/>
        </w:rPr>
        <w:tab/>
        <w:t>De tout autre moyen ou arrangement, y compris :</w:t>
      </w:r>
    </w:p>
    <w:p w14:paraId="5A5120FB" w14:textId="77777777" w:rsidR="0043175D" w:rsidRPr="000C2B76" w:rsidRDefault="0043175D" w:rsidP="0043175D">
      <w:pPr>
        <w:pStyle w:val="SingleTxtG"/>
        <w:ind w:left="2268"/>
        <w:rPr>
          <w:lang w:val="fr-FR"/>
        </w:rPr>
      </w:pPr>
      <w:r w:rsidRPr="000C2B76">
        <w:rPr>
          <w:lang w:val="fr-FR"/>
        </w:rPr>
        <w:t>i)</w:t>
      </w:r>
      <w:r w:rsidRPr="000C2B76">
        <w:rPr>
          <w:lang w:val="fr-FR"/>
        </w:rPr>
        <w:tab/>
        <w:t>Une résolution, décision ou autre acte adopté par une organisation internationale ou lors d</w:t>
      </w:r>
      <w:r>
        <w:rPr>
          <w:lang w:val="fr-FR"/>
        </w:rPr>
        <w:t>’</w:t>
      </w:r>
      <w:r w:rsidRPr="000C2B76">
        <w:rPr>
          <w:lang w:val="fr-FR"/>
        </w:rPr>
        <w:t>une conférence intergouvernementale conformément aux règles d</w:t>
      </w:r>
      <w:r>
        <w:rPr>
          <w:lang w:val="fr-FR"/>
        </w:rPr>
        <w:t>’</w:t>
      </w:r>
      <w:r w:rsidRPr="000C2B76">
        <w:rPr>
          <w:lang w:val="fr-FR"/>
        </w:rPr>
        <w:t>une telle organisation ou conférence, reflétant l</w:t>
      </w:r>
      <w:r>
        <w:rPr>
          <w:lang w:val="fr-FR"/>
        </w:rPr>
        <w:t>’</w:t>
      </w:r>
      <w:r w:rsidRPr="000C2B76">
        <w:rPr>
          <w:lang w:val="fr-FR"/>
        </w:rPr>
        <w:t>accord des États ou organisations internationales concernés ;</w:t>
      </w:r>
    </w:p>
    <w:p w14:paraId="756B1825" w14:textId="77777777" w:rsidR="0043175D" w:rsidRPr="000C2B76" w:rsidRDefault="0043175D" w:rsidP="0043175D">
      <w:pPr>
        <w:pStyle w:val="SingleTxtG"/>
        <w:ind w:left="2268"/>
        <w:rPr>
          <w:lang w:val="fr-FR"/>
        </w:rPr>
      </w:pPr>
      <w:r w:rsidRPr="000C2B76">
        <w:rPr>
          <w:lang w:val="fr-FR"/>
        </w:rPr>
        <w:t>ii)</w:t>
      </w:r>
      <w:r w:rsidRPr="000C2B76">
        <w:rPr>
          <w:lang w:val="fr-FR"/>
        </w:rPr>
        <w:tab/>
        <w:t>Une déclaration d</w:t>
      </w:r>
      <w:r>
        <w:rPr>
          <w:lang w:val="fr-FR"/>
        </w:rPr>
        <w:t>’</w:t>
      </w:r>
      <w:r w:rsidRPr="000C2B76">
        <w:rPr>
          <w:lang w:val="fr-FR"/>
        </w:rPr>
        <w:t>un État ou d</w:t>
      </w:r>
      <w:r>
        <w:rPr>
          <w:lang w:val="fr-FR"/>
        </w:rPr>
        <w:t>’</w:t>
      </w:r>
      <w:r w:rsidRPr="000C2B76">
        <w:rPr>
          <w:lang w:val="fr-FR"/>
        </w:rPr>
        <w:t>une organisation internationale qui est acceptée par les autres États ou organisations internationales concernés</w:t>
      </w:r>
      <w:r w:rsidRPr="00F22925">
        <w:rPr>
          <w:lang w:val="fr-FR"/>
        </w:rPr>
        <w:t>.</w:t>
      </w:r>
    </w:p>
    <w:p w14:paraId="288A30EA" w14:textId="77777777" w:rsidR="0043175D" w:rsidRPr="000C2B76" w:rsidRDefault="0043175D" w:rsidP="0043175D">
      <w:pPr>
        <w:pStyle w:val="H23G"/>
        <w:rPr>
          <w:lang w:val="fr-FR"/>
        </w:rPr>
      </w:pPr>
      <w:r w:rsidRPr="000C2B76">
        <w:rPr>
          <w:lang w:val="fr-FR"/>
        </w:rPr>
        <w:tab/>
      </w:r>
      <w:r w:rsidRPr="000C2B76">
        <w:rPr>
          <w:lang w:val="fr-FR"/>
        </w:rPr>
        <w:tab/>
        <w:t>Commentaire</w:t>
      </w:r>
    </w:p>
    <w:p w14:paraId="58834305" w14:textId="77777777" w:rsidR="0043175D" w:rsidRPr="000C2B76" w:rsidRDefault="0043175D" w:rsidP="0043175D">
      <w:pPr>
        <w:pStyle w:val="SingleTxtG"/>
        <w:rPr>
          <w:lang w:val="fr-FR"/>
        </w:rPr>
      </w:pPr>
      <w:r w:rsidRPr="000C2B76">
        <w:rPr>
          <w:lang w:val="fr-FR"/>
        </w:rPr>
        <w:t>1)</w:t>
      </w:r>
      <w:r w:rsidRPr="000C2B76">
        <w:rPr>
          <w:lang w:val="fr-FR"/>
        </w:rPr>
        <w:tab/>
        <w:t>Le projet de directive 4 traite des formes d</w:t>
      </w:r>
      <w:r>
        <w:rPr>
          <w:lang w:val="fr-FR"/>
        </w:rPr>
        <w:t>’</w:t>
      </w:r>
      <w:r w:rsidRPr="000C2B76">
        <w:rPr>
          <w:lang w:val="fr-FR"/>
        </w:rPr>
        <w:t>accords au moyen desquels l</w:t>
      </w:r>
      <w:r>
        <w:rPr>
          <w:lang w:val="fr-FR"/>
        </w:rPr>
        <w:t>’</w:t>
      </w:r>
      <w:r w:rsidRPr="000C2B76">
        <w:rPr>
          <w:lang w:val="fr-FR"/>
        </w:rPr>
        <w:t>application à titre provisoire d</w:t>
      </w:r>
      <w:r>
        <w:rPr>
          <w:lang w:val="fr-FR"/>
        </w:rPr>
        <w:t>’</w:t>
      </w:r>
      <w:r w:rsidRPr="000C2B76">
        <w:rPr>
          <w:lang w:val="fr-FR"/>
        </w:rPr>
        <w:t>un traité ou une partie d</w:t>
      </w:r>
      <w:r>
        <w:rPr>
          <w:lang w:val="fr-FR"/>
        </w:rPr>
        <w:t>’</w:t>
      </w:r>
      <w:r w:rsidRPr="000C2B76">
        <w:rPr>
          <w:lang w:val="fr-FR"/>
        </w:rPr>
        <w:t>un traité peut être convenue, outre le cas dans lequel le traité en question en dispose ainsi</w:t>
      </w:r>
      <w:r w:rsidRPr="00F22925">
        <w:rPr>
          <w:lang w:val="fr-FR"/>
        </w:rPr>
        <w:t>.</w:t>
      </w:r>
      <w:r w:rsidRPr="000C2B76">
        <w:rPr>
          <w:lang w:val="fr-FR"/>
        </w:rPr>
        <w:t xml:space="preserve"> Il est structuré comme l</w:t>
      </w:r>
      <w:r>
        <w:rPr>
          <w:lang w:val="fr-FR"/>
        </w:rPr>
        <w:t>’</w:t>
      </w:r>
      <w:r w:rsidRPr="000C2B76">
        <w:rPr>
          <w:lang w:val="fr-FR"/>
        </w:rPr>
        <w:t xml:space="preserve">article 25 des Conventions de Vienne </w:t>
      </w:r>
      <w:r>
        <w:rPr>
          <w:lang w:val="fr-FR"/>
        </w:rPr>
        <w:t>de 1969 et de 1986</w:t>
      </w:r>
      <w:r w:rsidRPr="000C2B76">
        <w:rPr>
          <w:lang w:val="fr-FR"/>
        </w:rPr>
        <w:t>, qui envisage d</w:t>
      </w:r>
      <w:r>
        <w:rPr>
          <w:lang w:val="fr-FR"/>
        </w:rPr>
        <w:t>’</w:t>
      </w:r>
      <w:r w:rsidRPr="000C2B76">
        <w:rPr>
          <w:lang w:val="fr-FR"/>
        </w:rPr>
        <w:t>abord l</w:t>
      </w:r>
      <w:r>
        <w:rPr>
          <w:lang w:val="fr-FR"/>
        </w:rPr>
        <w:t>’</w:t>
      </w:r>
      <w:r w:rsidRPr="000C2B76">
        <w:rPr>
          <w:lang w:val="fr-FR"/>
        </w:rPr>
        <w:t xml:space="preserve">application à titre provisoire expressément </w:t>
      </w:r>
      <w:r>
        <w:rPr>
          <w:lang w:val="fr-FR"/>
        </w:rPr>
        <w:t>prévue</w:t>
      </w:r>
      <w:r w:rsidRPr="000C2B76">
        <w:rPr>
          <w:lang w:val="fr-FR"/>
        </w:rPr>
        <w:t xml:space="preserve"> par le traité, et ensuite l</w:t>
      </w:r>
      <w:r>
        <w:rPr>
          <w:lang w:val="fr-FR"/>
        </w:rPr>
        <w:t>’</w:t>
      </w:r>
      <w:r w:rsidRPr="000C2B76">
        <w:rPr>
          <w:lang w:val="fr-FR"/>
        </w:rPr>
        <w:t>application à titre provisoire convenue « d</w:t>
      </w:r>
      <w:r>
        <w:rPr>
          <w:lang w:val="fr-FR"/>
        </w:rPr>
        <w:t>’</w:t>
      </w:r>
      <w:r w:rsidRPr="000C2B76">
        <w:rPr>
          <w:lang w:val="fr-FR"/>
        </w:rPr>
        <w:t>une autre manière » par les États ou les organisations internationales, qui se produit généralement lorsque le traité est muet sur ce point</w:t>
      </w:r>
      <w:r w:rsidRPr="00F22925">
        <w:rPr>
          <w:lang w:val="fr-FR"/>
        </w:rPr>
        <w:t>.</w:t>
      </w:r>
    </w:p>
    <w:p w14:paraId="3EAEF1A1" w14:textId="77777777" w:rsidR="0043175D" w:rsidRDefault="0043175D" w:rsidP="0043175D">
      <w:pPr>
        <w:pStyle w:val="SingleTxtG"/>
        <w:spacing w:after="100" w:line="220" w:lineRule="atLeast"/>
        <w:rPr>
          <w:lang w:val="fr-FR"/>
        </w:rPr>
      </w:pPr>
      <w:r w:rsidRPr="000C2B76">
        <w:rPr>
          <w:lang w:val="fr-FR"/>
        </w:rPr>
        <w:t>2)</w:t>
      </w:r>
      <w:r w:rsidRPr="000C2B76">
        <w:rPr>
          <w:lang w:val="fr-FR"/>
        </w:rPr>
        <w:tab/>
      </w:r>
      <w:r>
        <w:rPr>
          <w:lang w:val="fr-FR"/>
        </w:rPr>
        <w:t>La première possibilité est que le traité appliqué à titre provisoire envisage lui-même l’application à titre provisoire, ce qu’il peut faire de différentes manières, que ce soit en disposant que les États ayant participé à la négociation ou les États signataires sont tenus de l’appliquer provisoirement ou donnant à ces États l’option d’accepter ou de refuser l’application provisoire au moyen, par exemple, d’une déclaration ou d’une notification adressée au dépositaire du traité</w:t>
      </w:r>
      <w:r w:rsidRPr="00F22830">
        <w:rPr>
          <w:rStyle w:val="FootnoteReference"/>
        </w:rPr>
        <w:footnoteReference w:id="20"/>
      </w:r>
      <w:r w:rsidRPr="00F22925">
        <w:rPr>
          <w:lang w:val="fr-FR"/>
        </w:rPr>
        <w:t>.</w:t>
      </w:r>
    </w:p>
    <w:p w14:paraId="58788D05" w14:textId="77777777" w:rsidR="0043175D" w:rsidRPr="000C2B76" w:rsidRDefault="0043175D" w:rsidP="0043175D">
      <w:pPr>
        <w:pStyle w:val="SingleTxtG"/>
        <w:spacing w:after="100" w:line="220" w:lineRule="atLeast"/>
        <w:rPr>
          <w:lang w:val="fr-FR"/>
        </w:rPr>
      </w:pPr>
      <w:r>
        <w:rPr>
          <w:lang w:val="fr-FR"/>
        </w:rPr>
        <w:lastRenderedPageBreak/>
        <w:t>3)</w:t>
      </w:r>
      <w:r>
        <w:rPr>
          <w:lang w:val="fr-FR"/>
        </w:rPr>
        <w:tab/>
        <w:t xml:space="preserve">La deuxième possibilité, à savoir </w:t>
      </w:r>
      <w:r w:rsidRPr="000C2B76">
        <w:rPr>
          <w:lang w:val="fr-FR"/>
        </w:rPr>
        <w:t>que les États conviennent d</w:t>
      </w:r>
      <w:r>
        <w:rPr>
          <w:lang w:val="fr-FR"/>
        </w:rPr>
        <w:t>’</w:t>
      </w:r>
      <w:r w:rsidRPr="000C2B76">
        <w:rPr>
          <w:lang w:val="fr-FR"/>
        </w:rPr>
        <w:t>appliquer le traité à titre provisoire lorsque le traité lui-même ne l</w:t>
      </w:r>
      <w:r>
        <w:rPr>
          <w:lang w:val="fr-FR"/>
        </w:rPr>
        <w:t>’</w:t>
      </w:r>
      <w:r w:rsidRPr="000C2B76">
        <w:rPr>
          <w:lang w:val="fr-FR"/>
        </w:rPr>
        <w:t>envisage pas</w:t>
      </w:r>
      <w:r>
        <w:rPr>
          <w:lang w:val="fr-FR"/>
        </w:rPr>
        <w:t>,</w:t>
      </w:r>
      <w:r w:rsidRPr="000C2B76">
        <w:rPr>
          <w:lang w:val="fr-FR"/>
        </w:rPr>
        <w:t xml:space="preserve"> est inscrite dans la formule introductive « [o]</w:t>
      </w:r>
      <w:proofErr w:type="spellStart"/>
      <w:r w:rsidRPr="000C2B76">
        <w:rPr>
          <w:lang w:val="fr-FR"/>
        </w:rPr>
        <w:t>utre</w:t>
      </w:r>
      <w:proofErr w:type="spellEnd"/>
      <w:r w:rsidRPr="000C2B76">
        <w:rPr>
          <w:lang w:val="fr-FR"/>
        </w:rPr>
        <w:t xml:space="preserve"> le cas dans lequel le traité en dispose ainsi », qui fait écho aux termes « lorsque le traité lui-même en dispose ainsi » employés dans le projet de directive 3 et repris de l</w:t>
      </w:r>
      <w:r>
        <w:rPr>
          <w:lang w:val="fr-FR"/>
        </w:rPr>
        <w:t>’</w:t>
      </w:r>
      <w:r w:rsidRPr="000C2B76">
        <w:rPr>
          <w:lang w:val="fr-FR"/>
        </w:rPr>
        <w:t>article 25</w:t>
      </w:r>
      <w:r w:rsidRPr="00F22925">
        <w:rPr>
          <w:lang w:val="fr-FR"/>
        </w:rPr>
        <w:t>.</w:t>
      </w:r>
      <w:r w:rsidRPr="000C2B76">
        <w:rPr>
          <w:lang w:val="fr-FR"/>
        </w:rPr>
        <w:t xml:space="preserve"> Le membre de phrase « entre les États ou organisations internationales concernés » </w:t>
      </w:r>
      <w:proofErr w:type="gramStart"/>
      <w:r w:rsidRPr="000C2B76">
        <w:rPr>
          <w:lang w:val="fr-FR"/>
        </w:rPr>
        <w:t>a</w:t>
      </w:r>
      <w:proofErr w:type="gramEnd"/>
      <w:r w:rsidRPr="000C2B76">
        <w:rPr>
          <w:lang w:val="fr-FR"/>
        </w:rPr>
        <w:t xml:space="preserve"> le même sens que dans le projet de directive 3</w:t>
      </w:r>
      <w:r w:rsidRPr="00F22925">
        <w:rPr>
          <w:lang w:val="fr-FR"/>
        </w:rPr>
        <w:t>.</w:t>
      </w:r>
      <w:r w:rsidRPr="000C2B76">
        <w:rPr>
          <w:lang w:val="fr-FR"/>
        </w:rPr>
        <w:t xml:space="preserve"> Deux moyens supplémentaires de convenir de l</w:t>
      </w:r>
      <w:r>
        <w:rPr>
          <w:lang w:val="fr-FR"/>
        </w:rPr>
        <w:t>’</w:t>
      </w:r>
      <w:r w:rsidRPr="000C2B76">
        <w:rPr>
          <w:lang w:val="fr-FR"/>
        </w:rPr>
        <w:t>application d</w:t>
      </w:r>
      <w:r>
        <w:rPr>
          <w:lang w:val="fr-FR"/>
        </w:rPr>
        <w:t>’</w:t>
      </w:r>
      <w:r w:rsidRPr="000C2B76">
        <w:rPr>
          <w:lang w:val="fr-FR"/>
        </w:rPr>
        <w:t>un traité à titre provisoire sont énoncés dans les alinéas</w:t>
      </w:r>
      <w:r w:rsidRPr="00F22925">
        <w:rPr>
          <w:lang w:val="fr-FR"/>
        </w:rPr>
        <w:t>.</w:t>
      </w:r>
      <w:r w:rsidRPr="000C2B76">
        <w:rPr>
          <w:lang w:val="fr-FR"/>
        </w:rPr>
        <w:t xml:space="preserve"> </w:t>
      </w:r>
    </w:p>
    <w:p w14:paraId="23C6E95C" w14:textId="77777777" w:rsidR="0043175D" w:rsidRPr="000C2B76" w:rsidRDefault="0043175D" w:rsidP="0043175D">
      <w:pPr>
        <w:pStyle w:val="SingleTxtG"/>
        <w:spacing w:after="100" w:line="220" w:lineRule="atLeast"/>
        <w:rPr>
          <w:lang w:val="fr-FR"/>
        </w:rPr>
      </w:pPr>
      <w:r>
        <w:rPr>
          <w:lang w:val="fr-FR"/>
        </w:rPr>
        <w:t>4</w:t>
      </w:r>
      <w:r w:rsidRPr="000C2B76">
        <w:rPr>
          <w:lang w:val="fr-FR"/>
        </w:rPr>
        <w:t>)</w:t>
      </w:r>
      <w:r w:rsidRPr="000C2B76">
        <w:rPr>
          <w:lang w:val="fr-FR"/>
        </w:rPr>
        <w:tab/>
        <w:t>L</w:t>
      </w:r>
      <w:r>
        <w:rPr>
          <w:lang w:val="fr-FR"/>
        </w:rPr>
        <w:t>’</w:t>
      </w:r>
      <w:r w:rsidRPr="000C2B76">
        <w:rPr>
          <w:lang w:val="fr-FR"/>
        </w:rPr>
        <w:t xml:space="preserve">alinéa a) envisage la possibilité de convenir </w:t>
      </w:r>
      <w:r>
        <w:rPr>
          <w:lang w:val="fr-FR"/>
        </w:rPr>
        <w:t>de l’</w:t>
      </w:r>
      <w:r w:rsidRPr="000C2B76">
        <w:rPr>
          <w:lang w:val="fr-FR"/>
        </w:rPr>
        <w:t>application à titre provisoire au moyen d</w:t>
      </w:r>
      <w:r>
        <w:rPr>
          <w:lang w:val="fr-FR"/>
        </w:rPr>
        <w:t>’</w:t>
      </w:r>
      <w:r w:rsidRPr="000C2B76">
        <w:rPr>
          <w:lang w:val="fr-FR"/>
        </w:rPr>
        <w:t>un traité distinct du traité appliqué provisoirement</w:t>
      </w:r>
      <w:r w:rsidRPr="00F22830">
        <w:rPr>
          <w:rStyle w:val="FootnoteReference"/>
        </w:rPr>
        <w:footnoteReference w:id="21"/>
      </w:r>
      <w:r w:rsidRPr="00F22925">
        <w:rPr>
          <w:lang w:val="fr-FR"/>
        </w:rPr>
        <w:t>.</w:t>
      </w:r>
      <w:r w:rsidRPr="000C2B76">
        <w:rPr>
          <w:lang w:val="fr-FR"/>
        </w:rPr>
        <w:t xml:space="preserve"> </w:t>
      </w:r>
      <w:r>
        <w:rPr>
          <w:lang w:val="fr-FR"/>
        </w:rPr>
        <w:t>Comme dans les cas de figure qui relèvent de la première possibilité et c</w:t>
      </w:r>
      <w:r w:rsidRPr="000C2B76">
        <w:rPr>
          <w:lang w:val="fr-FR"/>
        </w:rPr>
        <w:t>onformément au paragraphe</w:t>
      </w:r>
      <w:r>
        <w:rPr>
          <w:lang w:val="fr-FR"/>
        </w:rPr>
        <w:t> </w:t>
      </w:r>
      <w:r w:rsidRPr="000C2B76">
        <w:rPr>
          <w:lang w:val="fr-FR"/>
        </w:rPr>
        <w:t>1 (al</w:t>
      </w:r>
      <w:r w:rsidRPr="00F22925">
        <w:rPr>
          <w:lang w:val="fr-FR"/>
        </w:rPr>
        <w:t>.</w:t>
      </w:r>
      <w:r w:rsidRPr="000C2B76">
        <w:rPr>
          <w:lang w:val="fr-FR"/>
        </w:rPr>
        <w:t xml:space="preserve"> </w:t>
      </w:r>
      <w:proofErr w:type="gramStart"/>
      <w:r w:rsidRPr="000C2B76">
        <w:rPr>
          <w:lang w:val="fr-FR"/>
        </w:rPr>
        <w:t>a</w:t>
      </w:r>
      <w:proofErr w:type="gramEnd"/>
      <w:r w:rsidRPr="000C2B76">
        <w:rPr>
          <w:lang w:val="fr-FR"/>
        </w:rPr>
        <w:t>)) de l</w:t>
      </w:r>
      <w:r>
        <w:rPr>
          <w:lang w:val="fr-FR"/>
        </w:rPr>
        <w:t>’</w:t>
      </w:r>
      <w:r w:rsidRPr="000C2B76">
        <w:rPr>
          <w:lang w:val="fr-FR"/>
        </w:rPr>
        <w:t xml:space="preserve">article 2 des Conventions de Vienne </w:t>
      </w:r>
      <w:r>
        <w:rPr>
          <w:lang w:val="fr-FR"/>
        </w:rPr>
        <w:t>de 1969 et de 1986</w:t>
      </w:r>
      <w:r w:rsidRPr="000C2B76">
        <w:rPr>
          <w:lang w:val="fr-FR"/>
        </w:rPr>
        <w:t>, le terme « traité » doit être interprété comme désignant tous les instruments conclus en vertu du droit des traités et qui constituent un accord entre des États ou des organisations internationales, quelle que soit leur dénomination</w:t>
      </w:r>
      <w:r w:rsidRPr="00F22925">
        <w:rPr>
          <w:lang w:val="fr-FR"/>
        </w:rPr>
        <w:t>.</w:t>
      </w:r>
      <w:r w:rsidRPr="000C2B76">
        <w:rPr>
          <w:lang w:val="fr-FR"/>
        </w:rPr>
        <w:t xml:space="preserve"> Ces instruments peuvent prendre la forme d</w:t>
      </w:r>
      <w:r>
        <w:rPr>
          <w:lang w:val="fr-FR"/>
        </w:rPr>
        <w:t>’</w:t>
      </w:r>
      <w:r w:rsidRPr="000C2B76">
        <w:rPr>
          <w:lang w:val="fr-FR"/>
        </w:rPr>
        <w:t>un échange de lettres ou de notes, de mémorandums d</w:t>
      </w:r>
      <w:r>
        <w:rPr>
          <w:lang w:val="fr-FR"/>
        </w:rPr>
        <w:t>’</w:t>
      </w:r>
      <w:r w:rsidRPr="000C2B76">
        <w:rPr>
          <w:lang w:val="fr-FR"/>
        </w:rPr>
        <w:t>accord, de déclarations d</w:t>
      </w:r>
      <w:r>
        <w:rPr>
          <w:lang w:val="fr-FR"/>
        </w:rPr>
        <w:t>’</w:t>
      </w:r>
      <w:r w:rsidRPr="000C2B76">
        <w:rPr>
          <w:lang w:val="fr-FR"/>
        </w:rPr>
        <w:t>intention</w:t>
      </w:r>
      <w:r>
        <w:rPr>
          <w:lang w:val="fr-FR"/>
        </w:rPr>
        <w:t xml:space="preserve"> ou</w:t>
      </w:r>
      <w:r w:rsidRPr="000C2B76">
        <w:rPr>
          <w:lang w:val="fr-FR"/>
        </w:rPr>
        <w:t xml:space="preserve"> de protocoles</w:t>
      </w:r>
      <w:r w:rsidRPr="00F22830">
        <w:rPr>
          <w:rStyle w:val="FootnoteReference"/>
        </w:rPr>
        <w:footnoteReference w:id="22"/>
      </w:r>
      <w:r w:rsidRPr="00F22925">
        <w:rPr>
          <w:lang w:val="fr-FR"/>
        </w:rPr>
        <w:t>.</w:t>
      </w:r>
    </w:p>
    <w:p w14:paraId="20F34185" w14:textId="77777777" w:rsidR="0043175D" w:rsidRPr="000C2B76" w:rsidRDefault="0043175D" w:rsidP="0043175D">
      <w:pPr>
        <w:pStyle w:val="SingleTxtG"/>
        <w:spacing w:after="100" w:line="220" w:lineRule="atLeast"/>
        <w:rPr>
          <w:lang w:val="fr-FR"/>
        </w:rPr>
      </w:pPr>
      <w:r>
        <w:rPr>
          <w:lang w:val="fr-FR"/>
        </w:rPr>
        <w:t>5</w:t>
      </w:r>
      <w:r w:rsidRPr="000C2B76">
        <w:rPr>
          <w:lang w:val="fr-FR"/>
        </w:rPr>
        <w:t>)</w:t>
      </w:r>
      <w:r w:rsidRPr="000C2B76">
        <w:rPr>
          <w:lang w:val="fr-FR"/>
        </w:rPr>
        <w:tab/>
        <w:t>L</w:t>
      </w:r>
      <w:r>
        <w:rPr>
          <w:lang w:val="fr-FR"/>
        </w:rPr>
        <w:t>’</w:t>
      </w:r>
      <w:r w:rsidRPr="000C2B76">
        <w:rPr>
          <w:lang w:val="fr-FR"/>
        </w:rPr>
        <w:t>alinéa b) pose que l</w:t>
      </w:r>
      <w:r>
        <w:rPr>
          <w:lang w:val="fr-FR"/>
        </w:rPr>
        <w:t>’</w:t>
      </w:r>
      <w:r w:rsidRPr="000C2B76">
        <w:rPr>
          <w:lang w:val="fr-FR"/>
        </w:rPr>
        <w:t>application à titre provisoire peut être convenue non seulement par un traité distinct, mais aussi par « tout autre moyen ou arrangement », ce qui élargit l</w:t>
      </w:r>
      <w:r>
        <w:rPr>
          <w:lang w:val="fr-FR"/>
        </w:rPr>
        <w:t>’</w:t>
      </w:r>
      <w:r w:rsidRPr="000C2B76">
        <w:rPr>
          <w:lang w:val="fr-FR"/>
        </w:rPr>
        <w:t>éventail des moyens par lesquels l</w:t>
      </w:r>
      <w:r>
        <w:rPr>
          <w:lang w:val="fr-FR"/>
        </w:rPr>
        <w:t>’</w:t>
      </w:r>
      <w:r w:rsidRPr="000C2B76">
        <w:rPr>
          <w:lang w:val="fr-FR"/>
        </w:rPr>
        <w:t>application provisoire d</w:t>
      </w:r>
      <w:r>
        <w:rPr>
          <w:lang w:val="fr-FR"/>
        </w:rPr>
        <w:t>’</w:t>
      </w:r>
      <w:r w:rsidRPr="000C2B76">
        <w:rPr>
          <w:lang w:val="fr-FR"/>
        </w:rPr>
        <w:t>un traité</w:t>
      </w:r>
      <w:r>
        <w:rPr>
          <w:lang w:val="fr-FR"/>
        </w:rPr>
        <w:t xml:space="preserve"> </w:t>
      </w:r>
      <w:r w:rsidRPr="000C2B76">
        <w:rPr>
          <w:lang w:val="fr-FR"/>
        </w:rPr>
        <w:t>peut être décidée</w:t>
      </w:r>
      <w:r w:rsidRPr="00F22925">
        <w:rPr>
          <w:lang w:val="fr-FR"/>
        </w:rPr>
        <w:t>.</w:t>
      </w:r>
      <w:r w:rsidRPr="000C2B76">
        <w:rPr>
          <w:lang w:val="fr-FR"/>
        </w:rPr>
        <w:t xml:space="preserve"> Ainsi, les instruments qui ne sont pas couverts par l</w:t>
      </w:r>
      <w:r>
        <w:rPr>
          <w:lang w:val="fr-FR"/>
        </w:rPr>
        <w:t>’</w:t>
      </w:r>
      <w:r w:rsidRPr="000C2B76">
        <w:rPr>
          <w:lang w:val="fr-FR"/>
        </w:rPr>
        <w:t>alinéa a) peuvent l</w:t>
      </w:r>
      <w:r>
        <w:rPr>
          <w:lang w:val="fr-FR"/>
        </w:rPr>
        <w:t>’</w:t>
      </w:r>
      <w:r w:rsidRPr="000C2B76">
        <w:rPr>
          <w:lang w:val="fr-FR"/>
        </w:rPr>
        <w:t>être par l</w:t>
      </w:r>
      <w:r>
        <w:rPr>
          <w:lang w:val="fr-FR"/>
        </w:rPr>
        <w:t>’</w:t>
      </w:r>
      <w:r w:rsidRPr="000C2B76">
        <w:rPr>
          <w:lang w:val="fr-FR"/>
        </w:rPr>
        <w:t>alinéa b), ce qui reflète la souplesse qui caractérise l</w:t>
      </w:r>
      <w:r>
        <w:rPr>
          <w:lang w:val="fr-FR"/>
        </w:rPr>
        <w:t>’</w:t>
      </w:r>
      <w:r w:rsidRPr="000C2B76">
        <w:rPr>
          <w:lang w:val="fr-FR"/>
        </w:rPr>
        <w:t>application à titre provisoire</w:t>
      </w:r>
      <w:r w:rsidRPr="00F22830">
        <w:rPr>
          <w:rStyle w:val="FootnoteReference"/>
        </w:rPr>
        <w:footnoteReference w:id="23"/>
      </w:r>
      <w:r w:rsidRPr="00F22925">
        <w:rPr>
          <w:lang w:val="fr-FR"/>
        </w:rPr>
        <w:t>.</w:t>
      </w:r>
      <w:r w:rsidRPr="000C2B76">
        <w:rPr>
          <w:lang w:val="fr-FR"/>
        </w:rPr>
        <w:t xml:space="preserve"> Dans un souci de clarté, deux exemples des « moyen[s] ou arrangement[s] » envisagés </w:t>
      </w:r>
      <w:r w:rsidRPr="000C2B76">
        <w:rPr>
          <w:lang w:val="fr-FR"/>
        </w:rPr>
        <w:lastRenderedPageBreak/>
        <w:t>sont donnés aux alinéas</w:t>
      </w:r>
      <w:r>
        <w:rPr>
          <w:lang w:val="fr-FR"/>
        </w:rPr>
        <w:t> </w:t>
      </w:r>
      <w:r w:rsidRPr="000C2B76">
        <w:rPr>
          <w:lang w:val="fr-FR"/>
        </w:rPr>
        <w:t>b) i) et ii)</w:t>
      </w:r>
      <w:r w:rsidRPr="00F22925">
        <w:rPr>
          <w:lang w:val="fr-FR"/>
        </w:rPr>
        <w:t>.</w:t>
      </w:r>
      <w:r w:rsidRPr="000C2B76">
        <w:rPr>
          <w:lang w:val="fr-FR"/>
        </w:rPr>
        <w:t xml:space="preserve"> Ces exemples ne sont pas destinés à constituer une liste exhaustive</w:t>
      </w:r>
      <w:r w:rsidRPr="00F22925">
        <w:rPr>
          <w:lang w:val="fr-FR"/>
        </w:rPr>
        <w:t>.</w:t>
      </w:r>
    </w:p>
    <w:p w14:paraId="2F254FA7" w14:textId="77777777" w:rsidR="0043175D" w:rsidRPr="000C2B76" w:rsidRDefault="0043175D" w:rsidP="0043175D">
      <w:pPr>
        <w:pStyle w:val="SingleTxtG"/>
        <w:spacing w:after="100" w:line="220" w:lineRule="atLeast"/>
        <w:rPr>
          <w:lang w:val="fr-FR"/>
        </w:rPr>
      </w:pPr>
      <w:r>
        <w:rPr>
          <w:lang w:val="fr-FR"/>
        </w:rPr>
        <w:t>6</w:t>
      </w:r>
      <w:r w:rsidRPr="000C2B76">
        <w:rPr>
          <w:lang w:val="fr-FR"/>
        </w:rPr>
        <w:t>)</w:t>
      </w:r>
      <w:r w:rsidRPr="000C2B76">
        <w:rPr>
          <w:lang w:val="fr-FR"/>
        </w:rPr>
        <w:tab/>
        <w:t>L</w:t>
      </w:r>
      <w:r>
        <w:rPr>
          <w:lang w:val="fr-FR"/>
        </w:rPr>
        <w:t>’</w:t>
      </w:r>
      <w:r w:rsidRPr="000C2B76">
        <w:rPr>
          <w:lang w:val="fr-FR"/>
        </w:rPr>
        <w:t>alinéa b) i) envisage le scénario selon lequel l</w:t>
      </w:r>
      <w:r>
        <w:rPr>
          <w:lang w:val="fr-FR"/>
        </w:rPr>
        <w:t>’</w:t>
      </w:r>
      <w:r w:rsidRPr="000C2B76">
        <w:rPr>
          <w:lang w:val="fr-FR"/>
        </w:rPr>
        <w:t>application à titre provisoire serait convenue au moyen d</w:t>
      </w:r>
      <w:proofErr w:type="gramStart"/>
      <w:r>
        <w:rPr>
          <w:lang w:val="fr-FR"/>
        </w:rPr>
        <w:t>’</w:t>
      </w:r>
      <w:r w:rsidRPr="000C2B76">
        <w:rPr>
          <w:lang w:val="fr-FR"/>
        </w:rPr>
        <w:t>«</w:t>
      </w:r>
      <w:proofErr w:type="gramEnd"/>
      <w:r w:rsidRPr="000C2B76">
        <w:rPr>
          <w:lang w:val="fr-FR"/>
        </w:rPr>
        <w:t> [u]ne résolution, décision ou autre acte adopté par une organisation internationale ou lors d</w:t>
      </w:r>
      <w:r>
        <w:rPr>
          <w:lang w:val="fr-FR"/>
        </w:rPr>
        <w:t>’</w:t>
      </w:r>
      <w:r w:rsidRPr="000C2B76">
        <w:rPr>
          <w:lang w:val="fr-FR"/>
        </w:rPr>
        <w:t>une conférence intergouvernementale »</w:t>
      </w:r>
      <w:r w:rsidRPr="00F22925">
        <w:rPr>
          <w:lang w:val="fr-FR"/>
        </w:rPr>
        <w:t>.</w:t>
      </w:r>
      <w:r w:rsidRPr="000C2B76">
        <w:rPr>
          <w:lang w:val="fr-FR"/>
        </w:rPr>
        <w:t xml:space="preserve"> L</w:t>
      </w:r>
      <w:r>
        <w:rPr>
          <w:lang w:val="fr-FR"/>
        </w:rPr>
        <w:t>’</w:t>
      </w:r>
      <w:r w:rsidRPr="000C2B76">
        <w:rPr>
          <w:lang w:val="fr-FR"/>
        </w:rPr>
        <w:t>expression « conférence intergouvernementale » doit être interprétée au sens large et peut désigner la conférence diplomatique de plénipotentiaires convoquée pour négocier un traité multilatéral ou une réunion des États parties audit traité</w:t>
      </w:r>
      <w:r w:rsidRPr="00F22925">
        <w:rPr>
          <w:lang w:val="fr-FR"/>
        </w:rPr>
        <w:t>.</w:t>
      </w:r>
      <w:r w:rsidRPr="000C2B76">
        <w:rPr>
          <w:lang w:val="fr-FR"/>
        </w:rPr>
        <w:t xml:space="preserve"> Le membre de phrase « reflétant l</w:t>
      </w:r>
      <w:r>
        <w:rPr>
          <w:lang w:val="fr-FR"/>
        </w:rPr>
        <w:t>’</w:t>
      </w:r>
      <w:r w:rsidRPr="000C2B76">
        <w:rPr>
          <w:lang w:val="fr-FR"/>
        </w:rPr>
        <w:t>accord des États ou organisations internationales concernés » fait référence à la « résolution, décision ou autre acte » qui a été adopté par l</w:t>
      </w:r>
      <w:r>
        <w:rPr>
          <w:lang w:val="fr-FR"/>
        </w:rPr>
        <w:t>’</w:t>
      </w:r>
      <w:r w:rsidRPr="000C2B76">
        <w:rPr>
          <w:lang w:val="fr-FR"/>
        </w:rPr>
        <w:t>organisation ou la conférence internationale et qui prévoit la possibilité d</w:t>
      </w:r>
      <w:r>
        <w:rPr>
          <w:lang w:val="fr-FR"/>
        </w:rPr>
        <w:t>’</w:t>
      </w:r>
      <w:r w:rsidRPr="000C2B76">
        <w:rPr>
          <w:lang w:val="fr-FR"/>
        </w:rPr>
        <w:t>une application provisoire du traité</w:t>
      </w:r>
      <w:r w:rsidRPr="00F22925">
        <w:rPr>
          <w:lang w:val="fr-FR"/>
        </w:rPr>
        <w:t>.</w:t>
      </w:r>
      <w:r w:rsidRPr="000C2B76">
        <w:rPr>
          <w:lang w:val="fr-FR"/>
        </w:rPr>
        <w:t xml:space="preserve"> La référence à l</w:t>
      </w:r>
      <w:proofErr w:type="gramStart"/>
      <w:r>
        <w:rPr>
          <w:lang w:val="fr-FR"/>
        </w:rPr>
        <w:t>’</w:t>
      </w:r>
      <w:r w:rsidRPr="000C2B76">
        <w:rPr>
          <w:lang w:val="fr-FR"/>
        </w:rPr>
        <w:t>«</w:t>
      </w:r>
      <w:proofErr w:type="gramEnd"/>
      <w:r w:rsidRPr="000C2B76">
        <w:rPr>
          <w:lang w:val="fr-FR"/>
        </w:rPr>
        <w:t xml:space="preserve"> accord » </w:t>
      </w:r>
      <w:r>
        <w:rPr>
          <w:lang w:val="fr-FR"/>
        </w:rPr>
        <w:t>vient</w:t>
      </w:r>
      <w:r w:rsidRPr="000C2B76">
        <w:rPr>
          <w:lang w:val="fr-FR"/>
        </w:rPr>
        <w:t xml:space="preserve"> souligner que les États ou organisations internationales concernés doivent consentir à l</w:t>
      </w:r>
      <w:r>
        <w:rPr>
          <w:lang w:val="fr-FR"/>
        </w:rPr>
        <w:t>’</w:t>
      </w:r>
      <w:r w:rsidRPr="000C2B76">
        <w:rPr>
          <w:lang w:val="fr-FR"/>
        </w:rPr>
        <w:t>application provisoire</w:t>
      </w:r>
      <w:r w:rsidRPr="00F22925">
        <w:rPr>
          <w:lang w:val="fr-FR"/>
        </w:rPr>
        <w:t>.</w:t>
      </w:r>
      <w:r w:rsidRPr="000C2B76">
        <w:rPr>
          <w:lang w:val="fr-FR"/>
        </w:rPr>
        <w:t xml:space="preserve"> La manière d</w:t>
      </w:r>
      <w:r>
        <w:rPr>
          <w:lang w:val="fr-FR"/>
        </w:rPr>
        <w:t>’</w:t>
      </w:r>
      <w:r w:rsidRPr="000C2B76">
        <w:rPr>
          <w:lang w:val="fr-FR"/>
        </w:rPr>
        <w:t>exprimer son accord à cette application dépend des règles de l</w:t>
      </w:r>
      <w:r>
        <w:rPr>
          <w:lang w:val="fr-FR"/>
        </w:rPr>
        <w:t>’</w:t>
      </w:r>
      <w:r w:rsidRPr="000C2B76">
        <w:rPr>
          <w:lang w:val="fr-FR"/>
        </w:rPr>
        <w:t>organisation ou de la conférence, ce qui est précisé par le membre de phrase « conformément aux règles d</w:t>
      </w:r>
      <w:r>
        <w:rPr>
          <w:lang w:val="fr-FR"/>
        </w:rPr>
        <w:t>’</w:t>
      </w:r>
      <w:r w:rsidRPr="000C2B76">
        <w:rPr>
          <w:lang w:val="fr-FR"/>
        </w:rPr>
        <w:t>une telle organisation ou conférence »</w:t>
      </w:r>
      <w:r w:rsidRPr="00F22925">
        <w:rPr>
          <w:lang w:val="fr-FR"/>
        </w:rPr>
        <w:t>.</w:t>
      </w:r>
      <w:r w:rsidRPr="000C2B76">
        <w:rPr>
          <w:lang w:val="fr-FR"/>
        </w:rPr>
        <w:t xml:space="preserve"> Ce membre de phrase doit être interprété à la lumière de l</w:t>
      </w:r>
      <w:r>
        <w:rPr>
          <w:lang w:val="fr-FR"/>
        </w:rPr>
        <w:t>’</w:t>
      </w:r>
      <w:r w:rsidRPr="000C2B76">
        <w:rPr>
          <w:lang w:val="fr-FR"/>
        </w:rPr>
        <w:t>alinéa b) de l</w:t>
      </w:r>
      <w:r>
        <w:rPr>
          <w:lang w:val="fr-FR"/>
        </w:rPr>
        <w:t>’</w:t>
      </w:r>
      <w:r w:rsidRPr="000C2B76">
        <w:rPr>
          <w:lang w:val="fr-FR"/>
        </w:rPr>
        <w:t>article 2 des articles de 2011 sur la responsabilité des organisations, qui prévoit que l</w:t>
      </w:r>
      <w:r>
        <w:rPr>
          <w:lang w:val="fr-FR"/>
        </w:rPr>
        <w:t>’</w:t>
      </w:r>
      <w:r w:rsidRPr="000C2B76">
        <w:rPr>
          <w:lang w:val="fr-FR"/>
        </w:rPr>
        <w:t>expression « règles de l</w:t>
      </w:r>
      <w:r>
        <w:rPr>
          <w:lang w:val="fr-FR"/>
        </w:rPr>
        <w:t>’</w:t>
      </w:r>
      <w:r w:rsidRPr="000C2B76">
        <w:rPr>
          <w:lang w:val="fr-FR"/>
        </w:rPr>
        <w:t>organisation » :</w:t>
      </w:r>
    </w:p>
    <w:p w14:paraId="456D8652" w14:textId="77777777" w:rsidR="0043175D" w:rsidRPr="000C2B76" w:rsidRDefault="0043175D" w:rsidP="0043175D">
      <w:pPr>
        <w:pStyle w:val="SingleTxtG"/>
        <w:spacing w:after="100" w:line="220" w:lineRule="atLeast"/>
        <w:ind w:left="1701" w:firstLine="567"/>
        <w:rPr>
          <w:lang w:val="fr-FR"/>
        </w:rPr>
      </w:pPr>
      <w:proofErr w:type="gramStart"/>
      <w:r w:rsidRPr="000C2B76">
        <w:rPr>
          <w:lang w:val="fr-FR"/>
        </w:rPr>
        <w:t>s</w:t>
      </w:r>
      <w:r>
        <w:rPr>
          <w:lang w:val="fr-FR"/>
        </w:rPr>
        <w:t>’</w:t>
      </w:r>
      <w:r w:rsidRPr="000C2B76">
        <w:rPr>
          <w:lang w:val="fr-FR"/>
        </w:rPr>
        <w:t>entend</w:t>
      </w:r>
      <w:proofErr w:type="gramEnd"/>
      <w:r w:rsidRPr="000C2B76">
        <w:rPr>
          <w:lang w:val="fr-FR"/>
        </w:rPr>
        <w:t xml:space="preserve"> notamment des actes constitutifs, des décisions, résolutions et autres actes de l</w:t>
      </w:r>
      <w:r>
        <w:rPr>
          <w:lang w:val="fr-FR"/>
        </w:rPr>
        <w:t>’</w:t>
      </w:r>
      <w:r w:rsidRPr="000C2B76">
        <w:rPr>
          <w:lang w:val="fr-FR"/>
        </w:rPr>
        <w:t>organisation internationale adoptés conformément aux actes constitutifs, ainsi que de la pratique bien établie de l</w:t>
      </w:r>
      <w:r>
        <w:rPr>
          <w:lang w:val="fr-FR"/>
        </w:rPr>
        <w:t>’</w:t>
      </w:r>
      <w:r w:rsidRPr="000C2B76">
        <w:rPr>
          <w:lang w:val="fr-FR"/>
        </w:rPr>
        <w:t>organisation</w:t>
      </w:r>
      <w:r w:rsidRPr="00F22830">
        <w:rPr>
          <w:rStyle w:val="FootnoteReference"/>
        </w:rPr>
        <w:footnoteReference w:id="24"/>
      </w:r>
      <w:r w:rsidRPr="00F22925">
        <w:rPr>
          <w:lang w:val="fr-FR"/>
        </w:rPr>
        <w:t>.</w:t>
      </w:r>
    </w:p>
    <w:p w14:paraId="15C6CAAA" w14:textId="77777777" w:rsidR="0043175D" w:rsidRPr="000C2B76" w:rsidRDefault="0043175D" w:rsidP="0043175D">
      <w:pPr>
        <w:pStyle w:val="SingleTxtG"/>
        <w:spacing w:after="100" w:line="220" w:lineRule="atLeast"/>
        <w:rPr>
          <w:lang w:val="fr-FR"/>
        </w:rPr>
      </w:pPr>
      <w:r>
        <w:rPr>
          <w:lang w:val="fr-FR"/>
        </w:rPr>
        <w:t>7</w:t>
      </w:r>
      <w:r w:rsidRPr="000C2B76">
        <w:rPr>
          <w:lang w:val="fr-FR"/>
        </w:rPr>
        <w:t>)</w:t>
      </w:r>
      <w:r w:rsidRPr="000C2B76">
        <w:rPr>
          <w:lang w:val="fr-FR"/>
        </w:rPr>
        <w:tab/>
        <w:t>L</w:t>
      </w:r>
      <w:r>
        <w:rPr>
          <w:lang w:val="fr-FR"/>
        </w:rPr>
        <w:t>’</w:t>
      </w:r>
      <w:r w:rsidRPr="000C2B76">
        <w:rPr>
          <w:lang w:val="fr-FR"/>
        </w:rPr>
        <w:t xml:space="preserve">alinéa b) ii) fait référence à la </w:t>
      </w:r>
      <w:r>
        <w:rPr>
          <w:lang w:val="fr-FR"/>
        </w:rPr>
        <w:t>possibilité</w:t>
      </w:r>
      <w:r w:rsidRPr="000C2B76">
        <w:rPr>
          <w:lang w:val="fr-FR"/>
        </w:rPr>
        <w:t xml:space="preserve"> exceptionnelle </w:t>
      </w:r>
      <w:r>
        <w:rPr>
          <w:lang w:val="fr-FR"/>
        </w:rPr>
        <w:t xml:space="preserve">qu’a </w:t>
      </w:r>
      <w:r w:rsidRPr="000C2B76">
        <w:rPr>
          <w:lang w:val="fr-FR"/>
        </w:rPr>
        <w:t xml:space="preserve">un État ou une organisation internationale </w:t>
      </w:r>
      <w:r>
        <w:rPr>
          <w:lang w:val="fr-FR"/>
        </w:rPr>
        <w:t xml:space="preserve">de convenir de </w:t>
      </w:r>
      <w:r w:rsidRPr="000C2B76">
        <w:rPr>
          <w:lang w:val="fr-FR"/>
        </w:rPr>
        <w:t>l</w:t>
      </w:r>
      <w:r>
        <w:rPr>
          <w:lang w:val="fr-FR"/>
        </w:rPr>
        <w:t>’</w:t>
      </w:r>
      <w:r w:rsidRPr="000C2B76">
        <w:rPr>
          <w:lang w:val="fr-FR"/>
        </w:rPr>
        <w:t>application à titre provisoire d</w:t>
      </w:r>
      <w:r>
        <w:rPr>
          <w:lang w:val="fr-FR"/>
        </w:rPr>
        <w:t>’</w:t>
      </w:r>
      <w:r w:rsidRPr="000C2B76">
        <w:rPr>
          <w:lang w:val="fr-FR"/>
        </w:rPr>
        <w:t>un traité ou d</w:t>
      </w:r>
      <w:r>
        <w:rPr>
          <w:lang w:val="fr-FR"/>
        </w:rPr>
        <w:t>’</w:t>
      </w:r>
      <w:r w:rsidRPr="000C2B76">
        <w:rPr>
          <w:lang w:val="fr-FR"/>
        </w:rPr>
        <w:t>une partie d</w:t>
      </w:r>
      <w:r>
        <w:rPr>
          <w:lang w:val="fr-FR"/>
        </w:rPr>
        <w:t>’</w:t>
      </w:r>
      <w:r w:rsidRPr="000C2B76">
        <w:rPr>
          <w:lang w:val="fr-FR"/>
        </w:rPr>
        <w:t xml:space="preserve">un traité </w:t>
      </w:r>
      <w:r>
        <w:rPr>
          <w:lang w:val="fr-FR"/>
        </w:rPr>
        <w:t xml:space="preserve">au moyen d’une déclaration </w:t>
      </w:r>
      <w:r w:rsidRPr="000C2B76">
        <w:rPr>
          <w:lang w:val="fr-FR"/>
        </w:rPr>
        <w:t xml:space="preserve">dans les cas où </w:t>
      </w:r>
      <w:r>
        <w:rPr>
          <w:lang w:val="fr-FR"/>
        </w:rPr>
        <w:t xml:space="preserve">cette </w:t>
      </w:r>
      <w:r w:rsidRPr="000C2B76">
        <w:rPr>
          <w:lang w:val="fr-FR"/>
        </w:rPr>
        <w:t>application n</w:t>
      </w:r>
      <w:r>
        <w:rPr>
          <w:lang w:val="fr-FR"/>
        </w:rPr>
        <w:t>’</w:t>
      </w:r>
      <w:r w:rsidRPr="000C2B76">
        <w:rPr>
          <w:lang w:val="fr-FR"/>
        </w:rPr>
        <w:t>est pas prévue par le traité en question ni convenue par un autre instrument</w:t>
      </w:r>
      <w:r w:rsidRPr="00F22830">
        <w:rPr>
          <w:rStyle w:val="FootnoteReference"/>
        </w:rPr>
        <w:footnoteReference w:id="25"/>
      </w:r>
      <w:r w:rsidRPr="00F22925">
        <w:rPr>
          <w:lang w:val="fr-FR"/>
        </w:rPr>
        <w:t>.</w:t>
      </w:r>
      <w:r w:rsidRPr="000C2B76">
        <w:rPr>
          <w:lang w:val="fr-FR"/>
        </w:rPr>
        <w:t xml:space="preserve"> La</w:t>
      </w:r>
      <w:r>
        <w:rPr>
          <w:lang w:val="fr-FR"/>
        </w:rPr>
        <w:t xml:space="preserve"> </w:t>
      </w:r>
      <w:r w:rsidRPr="000C2B76">
        <w:rPr>
          <w:lang w:val="fr-FR"/>
        </w:rPr>
        <w:t>déclaration doit toutefois être</w:t>
      </w:r>
      <w:r>
        <w:rPr>
          <w:lang w:val="fr-FR"/>
        </w:rPr>
        <w:t xml:space="preserve"> expressément </w:t>
      </w:r>
      <w:r w:rsidRPr="000C2B76">
        <w:rPr>
          <w:lang w:val="fr-FR"/>
        </w:rPr>
        <w:t>acceptée par les autres États ou organisations internationales concernés ; pour que le traité devienne applicable à titre provisoire à l</w:t>
      </w:r>
      <w:r>
        <w:rPr>
          <w:lang w:val="fr-FR"/>
        </w:rPr>
        <w:t>’</w:t>
      </w:r>
      <w:r w:rsidRPr="000C2B76">
        <w:rPr>
          <w:lang w:val="fr-FR"/>
        </w:rPr>
        <w:t>égard de ces États ou organisations internationales, la seule absence d</w:t>
      </w:r>
      <w:r>
        <w:rPr>
          <w:lang w:val="fr-FR"/>
        </w:rPr>
        <w:t>’</w:t>
      </w:r>
      <w:r w:rsidRPr="000C2B76">
        <w:rPr>
          <w:lang w:val="fr-FR"/>
        </w:rPr>
        <w:t>objection ne suffit pas</w:t>
      </w:r>
      <w:r w:rsidRPr="00F22925">
        <w:rPr>
          <w:lang w:val="fr-FR"/>
        </w:rPr>
        <w:t>.</w:t>
      </w:r>
      <w:r>
        <w:rPr>
          <w:lang w:val="fr-FR"/>
        </w:rPr>
        <w:t xml:space="preserve"> Si</w:t>
      </w:r>
      <w:r w:rsidRPr="000C2B76">
        <w:rPr>
          <w:lang w:val="fr-FR"/>
        </w:rPr>
        <w:t xml:space="preserve"> l</w:t>
      </w:r>
      <w:r>
        <w:rPr>
          <w:lang w:val="fr-FR"/>
        </w:rPr>
        <w:t>’</w:t>
      </w:r>
      <w:r w:rsidRPr="000C2B76">
        <w:rPr>
          <w:lang w:val="fr-FR"/>
        </w:rPr>
        <w:t xml:space="preserve">acceptation </w:t>
      </w:r>
      <w:r>
        <w:rPr>
          <w:lang w:val="fr-FR"/>
        </w:rPr>
        <w:t>doit en principe être</w:t>
      </w:r>
      <w:r w:rsidRPr="000C2B76">
        <w:rPr>
          <w:lang w:val="fr-FR"/>
        </w:rPr>
        <w:t xml:space="preserve"> exprimée par écrit</w:t>
      </w:r>
      <w:r>
        <w:rPr>
          <w:lang w:val="fr-FR"/>
        </w:rPr>
        <w:t>, le</w:t>
      </w:r>
      <w:r w:rsidRPr="000C2B76">
        <w:rPr>
          <w:lang w:val="fr-FR"/>
        </w:rPr>
        <w:t xml:space="preserve"> projet de directive est libellé en des termes suffisamment souples pour permettre d</w:t>
      </w:r>
      <w:r>
        <w:rPr>
          <w:lang w:val="fr-FR"/>
        </w:rPr>
        <w:t>’</w:t>
      </w:r>
      <w:r w:rsidRPr="000C2B76">
        <w:rPr>
          <w:lang w:val="fr-FR"/>
        </w:rPr>
        <w:t>autres modes d</w:t>
      </w:r>
      <w:r>
        <w:rPr>
          <w:lang w:val="fr-FR"/>
        </w:rPr>
        <w:t>’</w:t>
      </w:r>
      <w:r w:rsidRPr="000C2B76">
        <w:rPr>
          <w:lang w:val="fr-FR"/>
        </w:rPr>
        <w:t xml:space="preserve">acceptation, à condition toutefois que celle-ci soit </w:t>
      </w:r>
      <w:r>
        <w:rPr>
          <w:lang w:val="fr-FR"/>
        </w:rPr>
        <w:t>expresse</w:t>
      </w:r>
      <w:r w:rsidRPr="00F22925">
        <w:rPr>
          <w:lang w:val="fr-FR"/>
        </w:rPr>
        <w:t>.</w:t>
      </w:r>
      <w:r w:rsidRPr="000C2B76">
        <w:rPr>
          <w:lang w:val="fr-FR"/>
        </w:rPr>
        <w:t xml:space="preserve"> Le terme « déclaration » </w:t>
      </w:r>
      <w:r>
        <w:rPr>
          <w:lang w:val="fr-FR"/>
        </w:rPr>
        <w:t>ne doit pas être entendu comme renvoyant au régime juridique concernant les</w:t>
      </w:r>
      <w:r w:rsidRPr="000C2B76" w:rsidDel="00C31734">
        <w:rPr>
          <w:lang w:val="fr-FR"/>
        </w:rPr>
        <w:t xml:space="preserve"> </w:t>
      </w:r>
      <w:r w:rsidRPr="000C2B76">
        <w:rPr>
          <w:lang w:val="fr-FR"/>
        </w:rPr>
        <w:t>déclarations unilatérales</w:t>
      </w:r>
      <w:r>
        <w:rPr>
          <w:lang w:val="fr-FR"/>
        </w:rPr>
        <w:t xml:space="preserve"> des États</w:t>
      </w:r>
      <w:r w:rsidRPr="000C2B76">
        <w:rPr>
          <w:lang w:val="fr-FR"/>
        </w:rPr>
        <w:t xml:space="preserve">, qui </w:t>
      </w:r>
      <w:r>
        <w:rPr>
          <w:lang w:val="fr-FR"/>
        </w:rPr>
        <w:t>ne concerne pas</w:t>
      </w:r>
      <w:r w:rsidRPr="000C2B76">
        <w:rPr>
          <w:lang w:val="fr-FR"/>
        </w:rPr>
        <w:t xml:space="preserve"> l</w:t>
      </w:r>
      <w:r>
        <w:rPr>
          <w:lang w:val="fr-FR"/>
        </w:rPr>
        <w:t>’</w:t>
      </w:r>
      <w:r w:rsidRPr="000C2B76">
        <w:rPr>
          <w:lang w:val="fr-FR"/>
        </w:rPr>
        <w:t>application provisoire des traités</w:t>
      </w:r>
      <w:r w:rsidRPr="00F22830">
        <w:rPr>
          <w:rStyle w:val="FootnoteReference"/>
        </w:rPr>
        <w:footnoteReference w:id="26"/>
      </w:r>
      <w:r w:rsidRPr="00F22925">
        <w:rPr>
          <w:lang w:val="fr-FR"/>
        </w:rPr>
        <w:t>.</w:t>
      </w:r>
      <w:r w:rsidRPr="000C2B76">
        <w:rPr>
          <w:lang w:val="fr-FR"/>
        </w:rPr>
        <w:t xml:space="preserve"> </w:t>
      </w:r>
    </w:p>
    <w:p w14:paraId="06598B31" w14:textId="77777777" w:rsidR="0043175D" w:rsidRPr="000C2B76" w:rsidRDefault="0043175D" w:rsidP="0043175D">
      <w:pPr>
        <w:pStyle w:val="SingleTxtG"/>
        <w:ind w:left="1701"/>
        <w:rPr>
          <w:b/>
          <w:lang w:val="fr-FR"/>
        </w:rPr>
      </w:pPr>
      <w:r w:rsidRPr="000C2B76">
        <w:rPr>
          <w:b/>
          <w:lang w:val="fr-FR"/>
        </w:rPr>
        <w:t xml:space="preserve">Directive 5 </w:t>
      </w:r>
      <w:r w:rsidRPr="000C2B76">
        <w:rPr>
          <w:b/>
          <w:lang w:val="fr-FR"/>
        </w:rPr>
        <w:br/>
        <w:t>Prise d</w:t>
      </w:r>
      <w:r>
        <w:rPr>
          <w:b/>
          <w:lang w:val="fr-FR"/>
        </w:rPr>
        <w:t>’</w:t>
      </w:r>
      <w:r w:rsidRPr="000C2B76">
        <w:rPr>
          <w:b/>
          <w:lang w:val="fr-FR"/>
        </w:rPr>
        <w:t>effet</w:t>
      </w:r>
    </w:p>
    <w:p w14:paraId="343D8974" w14:textId="77777777" w:rsidR="0043175D" w:rsidRPr="000C2B76" w:rsidRDefault="0043175D" w:rsidP="0043175D">
      <w:pPr>
        <w:pStyle w:val="SingleTxtG"/>
        <w:ind w:left="1701"/>
        <w:rPr>
          <w:lang w:val="fr-FR"/>
        </w:rPr>
      </w:pPr>
      <w:r>
        <w:rPr>
          <w:lang w:val="fr-FR"/>
        </w:rPr>
        <w:tab/>
      </w:r>
      <w:r w:rsidRPr="000C2B76">
        <w:rPr>
          <w:lang w:val="fr-FR"/>
        </w:rPr>
        <w:t>L</w:t>
      </w:r>
      <w:r>
        <w:rPr>
          <w:lang w:val="fr-FR"/>
        </w:rPr>
        <w:t>’</w:t>
      </w:r>
      <w:r w:rsidRPr="000C2B76">
        <w:rPr>
          <w:lang w:val="fr-FR"/>
        </w:rPr>
        <w:t>application à titre provisoire d</w:t>
      </w:r>
      <w:r>
        <w:rPr>
          <w:lang w:val="fr-FR"/>
        </w:rPr>
        <w:t>’</w:t>
      </w:r>
      <w:r w:rsidRPr="000C2B76">
        <w:rPr>
          <w:lang w:val="fr-FR"/>
        </w:rPr>
        <w:t>un traité ou d</w:t>
      </w:r>
      <w:r>
        <w:rPr>
          <w:lang w:val="fr-FR"/>
        </w:rPr>
        <w:t>’</w:t>
      </w:r>
      <w:r w:rsidRPr="000C2B76">
        <w:rPr>
          <w:lang w:val="fr-FR"/>
        </w:rPr>
        <w:t>une partie d</w:t>
      </w:r>
      <w:r>
        <w:rPr>
          <w:lang w:val="fr-FR"/>
        </w:rPr>
        <w:t>’</w:t>
      </w:r>
      <w:r w:rsidRPr="000C2B76">
        <w:rPr>
          <w:lang w:val="fr-FR"/>
        </w:rPr>
        <w:t>un traité prend effet à la date et suivant les conditions et les modalités fixées par le traité ou autrement convenues</w:t>
      </w:r>
      <w:r w:rsidRPr="00F22925">
        <w:rPr>
          <w:lang w:val="fr-FR"/>
        </w:rPr>
        <w:t>.</w:t>
      </w:r>
    </w:p>
    <w:p w14:paraId="37CEF8E3" w14:textId="77777777" w:rsidR="0043175D" w:rsidRPr="000C2B76" w:rsidRDefault="0043175D" w:rsidP="0043175D">
      <w:pPr>
        <w:pStyle w:val="H23G"/>
        <w:rPr>
          <w:lang w:val="fr-FR"/>
        </w:rPr>
      </w:pPr>
      <w:r w:rsidRPr="000C2B76">
        <w:rPr>
          <w:lang w:val="fr-FR"/>
        </w:rPr>
        <w:lastRenderedPageBreak/>
        <w:tab/>
      </w:r>
      <w:r w:rsidRPr="000C2B76">
        <w:rPr>
          <w:lang w:val="fr-FR"/>
        </w:rPr>
        <w:tab/>
        <w:t>Commentaire</w:t>
      </w:r>
    </w:p>
    <w:p w14:paraId="1A2EFCD3" w14:textId="77777777" w:rsidR="0043175D" w:rsidRPr="000C2B76" w:rsidRDefault="0043175D" w:rsidP="0043175D">
      <w:pPr>
        <w:pStyle w:val="SingleTxtG"/>
        <w:rPr>
          <w:lang w:val="fr-FR"/>
        </w:rPr>
      </w:pPr>
      <w:r w:rsidRPr="000C2B76">
        <w:rPr>
          <w:lang w:val="fr-FR"/>
        </w:rPr>
        <w:t>1)</w:t>
      </w:r>
      <w:r w:rsidRPr="000C2B76">
        <w:rPr>
          <w:lang w:val="fr-FR"/>
        </w:rPr>
        <w:tab/>
        <w:t>Le projet de directive 5 traite de la prise d</w:t>
      </w:r>
      <w:r>
        <w:rPr>
          <w:lang w:val="fr-FR"/>
        </w:rPr>
        <w:t>’</w:t>
      </w:r>
      <w:r w:rsidRPr="000C2B76">
        <w:rPr>
          <w:lang w:val="fr-FR"/>
        </w:rPr>
        <w:t>effet de l</w:t>
      </w:r>
      <w:r>
        <w:rPr>
          <w:lang w:val="fr-FR"/>
        </w:rPr>
        <w:t>’</w:t>
      </w:r>
      <w:r w:rsidRPr="000C2B76">
        <w:rPr>
          <w:lang w:val="fr-FR"/>
        </w:rPr>
        <w:t>application à titre provisoire</w:t>
      </w:r>
      <w:r w:rsidRPr="00F22925">
        <w:rPr>
          <w:lang w:val="fr-FR"/>
        </w:rPr>
        <w:t>.</w:t>
      </w:r>
      <w:r w:rsidRPr="000C2B76">
        <w:rPr>
          <w:lang w:val="fr-FR"/>
        </w:rPr>
        <w:t xml:space="preserve"> Il</w:t>
      </w:r>
      <w:r>
        <w:rPr>
          <w:lang w:val="fr-FR"/>
        </w:rPr>
        <w:t xml:space="preserve"> </w:t>
      </w:r>
      <w:r w:rsidRPr="000C2B76">
        <w:rPr>
          <w:lang w:val="fr-FR"/>
        </w:rPr>
        <w:t>est inspiré du paragraphe 1 de l</w:t>
      </w:r>
      <w:r>
        <w:rPr>
          <w:lang w:val="fr-FR"/>
        </w:rPr>
        <w:t>’</w:t>
      </w:r>
      <w:r w:rsidRPr="000C2B76">
        <w:rPr>
          <w:lang w:val="fr-FR"/>
        </w:rPr>
        <w:t xml:space="preserve">article 24 des Conventions de Vienne </w:t>
      </w:r>
      <w:r>
        <w:rPr>
          <w:lang w:val="fr-FR"/>
        </w:rPr>
        <w:t>de 1969 et de 1986</w:t>
      </w:r>
      <w:r w:rsidRPr="000C2B76">
        <w:rPr>
          <w:lang w:val="fr-FR"/>
        </w:rPr>
        <w:t>, relatif à l</w:t>
      </w:r>
      <w:r>
        <w:rPr>
          <w:lang w:val="fr-FR"/>
        </w:rPr>
        <w:t>’</w:t>
      </w:r>
      <w:r w:rsidRPr="000C2B76">
        <w:rPr>
          <w:lang w:val="fr-FR"/>
        </w:rPr>
        <w:t>entrée en vigueur des traités</w:t>
      </w:r>
      <w:r w:rsidRPr="00F22925">
        <w:rPr>
          <w:lang w:val="fr-FR"/>
        </w:rPr>
        <w:t>.</w:t>
      </w:r>
    </w:p>
    <w:p w14:paraId="17A5F4C2" w14:textId="77777777" w:rsidR="0043175D" w:rsidRPr="000C2B76" w:rsidRDefault="0043175D" w:rsidP="0043175D">
      <w:pPr>
        <w:pStyle w:val="SingleTxtG"/>
        <w:rPr>
          <w:lang w:val="fr-FR"/>
        </w:rPr>
      </w:pPr>
      <w:r w:rsidRPr="000C2B76">
        <w:rPr>
          <w:lang w:val="fr-FR"/>
        </w:rPr>
        <w:t>2)</w:t>
      </w:r>
      <w:r w:rsidRPr="000C2B76">
        <w:rPr>
          <w:lang w:val="fr-FR"/>
        </w:rPr>
        <w:tab/>
        <w:t xml:space="preserve">Le premier membre de phrase reflète la décision de faire porter </w:t>
      </w:r>
      <w:r>
        <w:rPr>
          <w:lang w:val="fr-FR"/>
        </w:rPr>
        <w:t xml:space="preserve">le </w:t>
      </w:r>
      <w:r w:rsidRPr="000C2B76">
        <w:rPr>
          <w:lang w:val="fr-FR"/>
        </w:rPr>
        <w:t>Guide sur l</w:t>
      </w:r>
      <w:r>
        <w:rPr>
          <w:lang w:val="fr-FR"/>
        </w:rPr>
        <w:t>’</w:t>
      </w:r>
      <w:r w:rsidRPr="000C2B76">
        <w:rPr>
          <w:lang w:val="fr-FR"/>
        </w:rPr>
        <w:t>application à titre provisoire d</w:t>
      </w:r>
      <w:r>
        <w:rPr>
          <w:lang w:val="fr-FR"/>
        </w:rPr>
        <w:t>’</w:t>
      </w:r>
      <w:r w:rsidRPr="000C2B76">
        <w:rPr>
          <w:lang w:val="fr-FR"/>
        </w:rPr>
        <w:t>un traité dans son intégralité ou d</w:t>
      </w:r>
      <w:r>
        <w:rPr>
          <w:lang w:val="fr-FR"/>
        </w:rPr>
        <w:t>’</w:t>
      </w:r>
      <w:r w:rsidRPr="000C2B76">
        <w:rPr>
          <w:lang w:val="fr-FR"/>
        </w:rPr>
        <w:t>une partie d</w:t>
      </w:r>
      <w:r>
        <w:rPr>
          <w:lang w:val="fr-FR"/>
        </w:rPr>
        <w:t>’</w:t>
      </w:r>
      <w:r w:rsidRPr="000C2B76">
        <w:rPr>
          <w:lang w:val="fr-FR"/>
        </w:rPr>
        <w:t>un traité</w:t>
      </w:r>
      <w:r w:rsidRPr="00F22925">
        <w:rPr>
          <w:lang w:val="fr-FR"/>
        </w:rPr>
        <w:t>.</w:t>
      </w:r>
      <w:r w:rsidRPr="000C2B76">
        <w:rPr>
          <w:lang w:val="fr-FR"/>
        </w:rPr>
        <w:t xml:space="preserve"> Le membre de phrase « prend effet […] à la date et suivant les conditions et les modalités fixées » détermine la date de la prise d</w:t>
      </w:r>
      <w:r>
        <w:rPr>
          <w:lang w:val="fr-FR"/>
        </w:rPr>
        <w:t>’</w:t>
      </w:r>
      <w:r w:rsidRPr="000C2B76">
        <w:rPr>
          <w:lang w:val="fr-FR"/>
        </w:rPr>
        <w:t>effet de l</w:t>
      </w:r>
      <w:r>
        <w:rPr>
          <w:lang w:val="fr-FR"/>
        </w:rPr>
        <w:t>’</w:t>
      </w:r>
      <w:r w:rsidRPr="000C2B76">
        <w:rPr>
          <w:lang w:val="fr-FR"/>
        </w:rPr>
        <w:t>application à titre provisoire</w:t>
      </w:r>
      <w:r w:rsidRPr="00F22925">
        <w:rPr>
          <w:lang w:val="fr-FR"/>
        </w:rPr>
        <w:t>.</w:t>
      </w:r>
      <w:r w:rsidRPr="000C2B76">
        <w:rPr>
          <w:lang w:val="fr-FR"/>
        </w:rPr>
        <w:t xml:space="preserve"> Inspiré du libellé de l</w:t>
      </w:r>
      <w:r>
        <w:rPr>
          <w:lang w:val="fr-FR"/>
        </w:rPr>
        <w:t>’</w:t>
      </w:r>
      <w:r w:rsidRPr="000C2B76">
        <w:rPr>
          <w:lang w:val="fr-FR"/>
        </w:rPr>
        <w:t>article 68 de la Convention de Vienne de 1969, dans lequel sont employés les termes « pris effet », il établit que la disposition concerne les effets juridiques qu</w:t>
      </w:r>
      <w:r>
        <w:rPr>
          <w:lang w:val="fr-FR"/>
        </w:rPr>
        <w:t>’</w:t>
      </w:r>
      <w:r w:rsidRPr="000C2B76">
        <w:rPr>
          <w:lang w:val="fr-FR"/>
        </w:rPr>
        <w:t>a le traité à l</w:t>
      </w:r>
      <w:r>
        <w:rPr>
          <w:lang w:val="fr-FR"/>
        </w:rPr>
        <w:t>’</w:t>
      </w:r>
      <w:r w:rsidRPr="000C2B76">
        <w:rPr>
          <w:lang w:val="fr-FR"/>
        </w:rPr>
        <w:t>égard de l</w:t>
      </w:r>
      <w:r>
        <w:rPr>
          <w:lang w:val="fr-FR"/>
        </w:rPr>
        <w:t>’</w:t>
      </w:r>
      <w:r w:rsidRPr="000C2B76">
        <w:rPr>
          <w:lang w:val="fr-FR"/>
        </w:rPr>
        <w:t>État ou de l</w:t>
      </w:r>
      <w:r>
        <w:rPr>
          <w:lang w:val="fr-FR"/>
        </w:rPr>
        <w:t>’</w:t>
      </w:r>
      <w:r w:rsidRPr="000C2B76">
        <w:rPr>
          <w:lang w:val="fr-FR"/>
        </w:rPr>
        <w:t>organisation internationale qui décide de l</w:t>
      </w:r>
      <w:r>
        <w:rPr>
          <w:lang w:val="fr-FR"/>
        </w:rPr>
        <w:t>’</w:t>
      </w:r>
      <w:r w:rsidRPr="000C2B76">
        <w:rPr>
          <w:lang w:val="fr-FR"/>
        </w:rPr>
        <w:t>appliquer à titre provisoire</w:t>
      </w:r>
      <w:r w:rsidRPr="00F22925">
        <w:rPr>
          <w:lang w:val="fr-FR"/>
        </w:rPr>
        <w:t>.</w:t>
      </w:r>
      <w:r w:rsidRPr="000C2B76">
        <w:rPr>
          <w:lang w:val="fr-FR"/>
        </w:rPr>
        <w:t xml:space="preserve"> </w:t>
      </w:r>
    </w:p>
    <w:p w14:paraId="54AB829A" w14:textId="77777777" w:rsidR="0043175D" w:rsidRPr="000C2B76" w:rsidRDefault="0043175D" w:rsidP="0043175D">
      <w:pPr>
        <w:pStyle w:val="SingleTxtG"/>
        <w:rPr>
          <w:lang w:val="fr-FR"/>
        </w:rPr>
      </w:pPr>
      <w:r w:rsidRPr="000C2B76">
        <w:rPr>
          <w:lang w:val="fr-FR"/>
        </w:rPr>
        <w:t>3)</w:t>
      </w:r>
      <w:r w:rsidRPr="000C2B76">
        <w:rPr>
          <w:lang w:val="fr-FR"/>
        </w:rPr>
        <w:tab/>
        <w:t>La formule « à la date et suivant les conditions et les modalités fixées » renvoie aux différentes manières de déclencher l</w:t>
      </w:r>
      <w:r>
        <w:rPr>
          <w:lang w:val="fr-FR"/>
        </w:rPr>
        <w:t>’</w:t>
      </w:r>
      <w:r w:rsidRPr="000C2B76">
        <w:rPr>
          <w:lang w:val="fr-FR"/>
        </w:rPr>
        <w:t>application à titre provisoire des traités qui se dégagent de la pratique contemporaine</w:t>
      </w:r>
      <w:r w:rsidRPr="00F22830">
        <w:rPr>
          <w:rStyle w:val="FootnoteReference"/>
        </w:rPr>
        <w:footnoteReference w:id="27"/>
      </w:r>
      <w:r w:rsidRPr="00F22925">
        <w:rPr>
          <w:lang w:val="fr-FR"/>
        </w:rPr>
        <w:t>.</w:t>
      </w:r>
      <w:r w:rsidRPr="000C2B76">
        <w:rPr>
          <w:lang w:val="fr-FR"/>
        </w:rPr>
        <w:t xml:space="preserve"> L</w:t>
      </w:r>
      <w:r>
        <w:rPr>
          <w:lang w:val="fr-FR"/>
        </w:rPr>
        <w:t>’</w:t>
      </w:r>
      <w:r w:rsidRPr="000C2B76">
        <w:rPr>
          <w:lang w:val="fr-FR"/>
        </w:rPr>
        <w:t xml:space="preserve">application provisoire peut prendre effet, notamment, à la signature, à une certaine date, sur notification ou, dans le cas de traités multilatéraux, </w:t>
      </w:r>
      <w:r>
        <w:rPr>
          <w:lang w:val="fr-FR"/>
        </w:rPr>
        <w:t>avec</w:t>
      </w:r>
      <w:r w:rsidRPr="000C2B76">
        <w:rPr>
          <w:lang w:val="fr-FR"/>
        </w:rPr>
        <w:t xml:space="preserve"> l</w:t>
      </w:r>
      <w:r>
        <w:rPr>
          <w:lang w:val="fr-FR"/>
        </w:rPr>
        <w:t>’</w:t>
      </w:r>
      <w:r w:rsidRPr="000C2B76">
        <w:rPr>
          <w:lang w:val="fr-FR"/>
        </w:rPr>
        <w:t>adoption d</w:t>
      </w:r>
      <w:r>
        <w:rPr>
          <w:lang w:val="fr-FR"/>
        </w:rPr>
        <w:t>’</w:t>
      </w:r>
      <w:r w:rsidRPr="000C2B76">
        <w:rPr>
          <w:lang w:val="fr-FR"/>
        </w:rPr>
        <w:t>une décision par une organisation internationale</w:t>
      </w:r>
      <w:r w:rsidRPr="00F22925">
        <w:rPr>
          <w:lang w:val="fr-FR"/>
        </w:rPr>
        <w:t>.</w:t>
      </w:r>
    </w:p>
    <w:p w14:paraId="52BE3CC3" w14:textId="77777777" w:rsidR="0043175D" w:rsidRPr="000C2B76" w:rsidRDefault="0043175D" w:rsidP="0043175D">
      <w:pPr>
        <w:pStyle w:val="SingleTxtG"/>
        <w:rPr>
          <w:lang w:val="fr-FR"/>
        </w:rPr>
      </w:pPr>
      <w:r w:rsidRPr="000C2B76">
        <w:rPr>
          <w:lang w:val="fr-FR"/>
        </w:rPr>
        <w:t>4)</w:t>
      </w:r>
      <w:r>
        <w:rPr>
          <w:lang w:val="fr-FR"/>
        </w:rPr>
        <w:tab/>
      </w:r>
      <w:r w:rsidRPr="000C2B76">
        <w:rPr>
          <w:lang w:val="fr-FR"/>
        </w:rPr>
        <w:t xml:space="preserve">Le dernier membre de phrase, « fixées par le traité ou autrement convenues », </w:t>
      </w:r>
      <w:r>
        <w:rPr>
          <w:lang w:val="fr-FR"/>
        </w:rPr>
        <w:t xml:space="preserve">vient réaffirmer </w:t>
      </w:r>
      <w:r w:rsidRPr="000C2B76">
        <w:rPr>
          <w:lang w:val="fr-FR"/>
        </w:rPr>
        <w:t>que l</w:t>
      </w:r>
      <w:r>
        <w:rPr>
          <w:lang w:val="fr-FR"/>
        </w:rPr>
        <w:t>’</w:t>
      </w:r>
      <w:r w:rsidRPr="000C2B76">
        <w:rPr>
          <w:lang w:val="fr-FR"/>
        </w:rPr>
        <w:t>application à titre provisoire d</w:t>
      </w:r>
      <w:r>
        <w:rPr>
          <w:lang w:val="fr-FR"/>
        </w:rPr>
        <w:t>’</w:t>
      </w:r>
      <w:r w:rsidRPr="000C2B76">
        <w:rPr>
          <w:lang w:val="fr-FR"/>
        </w:rPr>
        <w:t>un traité ou d</w:t>
      </w:r>
      <w:r>
        <w:rPr>
          <w:lang w:val="fr-FR"/>
        </w:rPr>
        <w:t>’</w:t>
      </w:r>
      <w:r w:rsidRPr="000C2B76">
        <w:rPr>
          <w:lang w:val="fr-FR"/>
        </w:rPr>
        <w:t>une partie d</w:t>
      </w:r>
      <w:r>
        <w:rPr>
          <w:lang w:val="fr-FR"/>
        </w:rPr>
        <w:t>’</w:t>
      </w:r>
      <w:r w:rsidRPr="000C2B76">
        <w:rPr>
          <w:lang w:val="fr-FR"/>
        </w:rPr>
        <w:t xml:space="preserve">un traité </w:t>
      </w:r>
      <w:r>
        <w:rPr>
          <w:lang w:val="fr-FR"/>
        </w:rPr>
        <w:t xml:space="preserve">peut être convenue par </w:t>
      </w:r>
      <w:r w:rsidRPr="000C2B76">
        <w:rPr>
          <w:lang w:val="fr-FR"/>
        </w:rPr>
        <w:t>une disposition du traité concerné</w:t>
      </w:r>
      <w:r>
        <w:rPr>
          <w:lang w:val="fr-FR"/>
        </w:rPr>
        <w:t xml:space="preserve">, par </w:t>
      </w:r>
      <w:r w:rsidRPr="000C2B76">
        <w:rPr>
          <w:lang w:val="fr-FR"/>
        </w:rPr>
        <w:t xml:space="preserve">un traité distinct de quelque type que ce soit ou </w:t>
      </w:r>
      <w:r>
        <w:rPr>
          <w:lang w:val="fr-FR"/>
        </w:rPr>
        <w:t>par</w:t>
      </w:r>
      <w:r w:rsidRPr="000C2B76">
        <w:rPr>
          <w:lang w:val="fr-FR"/>
        </w:rPr>
        <w:t xml:space="preserve"> tout autre moyen ou arrangement prévoyant l</w:t>
      </w:r>
      <w:r>
        <w:rPr>
          <w:lang w:val="fr-FR"/>
        </w:rPr>
        <w:t>’</w:t>
      </w:r>
      <w:r w:rsidRPr="000C2B76">
        <w:rPr>
          <w:lang w:val="fr-FR"/>
        </w:rPr>
        <w:t>application provisoire</w:t>
      </w:r>
      <w:r>
        <w:rPr>
          <w:lang w:val="fr-FR"/>
        </w:rPr>
        <w:t xml:space="preserve">, ainsi qu’il est dit </w:t>
      </w:r>
      <w:r w:rsidRPr="000C2B76">
        <w:rPr>
          <w:lang w:val="fr-FR"/>
        </w:rPr>
        <w:t>dans le projet de directive 4, et est soumis</w:t>
      </w:r>
      <w:r>
        <w:rPr>
          <w:lang w:val="fr-FR"/>
        </w:rPr>
        <w:t>e</w:t>
      </w:r>
      <w:r w:rsidRPr="000C2B76">
        <w:rPr>
          <w:lang w:val="fr-FR"/>
        </w:rPr>
        <w:t xml:space="preserve"> aux conditions et modalités fixées par </w:t>
      </w:r>
      <w:r>
        <w:rPr>
          <w:lang w:val="fr-FR"/>
        </w:rPr>
        <w:t>pareils</w:t>
      </w:r>
      <w:r w:rsidRPr="000C2B76">
        <w:rPr>
          <w:lang w:val="fr-FR"/>
        </w:rPr>
        <w:t xml:space="preserve"> instruments et mécanismes</w:t>
      </w:r>
      <w:r w:rsidRPr="00F22925">
        <w:rPr>
          <w:lang w:val="fr-FR"/>
        </w:rPr>
        <w:t>.</w:t>
      </w:r>
    </w:p>
    <w:p w14:paraId="672DF77A" w14:textId="77777777" w:rsidR="0043175D" w:rsidRDefault="0043175D" w:rsidP="0043175D">
      <w:pPr>
        <w:pStyle w:val="SingleTxtG"/>
        <w:rPr>
          <w:lang w:val="fr-FR"/>
        </w:rPr>
      </w:pPr>
      <w:r w:rsidRPr="000C2B76">
        <w:rPr>
          <w:lang w:val="fr-FR"/>
        </w:rPr>
        <w:t>5)</w:t>
      </w:r>
      <w:r>
        <w:rPr>
          <w:lang w:val="fr-FR"/>
        </w:rPr>
        <w:tab/>
      </w:r>
      <w:r w:rsidRPr="000C2B76">
        <w:rPr>
          <w:lang w:val="fr-FR"/>
        </w:rPr>
        <w:t>Le projet de directive 5 est sans préjudice du paragraphe 4 de l</w:t>
      </w:r>
      <w:r>
        <w:rPr>
          <w:lang w:val="fr-FR"/>
        </w:rPr>
        <w:t>’</w:t>
      </w:r>
      <w:r w:rsidRPr="000C2B76">
        <w:rPr>
          <w:lang w:val="fr-FR"/>
        </w:rPr>
        <w:t xml:space="preserve">article 24 des Conventions de Vienne </w:t>
      </w:r>
      <w:r>
        <w:rPr>
          <w:lang w:val="fr-FR"/>
        </w:rPr>
        <w:t>de 1969 et de 1986</w:t>
      </w:r>
      <w:r w:rsidRPr="000C2B76">
        <w:rPr>
          <w:lang w:val="fr-FR"/>
        </w:rPr>
        <w:t>, selon lequel les dispositions concernant les questions qui se posent nécessairement avant l</w:t>
      </w:r>
      <w:r>
        <w:rPr>
          <w:lang w:val="fr-FR"/>
        </w:rPr>
        <w:t>’</w:t>
      </w:r>
      <w:r w:rsidRPr="000C2B76">
        <w:rPr>
          <w:lang w:val="fr-FR"/>
        </w:rPr>
        <w:t>entrée en vigueur d</w:t>
      </w:r>
      <w:r>
        <w:rPr>
          <w:lang w:val="fr-FR"/>
        </w:rPr>
        <w:t>’</w:t>
      </w:r>
      <w:r w:rsidRPr="000C2B76">
        <w:rPr>
          <w:lang w:val="fr-FR"/>
        </w:rPr>
        <w:t>un traité sont applicables dès l</w:t>
      </w:r>
      <w:r>
        <w:rPr>
          <w:lang w:val="fr-FR"/>
        </w:rPr>
        <w:t>’</w:t>
      </w:r>
      <w:r w:rsidRPr="000C2B76">
        <w:rPr>
          <w:lang w:val="fr-FR"/>
        </w:rPr>
        <w:t>adoption du texte</w:t>
      </w:r>
      <w:r w:rsidRPr="00F22925">
        <w:rPr>
          <w:lang w:val="fr-FR"/>
        </w:rPr>
        <w:t>.</w:t>
      </w:r>
      <w:r w:rsidRPr="000C2B76">
        <w:rPr>
          <w:lang w:val="fr-FR"/>
        </w:rPr>
        <w:t xml:space="preserve"> Parmi ces questions figurent l</w:t>
      </w:r>
      <w:r>
        <w:rPr>
          <w:lang w:val="fr-FR"/>
        </w:rPr>
        <w:t>’</w:t>
      </w:r>
      <w:r w:rsidRPr="000C2B76">
        <w:rPr>
          <w:lang w:val="fr-FR"/>
        </w:rPr>
        <w:t>authentification du texte du traité, l</w:t>
      </w:r>
      <w:r>
        <w:rPr>
          <w:lang w:val="fr-FR"/>
        </w:rPr>
        <w:t>’</w:t>
      </w:r>
      <w:r w:rsidRPr="000C2B76">
        <w:rPr>
          <w:lang w:val="fr-FR"/>
        </w:rPr>
        <w:t>établissement du consentement à être lié par le traité, les modalités ou la date d</w:t>
      </w:r>
      <w:r>
        <w:rPr>
          <w:lang w:val="fr-FR"/>
        </w:rPr>
        <w:t>’</w:t>
      </w:r>
      <w:r w:rsidRPr="000C2B76">
        <w:rPr>
          <w:lang w:val="fr-FR"/>
        </w:rPr>
        <w:t>entrée en vigueur, les réserves et les fonctions du dépositaire</w:t>
      </w:r>
      <w:r w:rsidRPr="00F22925">
        <w:rPr>
          <w:lang w:val="fr-FR"/>
        </w:rPr>
        <w:t>.</w:t>
      </w:r>
      <w:r w:rsidRPr="000C2B76">
        <w:rPr>
          <w:lang w:val="fr-FR"/>
        </w:rPr>
        <w:t xml:space="preserve"> Les dispositions en question s</w:t>
      </w:r>
      <w:r>
        <w:rPr>
          <w:lang w:val="fr-FR"/>
        </w:rPr>
        <w:t>’</w:t>
      </w:r>
      <w:r w:rsidRPr="000C2B76">
        <w:rPr>
          <w:lang w:val="fr-FR"/>
        </w:rPr>
        <w:t>appliquent donc automatiquement, sans qu</w:t>
      </w:r>
      <w:r>
        <w:rPr>
          <w:lang w:val="fr-FR"/>
        </w:rPr>
        <w:t>’</w:t>
      </w:r>
      <w:r w:rsidRPr="000C2B76">
        <w:rPr>
          <w:lang w:val="fr-FR"/>
        </w:rPr>
        <w:t>il soit nécessaire de s</w:t>
      </w:r>
      <w:r>
        <w:rPr>
          <w:lang w:val="fr-FR"/>
        </w:rPr>
        <w:t>’</w:t>
      </w:r>
      <w:r w:rsidRPr="000C2B76">
        <w:rPr>
          <w:lang w:val="fr-FR"/>
        </w:rPr>
        <w:t>accorder expressément sur leur application à titre provisoire, et p</w:t>
      </w:r>
      <w:r>
        <w:rPr>
          <w:lang w:val="fr-FR"/>
        </w:rPr>
        <w:t>euvent</w:t>
      </w:r>
      <w:r w:rsidRPr="000C2B76">
        <w:rPr>
          <w:lang w:val="fr-FR"/>
        </w:rPr>
        <w:t xml:space="preserve"> présenter un intérêt pour ce qui est de la prise d</w:t>
      </w:r>
      <w:r>
        <w:rPr>
          <w:lang w:val="fr-FR"/>
        </w:rPr>
        <w:t>’</w:t>
      </w:r>
      <w:r w:rsidRPr="000C2B76">
        <w:rPr>
          <w:lang w:val="fr-FR"/>
        </w:rPr>
        <w:t>effet de l</w:t>
      </w:r>
      <w:r>
        <w:rPr>
          <w:lang w:val="fr-FR"/>
        </w:rPr>
        <w:t>’</w:t>
      </w:r>
      <w:r w:rsidRPr="000C2B76">
        <w:rPr>
          <w:lang w:val="fr-FR"/>
        </w:rPr>
        <w:t>application provisoire du traité</w:t>
      </w:r>
      <w:r w:rsidRPr="00F22925">
        <w:rPr>
          <w:lang w:val="fr-FR"/>
        </w:rPr>
        <w:t>.</w:t>
      </w:r>
    </w:p>
    <w:p w14:paraId="697C0013" w14:textId="77777777" w:rsidR="0043175D" w:rsidRPr="00D27A64" w:rsidRDefault="0043175D" w:rsidP="0043175D">
      <w:pPr>
        <w:pStyle w:val="H23G"/>
        <w:ind w:left="1701" w:firstLine="0"/>
        <w:rPr>
          <w:lang w:val="fr-FR"/>
        </w:rPr>
      </w:pPr>
      <w:r>
        <w:rPr>
          <w:lang w:val="fr-FR"/>
        </w:rPr>
        <w:tab/>
      </w:r>
      <w:r w:rsidRPr="00D27A64">
        <w:rPr>
          <w:lang w:val="fr-FR"/>
        </w:rPr>
        <w:t xml:space="preserve">Directive 6 </w:t>
      </w:r>
      <w:r w:rsidRPr="00D27A64">
        <w:rPr>
          <w:lang w:val="fr-FR"/>
        </w:rPr>
        <w:br/>
        <w:t xml:space="preserve">Effet juridique </w:t>
      </w:r>
    </w:p>
    <w:p w14:paraId="551BC34D" w14:textId="77777777" w:rsidR="0043175D" w:rsidRPr="00D27A64" w:rsidRDefault="0043175D" w:rsidP="0043175D">
      <w:pPr>
        <w:pStyle w:val="SingleTxtG"/>
        <w:ind w:left="1701"/>
        <w:rPr>
          <w:lang w:val="fr-FR"/>
        </w:rPr>
      </w:pPr>
      <w:r w:rsidRPr="00D27A64">
        <w:rPr>
          <w:lang w:val="fr-FR"/>
        </w:rPr>
        <w:tab/>
        <w:t>L</w:t>
      </w:r>
      <w:r>
        <w:rPr>
          <w:lang w:val="fr-FR"/>
        </w:rPr>
        <w:t>’</w:t>
      </w:r>
      <w:r w:rsidRPr="00D27A64">
        <w:rPr>
          <w:lang w:val="fr-FR"/>
        </w:rPr>
        <w:t>application à titre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produit une obligation juridiquement contraignante d</w:t>
      </w:r>
      <w:r>
        <w:rPr>
          <w:lang w:val="fr-FR"/>
        </w:rPr>
        <w:t>’</w:t>
      </w:r>
      <w:r w:rsidRPr="00D27A64">
        <w:rPr>
          <w:lang w:val="fr-FR"/>
        </w:rPr>
        <w:t>appliquer le traité ou une partie de celui</w:t>
      </w:r>
      <w:r>
        <w:rPr>
          <w:lang w:val="fr-FR"/>
        </w:rPr>
        <w:noBreakHyphen/>
      </w:r>
      <w:r w:rsidRPr="00D27A64">
        <w:rPr>
          <w:lang w:val="fr-FR"/>
        </w:rPr>
        <w:t xml:space="preserve">ci entre les États ou organisations internationales concernés, </w:t>
      </w:r>
      <w:bookmarkStart w:id="7" w:name="_Hlk76034349"/>
      <w:r w:rsidRPr="00D27A64">
        <w:rPr>
          <w:lang w:val="fr-FR"/>
        </w:rPr>
        <w:t>sauf dans la mesure où le traité en dispose autrement ou qu</w:t>
      </w:r>
      <w:r>
        <w:rPr>
          <w:lang w:val="fr-FR"/>
        </w:rPr>
        <w:t>’</w:t>
      </w:r>
      <w:r w:rsidRPr="00D27A64">
        <w:rPr>
          <w:lang w:val="fr-FR"/>
        </w:rPr>
        <w:t>il en est autrement convenu</w:t>
      </w:r>
      <w:bookmarkEnd w:id="7"/>
      <w:r w:rsidRPr="00F22925">
        <w:rPr>
          <w:lang w:val="fr-FR"/>
        </w:rPr>
        <w:t>.</w:t>
      </w:r>
      <w:r w:rsidRPr="00D27A64">
        <w:rPr>
          <w:lang w:val="fr-FR"/>
        </w:rPr>
        <w:t xml:space="preserve"> Un tel traité ou partie d</w:t>
      </w:r>
      <w:r>
        <w:rPr>
          <w:lang w:val="fr-FR"/>
        </w:rPr>
        <w:t>’</w:t>
      </w:r>
      <w:r w:rsidRPr="00D27A64">
        <w:rPr>
          <w:lang w:val="fr-FR"/>
        </w:rPr>
        <w:t>un traité qui s</w:t>
      </w:r>
      <w:r>
        <w:rPr>
          <w:lang w:val="fr-FR"/>
        </w:rPr>
        <w:t>’</w:t>
      </w:r>
      <w:r w:rsidRPr="00D27A64">
        <w:rPr>
          <w:lang w:val="fr-FR"/>
        </w:rPr>
        <w:t>applique à titre provisoire doit être exécuté de bonne foi</w:t>
      </w:r>
      <w:r w:rsidRPr="00F22925">
        <w:rPr>
          <w:lang w:val="fr-FR"/>
        </w:rPr>
        <w:t>.</w:t>
      </w:r>
    </w:p>
    <w:p w14:paraId="2520381E" w14:textId="77777777" w:rsidR="0043175D" w:rsidRPr="00D27A64" w:rsidRDefault="0043175D" w:rsidP="0043175D">
      <w:pPr>
        <w:pStyle w:val="H23G"/>
        <w:rPr>
          <w:lang w:val="fr-FR"/>
        </w:rPr>
      </w:pPr>
      <w:r w:rsidRPr="00D27A64">
        <w:rPr>
          <w:lang w:val="fr-FR"/>
        </w:rPr>
        <w:tab/>
      </w:r>
      <w:r w:rsidRPr="00D27A64">
        <w:rPr>
          <w:lang w:val="fr-FR"/>
        </w:rPr>
        <w:tab/>
      </w:r>
      <w:bookmarkStart w:id="8" w:name="_Toc522896359"/>
      <w:bookmarkStart w:id="9" w:name="_Toc523727669"/>
      <w:r w:rsidRPr="00D27A64">
        <w:rPr>
          <w:lang w:val="fr-FR"/>
        </w:rPr>
        <w:t>Commenta</w:t>
      </w:r>
      <w:bookmarkEnd w:id="8"/>
      <w:bookmarkEnd w:id="9"/>
      <w:r w:rsidRPr="00D27A64">
        <w:rPr>
          <w:lang w:val="fr-FR"/>
        </w:rPr>
        <w:t>ire</w:t>
      </w:r>
    </w:p>
    <w:p w14:paraId="601593E3" w14:textId="77777777" w:rsidR="0043175D" w:rsidRPr="00D27A64" w:rsidRDefault="0043175D" w:rsidP="0043175D">
      <w:pPr>
        <w:pStyle w:val="SingleTxtG"/>
        <w:rPr>
          <w:lang w:val="fr-FR"/>
        </w:rPr>
      </w:pPr>
      <w:r w:rsidRPr="00D27A64">
        <w:rPr>
          <w:lang w:val="fr-FR"/>
        </w:rPr>
        <w:t>1)</w:t>
      </w:r>
      <w:r w:rsidRPr="00D27A64">
        <w:rPr>
          <w:lang w:val="fr-FR"/>
        </w:rPr>
        <w:tab/>
        <w:t>Le projet de directive 6 traite de l</w:t>
      </w:r>
      <w:r>
        <w:rPr>
          <w:lang w:val="fr-FR"/>
        </w:rPr>
        <w:t>’</w:t>
      </w:r>
      <w:r w:rsidRPr="00D27A64">
        <w:rPr>
          <w:lang w:val="fr-FR"/>
        </w:rPr>
        <w:t>effet juridique de l</w:t>
      </w:r>
      <w:r>
        <w:rPr>
          <w:lang w:val="fr-FR"/>
        </w:rPr>
        <w:t>’</w:t>
      </w:r>
      <w:r w:rsidRPr="00D27A64">
        <w:rPr>
          <w:lang w:val="fr-FR"/>
        </w:rPr>
        <w:t>application à titre provisoire</w:t>
      </w:r>
      <w:r w:rsidRPr="00F22925">
        <w:rPr>
          <w:lang w:val="fr-FR"/>
        </w:rPr>
        <w:t>.</w:t>
      </w:r>
      <w:r w:rsidRPr="00D27A64">
        <w:rPr>
          <w:lang w:val="fr-FR"/>
        </w:rPr>
        <w:t xml:space="preserve"> Deux types d</w:t>
      </w:r>
      <w:proofErr w:type="gramStart"/>
      <w:r>
        <w:rPr>
          <w:lang w:val="fr-FR"/>
        </w:rPr>
        <w:t>’</w:t>
      </w:r>
      <w:r w:rsidRPr="00D27A64">
        <w:rPr>
          <w:lang w:val="fr-FR"/>
        </w:rPr>
        <w:t>«</w:t>
      </w:r>
      <w:proofErr w:type="gramEnd"/>
      <w:r w:rsidRPr="00D27A64">
        <w:rPr>
          <w:lang w:val="fr-FR"/>
        </w:rPr>
        <w:t xml:space="preserve"> effet juridique » peuvent être envisagés : l</w:t>
      </w:r>
      <w:r>
        <w:rPr>
          <w:lang w:val="fr-FR"/>
        </w:rPr>
        <w:t>’</w:t>
      </w:r>
      <w:r w:rsidRPr="00D27A64">
        <w:rPr>
          <w:lang w:val="fr-FR"/>
        </w:rPr>
        <w:t>effet juridique de l</w:t>
      </w:r>
      <w:r>
        <w:rPr>
          <w:lang w:val="fr-FR"/>
        </w:rPr>
        <w:t>’</w:t>
      </w:r>
      <w:r w:rsidRPr="00D27A64">
        <w:rPr>
          <w:lang w:val="fr-FR"/>
        </w:rPr>
        <w:t>accord relatif à l</w:t>
      </w:r>
      <w:r>
        <w:rPr>
          <w:lang w:val="fr-FR"/>
        </w:rPr>
        <w:t>’</w:t>
      </w:r>
      <w:r w:rsidRPr="00D27A64">
        <w:rPr>
          <w:lang w:val="fr-FR"/>
        </w:rPr>
        <w:t>application à titre provisoire du traité ou d</w:t>
      </w:r>
      <w:r>
        <w:rPr>
          <w:lang w:val="fr-FR"/>
        </w:rPr>
        <w:t>’</w:t>
      </w:r>
      <w:r w:rsidRPr="00D27A64">
        <w:rPr>
          <w:lang w:val="fr-FR"/>
        </w:rPr>
        <w:t>une partie du traité, et l</w:t>
      </w:r>
      <w:r>
        <w:rPr>
          <w:lang w:val="fr-FR"/>
        </w:rPr>
        <w:t>’</w:t>
      </w:r>
      <w:r w:rsidRPr="00D27A64">
        <w:rPr>
          <w:lang w:val="fr-FR"/>
        </w:rPr>
        <w:t>effet juridique du traité ou de la partie du traité qui sont appliqués à titre provisoire</w:t>
      </w:r>
      <w:r w:rsidRPr="00F22925">
        <w:rPr>
          <w:lang w:val="fr-FR"/>
        </w:rPr>
        <w:t>.</w:t>
      </w:r>
      <w:r w:rsidRPr="00D27A64">
        <w:rPr>
          <w:lang w:val="fr-FR"/>
        </w:rPr>
        <w:t xml:space="preserve"> </w:t>
      </w:r>
    </w:p>
    <w:p w14:paraId="36D76620" w14:textId="77777777" w:rsidR="0043175D" w:rsidRPr="00D27A64" w:rsidRDefault="0043175D" w:rsidP="0043175D">
      <w:pPr>
        <w:pStyle w:val="SingleTxtG"/>
        <w:rPr>
          <w:lang w:val="fr-FR"/>
        </w:rPr>
      </w:pPr>
      <w:r w:rsidRPr="00D27A64">
        <w:rPr>
          <w:lang w:val="fr-FR"/>
        </w:rPr>
        <w:lastRenderedPageBreak/>
        <w:t>2)</w:t>
      </w:r>
      <w:r w:rsidRPr="00D27A64">
        <w:rPr>
          <w:lang w:val="fr-FR"/>
        </w:rPr>
        <w:tab/>
        <w:t>La première phrase du projet de directive établit que l</w:t>
      </w:r>
      <w:r>
        <w:rPr>
          <w:lang w:val="fr-FR"/>
        </w:rPr>
        <w:t>’</w:t>
      </w:r>
      <w:r w:rsidRPr="00D27A64">
        <w:rPr>
          <w:lang w:val="fr-FR"/>
        </w:rPr>
        <w:t>application à titre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produit une obligation juridiquement contraignante d</w:t>
      </w:r>
      <w:r>
        <w:rPr>
          <w:lang w:val="fr-FR"/>
        </w:rPr>
        <w:t>’</w:t>
      </w:r>
      <w:r w:rsidRPr="00D27A64">
        <w:rPr>
          <w:lang w:val="fr-FR"/>
        </w:rPr>
        <w:t>appliquer le traité ou une partie de celui-ci entre les États ou organisations internationales concernés</w:t>
      </w:r>
      <w:r w:rsidRPr="00F22925">
        <w:rPr>
          <w:lang w:val="fr-FR"/>
        </w:rPr>
        <w:t>.</w:t>
      </w:r>
      <w:r w:rsidRPr="00D27A64">
        <w:rPr>
          <w:lang w:val="fr-FR"/>
        </w:rPr>
        <w:t xml:space="preserve"> En d</w:t>
      </w:r>
      <w:r>
        <w:rPr>
          <w:lang w:val="fr-FR"/>
        </w:rPr>
        <w:t>’</w:t>
      </w:r>
      <w:r w:rsidRPr="00D27A64">
        <w:rPr>
          <w:lang w:val="fr-FR"/>
        </w:rPr>
        <w:t>autres termes, un traité ou une partie d</w:t>
      </w:r>
      <w:r>
        <w:rPr>
          <w:lang w:val="fr-FR"/>
        </w:rPr>
        <w:t>’</w:t>
      </w:r>
      <w:r w:rsidRPr="00D27A64">
        <w:rPr>
          <w:lang w:val="fr-FR"/>
        </w:rPr>
        <w:t>un traité appliqués à titre provisoire sont considérés comme contraignants pour les parties qui les appliquent provisoirement à compter de la date de la prise d</w:t>
      </w:r>
      <w:r>
        <w:rPr>
          <w:lang w:val="fr-FR"/>
        </w:rPr>
        <w:t>’</w:t>
      </w:r>
      <w:r w:rsidRPr="00D27A64">
        <w:rPr>
          <w:lang w:val="fr-FR"/>
        </w:rPr>
        <w:t>effet de l</w:t>
      </w:r>
      <w:r>
        <w:rPr>
          <w:lang w:val="fr-FR"/>
        </w:rPr>
        <w:t>’</w:t>
      </w:r>
      <w:r w:rsidRPr="00D27A64">
        <w:rPr>
          <w:lang w:val="fr-FR"/>
        </w:rPr>
        <w:t>application provisoire</w:t>
      </w:r>
      <w:r>
        <w:rPr>
          <w:lang w:val="fr-FR"/>
        </w:rPr>
        <w:t xml:space="preserve"> entre ces parties</w:t>
      </w:r>
      <w:r w:rsidRPr="00F22925">
        <w:rPr>
          <w:lang w:val="fr-FR"/>
        </w:rPr>
        <w:t>.</w:t>
      </w:r>
      <w:r w:rsidRPr="00D27A64">
        <w:rPr>
          <w:lang w:val="fr-FR"/>
        </w:rPr>
        <w:t xml:space="preserve"> Cet effet juridique découle de l</w:t>
      </w:r>
      <w:r>
        <w:rPr>
          <w:lang w:val="fr-FR"/>
        </w:rPr>
        <w:t>’</w:t>
      </w:r>
      <w:r w:rsidRPr="00D27A64">
        <w:rPr>
          <w:lang w:val="fr-FR"/>
        </w:rPr>
        <w:t>accord relatif à l</w:t>
      </w:r>
      <w:r>
        <w:rPr>
          <w:lang w:val="fr-FR"/>
        </w:rPr>
        <w:t>’</w:t>
      </w:r>
      <w:r w:rsidRPr="00D27A64">
        <w:rPr>
          <w:lang w:val="fr-FR"/>
        </w:rPr>
        <w:t>application provisoire du traité (ou l</w:t>
      </w:r>
      <w:r>
        <w:rPr>
          <w:lang w:val="fr-FR"/>
        </w:rPr>
        <w:t>’</w:t>
      </w:r>
      <w:r w:rsidRPr="00D27A64">
        <w:rPr>
          <w:lang w:val="fr-FR"/>
        </w:rPr>
        <w:t>acceptation de celui-ci) par les États ou les organisations internationales concernés, qui peut prendre l</w:t>
      </w:r>
      <w:r>
        <w:rPr>
          <w:lang w:val="fr-FR"/>
        </w:rPr>
        <w:t>’</w:t>
      </w:r>
      <w:r w:rsidRPr="00D27A64">
        <w:rPr>
          <w:lang w:val="fr-FR"/>
        </w:rPr>
        <w:t>une des formes définies au projet de directive 4</w:t>
      </w:r>
      <w:r w:rsidRPr="00F22925">
        <w:rPr>
          <w:lang w:val="fr-FR"/>
        </w:rPr>
        <w:t>.</w:t>
      </w:r>
      <w:r w:rsidRPr="00D27A64">
        <w:rPr>
          <w:lang w:val="fr-FR"/>
        </w:rPr>
        <w:t xml:space="preserve"> Lorsque, comme c</w:t>
      </w:r>
      <w:r>
        <w:rPr>
          <w:lang w:val="fr-FR"/>
        </w:rPr>
        <w:t>’</w:t>
      </w:r>
      <w:r w:rsidRPr="00D27A64">
        <w:rPr>
          <w:lang w:val="fr-FR"/>
        </w:rPr>
        <w:t>est souvent le cas, l</w:t>
      </w:r>
      <w:r>
        <w:rPr>
          <w:lang w:val="fr-FR"/>
        </w:rPr>
        <w:t>’</w:t>
      </w:r>
      <w:r w:rsidRPr="00D27A64">
        <w:rPr>
          <w:lang w:val="fr-FR"/>
        </w:rPr>
        <w:t>accord en question est muet quant à l</w:t>
      </w:r>
      <w:r>
        <w:rPr>
          <w:lang w:val="fr-FR"/>
        </w:rPr>
        <w:t>’</w:t>
      </w:r>
      <w:r w:rsidRPr="00D27A64">
        <w:rPr>
          <w:lang w:val="fr-FR"/>
        </w:rPr>
        <w:t>effet juridique de l</w:t>
      </w:r>
      <w:r>
        <w:rPr>
          <w:lang w:val="fr-FR"/>
        </w:rPr>
        <w:t>’</w:t>
      </w:r>
      <w:r w:rsidRPr="00D27A64">
        <w:rPr>
          <w:lang w:val="fr-FR"/>
        </w:rPr>
        <w:t>application provisoire, le projet de directive précise que l</w:t>
      </w:r>
      <w:r>
        <w:rPr>
          <w:lang w:val="fr-FR"/>
        </w:rPr>
        <w:t>’</w:t>
      </w:r>
      <w:r w:rsidRPr="00D27A64">
        <w:rPr>
          <w:lang w:val="fr-FR"/>
        </w:rPr>
        <w:t>application provisoire emporte l</w:t>
      </w:r>
      <w:r>
        <w:rPr>
          <w:lang w:val="fr-FR"/>
        </w:rPr>
        <w:t>’</w:t>
      </w:r>
      <w:r w:rsidRPr="00D27A64">
        <w:rPr>
          <w:lang w:val="fr-FR"/>
        </w:rPr>
        <w:t>obligation juridiquement contraignante d</w:t>
      </w:r>
      <w:r>
        <w:rPr>
          <w:lang w:val="fr-FR"/>
        </w:rPr>
        <w:t>’</w:t>
      </w:r>
      <w:r w:rsidRPr="00D27A64">
        <w:rPr>
          <w:lang w:val="fr-FR"/>
        </w:rPr>
        <w:t>appliquer le traité ou une partie de celui-ci</w:t>
      </w:r>
      <w:r w:rsidRPr="00F22830">
        <w:rPr>
          <w:rStyle w:val="FootnoteReference"/>
        </w:rPr>
        <w:footnoteReference w:id="28"/>
      </w:r>
      <w:r w:rsidRPr="00F22925">
        <w:rPr>
          <w:lang w:val="fr-FR"/>
        </w:rPr>
        <w:t>.</w:t>
      </w:r>
    </w:p>
    <w:p w14:paraId="00759A5E" w14:textId="77777777" w:rsidR="0043175D" w:rsidRPr="00D27A64" w:rsidRDefault="0043175D" w:rsidP="0043175D">
      <w:pPr>
        <w:pStyle w:val="SingleTxtG"/>
        <w:rPr>
          <w:lang w:val="fr-FR"/>
        </w:rPr>
      </w:pPr>
      <w:r w:rsidRPr="00D27A64">
        <w:rPr>
          <w:lang w:val="fr-FR"/>
        </w:rPr>
        <w:t>3)</w:t>
      </w:r>
      <w:r w:rsidRPr="00D27A64">
        <w:rPr>
          <w:lang w:val="fr-FR"/>
        </w:rPr>
        <w:tab/>
        <w:t>Le membre de phrase introductif « [l]</w:t>
      </w:r>
      <w:r>
        <w:rPr>
          <w:lang w:val="fr-FR"/>
        </w:rPr>
        <w:t>’</w:t>
      </w:r>
      <w:r w:rsidRPr="00D27A64">
        <w:rPr>
          <w:lang w:val="fr-FR"/>
        </w:rPr>
        <w:t>application à titre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 est aligné sur la formulation du projet de directive 5</w:t>
      </w:r>
      <w:r w:rsidRPr="00F22925">
        <w:rPr>
          <w:lang w:val="fr-FR"/>
        </w:rPr>
        <w:t>.</w:t>
      </w:r>
      <w:r w:rsidRPr="00D27A64">
        <w:rPr>
          <w:lang w:val="fr-FR"/>
        </w:rPr>
        <w:t xml:space="preserve"> Le membre de phrase « une obligation juridiquement contraignante d</w:t>
      </w:r>
      <w:r>
        <w:rPr>
          <w:lang w:val="fr-FR"/>
        </w:rPr>
        <w:t>’</w:t>
      </w:r>
      <w:r w:rsidRPr="00D27A64">
        <w:rPr>
          <w:lang w:val="fr-FR"/>
        </w:rPr>
        <w:t>appliquer le traité ou une partie de celui-ci</w:t>
      </w:r>
      <w:r>
        <w:rPr>
          <w:lang w:val="fr-FR"/>
        </w:rPr>
        <w:t> </w:t>
      </w:r>
      <w:r w:rsidRPr="00D27A64">
        <w:rPr>
          <w:lang w:val="fr-FR"/>
        </w:rPr>
        <w:t>», qui est au cœur du projet de directive, décrit l</w:t>
      </w:r>
      <w:r>
        <w:rPr>
          <w:lang w:val="fr-FR"/>
        </w:rPr>
        <w:t>’</w:t>
      </w:r>
      <w:r w:rsidRPr="00D27A64">
        <w:rPr>
          <w:lang w:val="fr-FR"/>
        </w:rPr>
        <w:t>effet juridique que produit le traité pour l</w:t>
      </w:r>
      <w:r>
        <w:rPr>
          <w:lang w:val="fr-FR"/>
        </w:rPr>
        <w:t>’</w:t>
      </w:r>
      <w:r w:rsidRPr="00D27A64">
        <w:rPr>
          <w:lang w:val="fr-FR"/>
        </w:rPr>
        <w:t>État ou l</w:t>
      </w:r>
      <w:r>
        <w:rPr>
          <w:lang w:val="fr-FR"/>
        </w:rPr>
        <w:t>’</w:t>
      </w:r>
      <w:r w:rsidRPr="00D27A64">
        <w:rPr>
          <w:lang w:val="fr-FR"/>
        </w:rPr>
        <w:t xml:space="preserve">organisation internationale concernés et le comportement qui est attendu des États ou des organisations internationales qui </w:t>
      </w:r>
      <w:r>
        <w:rPr>
          <w:lang w:val="fr-FR"/>
        </w:rPr>
        <w:t>conviennent</w:t>
      </w:r>
      <w:r w:rsidRPr="00D27A64">
        <w:rPr>
          <w:lang w:val="fr-FR"/>
        </w:rPr>
        <w:t xml:space="preserve"> de recourir à l</w:t>
      </w:r>
      <w:r>
        <w:rPr>
          <w:lang w:val="fr-FR"/>
        </w:rPr>
        <w:t>’</w:t>
      </w:r>
      <w:r w:rsidRPr="00D27A64">
        <w:rPr>
          <w:lang w:val="fr-FR"/>
        </w:rPr>
        <w:t>application à titre provisoire</w:t>
      </w:r>
      <w:r w:rsidRPr="00F22925">
        <w:rPr>
          <w:lang w:val="fr-FR"/>
        </w:rPr>
        <w:t>.</w:t>
      </w:r>
      <w:r w:rsidRPr="00D27A64">
        <w:rPr>
          <w:lang w:val="fr-FR"/>
        </w:rPr>
        <w:t xml:space="preserve"> </w:t>
      </w:r>
      <w:r>
        <w:rPr>
          <w:lang w:val="fr-FR"/>
        </w:rPr>
        <w:t xml:space="preserve">Les </w:t>
      </w:r>
      <w:r w:rsidRPr="00D27A64">
        <w:rPr>
          <w:lang w:val="fr-FR"/>
        </w:rPr>
        <w:t>termes « entre les États ou organisations internationales concernés</w:t>
      </w:r>
      <w:r>
        <w:rPr>
          <w:lang w:val="fr-FR"/>
        </w:rPr>
        <w:t> </w:t>
      </w:r>
      <w:r w:rsidRPr="00D27A64">
        <w:rPr>
          <w:lang w:val="fr-FR"/>
        </w:rPr>
        <w:t xml:space="preserve">» </w:t>
      </w:r>
      <w:r>
        <w:rPr>
          <w:lang w:val="fr-FR"/>
        </w:rPr>
        <w:t>viennent</w:t>
      </w:r>
      <w:r w:rsidRPr="00D27A64">
        <w:rPr>
          <w:lang w:val="fr-FR"/>
        </w:rPr>
        <w:t xml:space="preserve"> préciser </w:t>
      </w:r>
      <w:r>
        <w:rPr>
          <w:lang w:val="fr-FR"/>
        </w:rPr>
        <w:t>entre qui</w:t>
      </w:r>
      <w:r w:rsidRPr="00D27A64">
        <w:rPr>
          <w:lang w:val="fr-FR"/>
        </w:rPr>
        <w:t xml:space="preserve"> le traité</w:t>
      </w:r>
      <w:r>
        <w:rPr>
          <w:lang w:val="fr-FR"/>
        </w:rPr>
        <w:t>,</w:t>
      </w:r>
      <w:r w:rsidRPr="00D27A64">
        <w:rPr>
          <w:lang w:val="fr-FR"/>
        </w:rPr>
        <w:t xml:space="preserve"> ou une partie du traité</w:t>
      </w:r>
      <w:r>
        <w:rPr>
          <w:lang w:val="fr-FR"/>
        </w:rPr>
        <w:t>, doivent être appliqués</w:t>
      </w:r>
      <w:r w:rsidRPr="00F22925">
        <w:rPr>
          <w:lang w:val="fr-FR"/>
        </w:rPr>
        <w:t>.</w:t>
      </w:r>
      <w:r w:rsidRPr="00D27A64">
        <w:rPr>
          <w:lang w:val="fr-FR"/>
        </w:rPr>
        <w:t xml:space="preserve"> </w:t>
      </w:r>
      <w:r>
        <w:rPr>
          <w:lang w:val="fr-FR"/>
        </w:rPr>
        <w:t xml:space="preserve">Peuvent être </w:t>
      </w:r>
      <w:r w:rsidRPr="00D27A64">
        <w:rPr>
          <w:lang w:val="fr-FR"/>
        </w:rPr>
        <w:t>concernés non seulement les autres États ou organisations internationales qui appliquent le traité à titre provisoire, mais aussi les États et organisations internationales pour lesquels le traité est entré en vigueur</w:t>
      </w:r>
      <w:r>
        <w:rPr>
          <w:lang w:val="fr-FR"/>
        </w:rPr>
        <w:t>,</w:t>
      </w:r>
      <w:r w:rsidRPr="00D27A64">
        <w:rPr>
          <w:lang w:val="fr-FR"/>
        </w:rPr>
        <w:t xml:space="preserve"> dans</w:t>
      </w:r>
      <w:r>
        <w:rPr>
          <w:lang w:val="fr-FR"/>
        </w:rPr>
        <w:t xml:space="preserve"> le contexte de</w:t>
      </w:r>
      <w:r w:rsidRPr="00D27A64">
        <w:rPr>
          <w:lang w:val="fr-FR"/>
        </w:rPr>
        <w:t xml:space="preserve"> leurs relations avec ceux et celles qui l</w:t>
      </w:r>
      <w:r>
        <w:rPr>
          <w:lang w:val="fr-FR"/>
        </w:rPr>
        <w:t>’</w:t>
      </w:r>
      <w:r w:rsidRPr="00D27A64">
        <w:rPr>
          <w:lang w:val="fr-FR"/>
        </w:rPr>
        <w:t>appliquent toujours provisoirement</w:t>
      </w:r>
      <w:r w:rsidRPr="00F22925">
        <w:rPr>
          <w:lang w:val="fr-FR"/>
        </w:rPr>
        <w:t>.</w:t>
      </w:r>
    </w:p>
    <w:p w14:paraId="3AAFB93A" w14:textId="77777777" w:rsidR="0043175D" w:rsidRPr="00D27A64" w:rsidRDefault="0043175D" w:rsidP="0043175D">
      <w:pPr>
        <w:pStyle w:val="SingleTxtG"/>
        <w:rPr>
          <w:lang w:val="fr-FR"/>
        </w:rPr>
      </w:pPr>
      <w:r w:rsidRPr="00D27A64">
        <w:rPr>
          <w:lang w:val="fr-FR"/>
        </w:rPr>
        <w:t>4)</w:t>
      </w:r>
      <w:r w:rsidRPr="00D27A64">
        <w:rPr>
          <w:lang w:val="fr-FR"/>
        </w:rPr>
        <w:tab/>
        <w:t>Le dernier membre de phrase, « sauf dans la mesure où le traité en dispose autrement ou qu</w:t>
      </w:r>
      <w:r>
        <w:rPr>
          <w:lang w:val="fr-FR"/>
        </w:rPr>
        <w:t>’</w:t>
      </w:r>
      <w:r w:rsidRPr="00D27A64">
        <w:rPr>
          <w:lang w:val="fr-FR"/>
        </w:rPr>
        <w:t>il en est autrement convenu », établit que la règle de base est subordonnée au traité ou à tout autre accord, qui peuvent prévoir des effets juridiques différents</w:t>
      </w:r>
      <w:r w:rsidRPr="00F22925">
        <w:rPr>
          <w:lang w:val="fr-FR"/>
        </w:rPr>
        <w:t>.</w:t>
      </w:r>
      <w:r w:rsidRPr="00D27A64">
        <w:rPr>
          <w:lang w:val="fr-FR"/>
        </w:rPr>
        <w:t xml:space="preserve"> Cette idée, à savoir la présomption selon laquelle une obligation juridiquement contraignante d</w:t>
      </w:r>
      <w:r>
        <w:rPr>
          <w:lang w:val="fr-FR"/>
        </w:rPr>
        <w:t>’</w:t>
      </w:r>
      <w:r w:rsidRPr="00D27A64">
        <w:rPr>
          <w:lang w:val="fr-FR"/>
        </w:rPr>
        <w:t>appliquer le traité</w:t>
      </w:r>
      <w:r>
        <w:rPr>
          <w:lang w:val="fr-FR"/>
        </w:rPr>
        <w:t xml:space="preserve"> ou une partie du traité</w:t>
      </w:r>
      <w:r w:rsidRPr="00D27A64">
        <w:rPr>
          <w:lang w:val="fr-FR"/>
        </w:rPr>
        <w:t xml:space="preserve"> est créée à moins que les parties n</w:t>
      </w:r>
      <w:r>
        <w:rPr>
          <w:lang w:val="fr-FR"/>
        </w:rPr>
        <w:t>’</w:t>
      </w:r>
      <w:r w:rsidRPr="00D27A64">
        <w:rPr>
          <w:lang w:val="fr-FR"/>
        </w:rPr>
        <w:t>en conviennent autrement, est confirmée par la pratique des États</w:t>
      </w:r>
      <w:r w:rsidRPr="00F22830">
        <w:rPr>
          <w:rStyle w:val="FootnoteReference"/>
        </w:rPr>
        <w:footnoteReference w:id="29"/>
      </w:r>
      <w:r w:rsidRPr="00F22925">
        <w:rPr>
          <w:lang w:val="fr-FR"/>
        </w:rPr>
        <w:t>.</w:t>
      </w:r>
    </w:p>
    <w:p w14:paraId="0261BEF1" w14:textId="77777777" w:rsidR="0043175D" w:rsidRPr="00D27A64" w:rsidRDefault="0043175D" w:rsidP="0043175D">
      <w:pPr>
        <w:pStyle w:val="SingleTxtG"/>
        <w:rPr>
          <w:lang w:val="fr-FR"/>
        </w:rPr>
      </w:pPr>
      <w:r w:rsidRPr="00D27A64">
        <w:rPr>
          <w:lang w:val="fr-FR"/>
        </w:rPr>
        <w:t>5)</w:t>
      </w:r>
      <w:r>
        <w:rPr>
          <w:lang w:val="fr-FR"/>
        </w:rPr>
        <w:tab/>
      </w:r>
      <w:r w:rsidRPr="00D27A64">
        <w:rPr>
          <w:lang w:val="fr-FR"/>
        </w:rPr>
        <w:t xml:space="preserve">La seconde phrase du projet de directive 6 réaffirme que le traité appliqué à titre provisoire </w:t>
      </w:r>
      <w:r>
        <w:rPr>
          <w:lang w:val="fr-FR"/>
        </w:rPr>
        <w:t>doit l’être</w:t>
      </w:r>
      <w:r w:rsidRPr="00D27A64">
        <w:rPr>
          <w:lang w:val="fr-FR"/>
        </w:rPr>
        <w:t xml:space="preserve"> de bonne foi</w:t>
      </w:r>
      <w:r w:rsidRPr="00F22925">
        <w:rPr>
          <w:lang w:val="fr-FR"/>
        </w:rPr>
        <w:t>.</w:t>
      </w:r>
      <w:r w:rsidRPr="00D27A64">
        <w:rPr>
          <w:lang w:val="fr-FR"/>
        </w:rPr>
        <w:t xml:space="preserve"> Elle reflète l</w:t>
      </w:r>
      <w:r>
        <w:rPr>
          <w:lang w:val="fr-FR"/>
        </w:rPr>
        <w:t>’</w:t>
      </w:r>
      <w:r w:rsidRPr="00D27A64">
        <w:rPr>
          <w:lang w:val="fr-FR"/>
        </w:rPr>
        <w:t>obligation d</w:t>
      </w:r>
      <w:r>
        <w:rPr>
          <w:lang w:val="fr-FR"/>
        </w:rPr>
        <w:t>’</w:t>
      </w:r>
      <w:r w:rsidRPr="00D27A64">
        <w:rPr>
          <w:lang w:val="fr-FR"/>
        </w:rPr>
        <w:t>agir de bonne foi (</w:t>
      </w:r>
      <w:proofErr w:type="spellStart"/>
      <w:r w:rsidRPr="00D27A64">
        <w:rPr>
          <w:i/>
          <w:iCs/>
          <w:lang w:val="fr-FR"/>
        </w:rPr>
        <w:t>pacta</w:t>
      </w:r>
      <w:proofErr w:type="spellEnd"/>
      <w:r w:rsidRPr="00D27A64">
        <w:rPr>
          <w:i/>
          <w:iCs/>
          <w:lang w:val="fr-FR"/>
        </w:rPr>
        <w:t xml:space="preserve"> </w:t>
      </w:r>
      <w:proofErr w:type="spellStart"/>
      <w:r w:rsidRPr="00D27A64">
        <w:rPr>
          <w:i/>
          <w:iCs/>
          <w:lang w:val="fr-FR"/>
        </w:rPr>
        <w:t>sunt</w:t>
      </w:r>
      <w:proofErr w:type="spellEnd"/>
      <w:r w:rsidRPr="00D27A64">
        <w:rPr>
          <w:i/>
          <w:iCs/>
          <w:lang w:val="fr-FR"/>
        </w:rPr>
        <w:t xml:space="preserve"> </w:t>
      </w:r>
      <w:proofErr w:type="spellStart"/>
      <w:r w:rsidRPr="00D27A64">
        <w:rPr>
          <w:i/>
          <w:iCs/>
          <w:lang w:val="fr-FR"/>
        </w:rPr>
        <w:t>servanda</w:t>
      </w:r>
      <w:proofErr w:type="spellEnd"/>
      <w:r w:rsidRPr="00D27A64">
        <w:rPr>
          <w:lang w:val="fr-FR"/>
        </w:rPr>
        <w:t>) énoncée à l</w:t>
      </w:r>
      <w:r>
        <w:rPr>
          <w:lang w:val="fr-FR"/>
        </w:rPr>
        <w:t>’</w:t>
      </w:r>
      <w:r w:rsidRPr="00D27A64">
        <w:rPr>
          <w:lang w:val="fr-FR"/>
        </w:rPr>
        <w:t xml:space="preserve">article 26 des Conventions de Vienne </w:t>
      </w:r>
      <w:r>
        <w:rPr>
          <w:lang w:val="fr-FR"/>
        </w:rPr>
        <w:t>de 1969 et de 1986</w:t>
      </w:r>
      <w:r w:rsidRPr="00F22925">
        <w:rPr>
          <w:lang w:val="fr-FR"/>
        </w:rPr>
        <w:t>.</w:t>
      </w:r>
      <w:r w:rsidRPr="00D27A64">
        <w:rPr>
          <w:lang w:val="fr-FR"/>
        </w:rPr>
        <w:t xml:space="preserve"> L</w:t>
      </w:r>
      <w:r>
        <w:rPr>
          <w:lang w:val="fr-FR"/>
        </w:rPr>
        <w:t>’</w:t>
      </w:r>
      <w:r w:rsidRPr="00D27A64">
        <w:rPr>
          <w:lang w:val="fr-FR"/>
        </w:rPr>
        <w:t xml:space="preserve">article 26 emporte plusieurs effets juridiques, le premier </w:t>
      </w:r>
      <w:r w:rsidRPr="00AB6C90">
        <w:rPr>
          <w:lang w:val="fr-FR"/>
        </w:rPr>
        <w:t xml:space="preserve">étant </w:t>
      </w:r>
      <w:r w:rsidRPr="00D27A64">
        <w:rPr>
          <w:lang w:val="fr-FR"/>
        </w:rPr>
        <w:t>l</w:t>
      </w:r>
      <w:r>
        <w:rPr>
          <w:lang w:val="fr-FR"/>
        </w:rPr>
        <w:t>’</w:t>
      </w:r>
      <w:r w:rsidRPr="00D27A64">
        <w:rPr>
          <w:lang w:val="fr-FR"/>
        </w:rPr>
        <w:t>obligation contraignante produite par l</w:t>
      </w:r>
      <w:r>
        <w:rPr>
          <w:lang w:val="fr-FR"/>
        </w:rPr>
        <w:t>’</w:t>
      </w:r>
      <w:r w:rsidRPr="00D27A64">
        <w:rPr>
          <w:lang w:val="fr-FR"/>
        </w:rPr>
        <w:t>application à titre provisoire, exprimée dans la première phrase du projet de directive, et le deuxième étant que le traité en vigueur « doit être exécuté de bonne foi »</w:t>
      </w:r>
      <w:r w:rsidRPr="00F22925">
        <w:rPr>
          <w:lang w:val="fr-FR"/>
        </w:rPr>
        <w:t>.</w:t>
      </w:r>
      <w:r w:rsidRPr="00D27A64">
        <w:rPr>
          <w:lang w:val="fr-FR"/>
        </w:rPr>
        <w:t xml:space="preserve"> Les mots « [u]n tel » permettent de lier la première phrase du projet de directive (l</w:t>
      </w:r>
      <w:r>
        <w:rPr>
          <w:lang w:val="fr-FR"/>
        </w:rPr>
        <w:t>’</w:t>
      </w:r>
      <w:r w:rsidRPr="00D27A64">
        <w:rPr>
          <w:lang w:val="fr-FR"/>
        </w:rPr>
        <w:t>effet juridique de l</w:t>
      </w:r>
      <w:r>
        <w:rPr>
          <w:lang w:val="fr-FR"/>
        </w:rPr>
        <w:t>’</w:t>
      </w:r>
      <w:r w:rsidRPr="00D27A64">
        <w:rPr>
          <w:lang w:val="fr-FR"/>
        </w:rPr>
        <w:t>obligation contraignante résultant de l</w:t>
      </w:r>
      <w:r>
        <w:rPr>
          <w:lang w:val="fr-FR"/>
        </w:rPr>
        <w:t>’</w:t>
      </w:r>
      <w:r w:rsidRPr="00D27A64">
        <w:rPr>
          <w:lang w:val="fr-FR"/>
        </w:rPr>
        <w:t>application à titre provisoire) et la seconde (l</w:t>
      </w:r>
      <w:r>
        <w:rPr>
          <w:lang w:val="fr-FR"/>
        </w:rPr>
        <w:t>’</w:t>
      </w:r>
      <w:r w:rsidRPr="00D27A64">
        <w:rPr>
          <w:lang w:val="fr-FR"/>
        </w:rPr>
        <w:t>effet juridique né de l</w:t>
      </w:r>
      <w:r>
        <w:rPr>
          <w:lang w:val="fr-FR"/>
        </w:rPr>
        <w:t>’</w:t>
      </w:r>
      <w:r w:rsidRPr="00D27A64">
        <w:rPr>
          <w:lang w:val="fr-FR"/>
        </w:rPr>
        <w:t>obligation d</w:t>
      </w:r>
      <w:r>
        <w:rPr>
          <w:lang w:val="fr-FR"/>
        </w:rPr>
        <w:t>’</w:t>
      </w:r>
      <w:r w:rsidRPr="00D27A64">
        <w:rPr>
          <w:lang w:val="fr-FR"/>
        </w:rPr>
        <w:t>exécuter le traité de bonne foi), venant ainsi établir que les deux effets juridiques se rapportent au même traité</w:t>
      </w:r>
      <w:r w:rsidRPr="00F22925">
        <w:rPr>
          <w:lang w:val="fr-FR"/>
        </w:rPr>
        <w:t>.</w:t>
      </w:r>
      <w:r w:rsidRPr="00D27A64">
        <w:rPr>
          <w:lang w:val="fr-FR"/>
        </w:rPr>
        <w:t xml:space="preserve"> </w:t>
      </w:r>
    </w:p>
    <w:p w14:paraId="7AE6CC75" w14:textId="77777777" w:rsidR="0043175D" w:rsidRPr="00D27A64" w:rsidRDefault="0043175D" w:rsidP="0043175D">
      <w:pPr>
        <w:pStyle w:val="SingleTxtG"/>
        <w:rPr>
          <w:lang w:val="fr-FR"/>
        </w:rPr>
      </w:pPr>
      <w:r w:rsidRPr="00D27A64">
        <w:rPr>
          <w:lang w:val="fr-FR"/>
        </w:rPr>
        <w:t>6)</w:t>
      </w:r>
      <w:r w:rsidRPr="00D27A64">
        <w:rPr>
          <w:lang w:val="fr-FR"/>
        </w:rPr>
        <w:tab/>
        <w:t>On retiendra toutefois qu</w:t>
      </w:r>
      <w:r>
        <w:rPr>
          <w:lang w:val="fr-FR"/>
        </w:rPr>
        <w:t>’</w:t>
      </w:r>
      <w:r w:rsidRPr="00D27A64">
        <w:rPr>
          <w:lang w:val="fr-FR"/>
        </w:rPr>
        <w:t>il y a une différence importante entre l</w:t>
      </w:r>
      <w:r>
        <w:rPr>
          <w:lang w:val="fr-FR"/>
        </w:rPr>
        <w:t>’</w:t>
      </w:r>
      <w:r w:rsidRPr="00D27A64">
        <w:rPr>
          <w:lang w:val="fr-FR"/>
        </w:rPr>
        <w:t>application à titre provisoire et l</w:t>
      </w:r>
      <w:r>
        <w:rPr>
          <w:lang w:val="fr-FR"/>
        </w:rPr>
        <w:t>’</w:t>
      </w:r>
      <w:r w:rsidRPr="00D27A64">
        <w:rPr>
          <w:lang w:val="fr-FR"/>
        </w:rPr>
        <w:t>entrée en vigueur d</w:t>
      </w:r>
      <w:r>
        <w:rPr>
          <w:lang w:val="fr-FR"/>
        </w:rPr>
        <w:t>’</w:t>
      </w:r>
      <w:r w:rsidRPr="00D27A64">
        <w:rPr>
          <w:lang w:val="fr-FR"/>
        </w:rPr>
        <w:t>un traité</w:t>
      </w:r>
      <w:r w:rsidRPr="00F22925">
        <w:rPr>
          <w:lang w:val="fr-FR"/>
        </w:rPr>
        <w:t>.</w:t>
      </w:r>
      <w:r w:rsidRPr="00D27A64">
        <w:rPr>
          <w:lang w:val="fr-FR"/>
        </w:rPr>
        <w:t xml:space="preserve"> L</w:t>
      </w:r>
      <w:r>
        <w:rPr>
          <w:lang w:val="fr-FR"/>
        </w:rPr>
        <w:t>’</w:t>
      </w:r>
      <w:r w:rsidRPr="00D27A64">
        <w:rPr>
          <w:lang w:val="fr-FR"/>
        </w:rPr>
        <w:t>application à titre provisoire n</w:t>
      </w:r>
      <w:r>
        <w:rPr>
          <w:lang w:val="fr-FR"/>
        </w:rPr>
        <w:t>’</w:t>
      </w:r>
      <w:r w:rsidRPr="00D27A64">
        <w:rPr>
          <w:lang w:val="fr-FR"/>
        </w:rPr>
        <w:t>est pas destinée à faire naître l</w:t>
      </w:r>
      <w:r>
        <w:rPr>
          <w:lang w:val="fr-FR"/>
        </w:rPr>
        <w:t>’</w:t>
      </w:r>
      <w:r w:rsidRPr="00D27A64">
        <w:rPr>
          <w:lang w:val="fr-FR"/>
        </w:rPr>
        <w:t>ensemble des droits et obligations découlant du consentement d</w:t>
      </w:r>
      <w:r>
        <w:rPr>
          <w:lang w:val="fr-FR"/>
        </w:rPr>
        <w:t>’</w:t>
      </w:r>
      <w:r w:rsidRPr="00D27A64">
        <w:rPr>
          <w:lang w:val="fr-FR"/>
        </w:rPr>
        <w:t>un État ou d</w:t>
      </w:r>
      <w:r>
        <w:rPr>
          <w:lang w:val="fr-FR"/>
        </w:rPr>
        <w:t>’</w:t>
      </w:r>
      <w:r w:rsidRPr="00D27A64">
        <w:rPr>
          <w:lang w:val="fr-FR"/>
        </w:rPr>
        <w:t>une organisation internationale à être lié par un traité ou une partie d</w:t>
      </w:r>
      <w:r>
        <w:rPr>
          <w:lang w:val="fr-FR"/>
        </w:rPr>
        <w:t>’</w:t>
      </w:r>
      <w:r w:rsidRPr="00D27A64">
        <w:rPr>
          <w:lang w:val="fr-FR"/>
        </w:rPr>
        <w:t>un traité</w:t>
      </w:r>
      <w:r w:rsidRPr="00F22925">
        <w:rPr>
          <w:lang w:val="fr-FR"/>
        </w:rPr>
        <w:t>.</w:t>
      </w:r>
      <w:r w:rsidRPr="00D27A64">
        <w:rPr>
          <w:lang w:val="fr-FR"/>
        </w:rPr>
        <w:t xml:space="preserve"> Elle diffère de l</w:t>
      </w:r>
      <w:r>
        <w:rPr>
          <w:lang w:val="fr-FR"/>
        </w:rPr>
        <w:t>’</w:t>
      </w:r>
      <w:r w:rsidRPr="00D27A64">
        <w:rPr>
          <w:lang w:val="fr-FR"/>
        </w:rPr>
        <w:t>entrée en vigueur en ce qu</w:t>
      </w:r>
      <w:r>
        <w:rPr>
          <w:lang w:val="fr-FR"/>
        </w:rPr>
        <w:t>’</w:t>
      </w:r>
      <w:r w:rsidRPr="00D27A64">
        <w:rPr>
          <w:lang w:val="fr-FR"/>
        </w:rPr>
        <w:t>elle n</w:t>
      </w:r>
      <w:r>
        <w:rPr>
          <w:lang w:val="fr-FR"/>
        </w:rPr>
        <w:t>’</w:t>
      </w:r>
      <w:r w:rsidRPr="00D27A64">
        <w:rPr>
          <w:lang w:val="fr-FR"/>
        </w:rPr>
        <w:t>est pas soumise à toutes les règles du droit des traités</w:t>
      </w:r>
      <w:r w:rsidRPr="00F22925">
        <w:rPr>
          <w:lang w:val="fr-FR"/>
        </w:rPr>
        <w:t>.</w:t>
      </w:r>
      <w:r w:rsidRPr="00D27A64">
        <w:rPr>
          <w:lang w:val="fr-FR"/>
        </w:rPr>
        <w:t xml:space="preserve"> En conséquence, le membre de phrase « [l</w:t>
      </w:r>
      <w:r>
        <w:rPr>
          <w:lang w:val="fr-FR"/>
        </w:rPr>
        <w:t>’</w:t>
      </w:r>
      <w:r w:rsidRPr="00D27A64">
        <w:rPr>
          <w:lang w:val="fr-FR"/>
        </w:rPr>
        <w:t>]application à titre provisoire […] produit une obligation juridiquement contraignante d</w:t>
      </w:r>
      <w:r>
        <w:rPr>
          <w:lang w:val="fr-FR"/>
        </w:rPr>
        <w:t>’</w:t>
      </w:r>
      <w:r w:rsidRPr="00D27A64">
        <w:rPr>
          <w:lang w:val="fr-FR"/>
        </w:rPr>
        <w:t>appliquer le traité ou une partie de celui-ci</w:t>
      </w:r>
      <w:r>
        <w:rPr>
          <w:lang w:val="fr-FR"/>
        </w:rPr>
        <w:t> </w:t>
      </w:r>
      <w:r w:rsidRPr="00D27A64">
        <w:rPr>
          <w:lang w:val="fr-FR"/>
        </w:rPr>
        <w:t>» ne signifie pas que l</w:t>
      </w:r>
      <w:r>
        <w:rPr>
          <w:lang w:val="fr-FR"/>
        </w:rPr>
        <w:t>’</w:t>
      </w:r>
      <w:r w:rsidRPr="00D27A64">
        <w:rPr>
          <w:lang w:val="fr-FR"/>
        </w:rPr>
        <w:t xml:space="preserve">application à titre provisoire a </w:t>
      </w:r>
      <w:r>
        <w:rPr>
          <w:lang w:val="fr-FR"/>
        </w:rPr>
        <w:t xml:space="preserve">exactement </w:t>
      </w:r>
      <w:r w:rsidRPr="00D27A64">
        <w:rPr>
          <w:lang w:val="fr-FR"/>
        </w:rPr>
        <w:lastRenderedPageBreak/>
        <w:t>le même effet juridique que l</w:t>
      </w:r>
      <w:r>
        <w:rPr>
          <w:lang w:val="fr-FR"/>
        </w:rPr>
        <w:t>’</w:t>
      </w:r>
      <w:r w:rsidRPr="00D27A64">
        <w:rPr>
          <w:lang w:val="fr-FR"/>
        </w:rPr>
        <w:t>entrée en vigueur</w:t>
      </w:r>
      <w:r w:rsidRPr="00F22925">
        <w:rPr>
          <w:lang w:val="fr-FR"/>
        </w:rPr>
        <w:t>.</w:t>
      </w:r>
      <w:r w:rsidRPr="00D27A64">
        <w:rPr>
          <w:lang w:val="fr-FR"/>
        </w:rPr>
        <w:t xml:space="preserve"> L</w:t>
      </w:r>
      <w:r>
        <w:rPr>
          <w:lang w:val="fr-FR"/>
        </w:rPr>
        <w:t>’</w:t>
      </w:r>
      <w:r w:rsidRPr="00D27A64">
        <w:rPr>
          <w:lang w:val="fr-FR"/>
        </w:rPr>
        <w:t>expression « une obligation juridiquement contraignante » est destinée à préciser l</w:t>
      </w:r>
      <w:r>
        <w:rPr>
          <w:lang w:val="fr-FR"/>
        </w:rPr>
        <w:t>’</w:t>
      </w:r>
      <w:r w:rsidRPr="00D27A64">
        <w:rPr>
          <w:lang w:val="fr-FR"/>
        </w:rPr>
        <w:t>effet juridique produit par l</w:t>
      </w:r>
      <w:r>
        <w:rPr>
          <w:lang w:val="fr-FR"/>
        </w:rPr>
        <w:t>’</w:t>
      </w:r>
      <w:r w:rsidRPr="00D27A64">
        <w:rPr>
          <w:lang w:val="fr-FR"/>
        </w:rPr>
        <w:t>application à titre provisoire et à éviter toute interprétation tendant à assimiler l</w:t>
      </w:r>
      <w:r>
        <w:rPr>
          <w:lang w:val="fr-FR"/>
        </w:rPr>
        <w:t>’</w:t>
      </w:r>
      <w:r w:rsidRPr="00D27A64">
        <w:rPr>
          <w:lang w:val="fr-FR"/>
        </w:rPr>
        <w:t>application à titre provisoire à l</w:t>
      </w:r>
      <w:r>
        <w:rPr>
          <w:lang w:val="fr-FR"/>
        </w:rPr>
        <w:t>’</w:t>
      </w:r>
      <w:r w:rsidRPr="00D27A64">
        <w:rPr>
          <w:lang w:val="fr-FR"/>
        </w:rPr>
        <w:t>entrée en vigueur</w:t>
      </w:r>
      <w:r w:rsidRPr="00F22830">
        <w:rPr>
          <w:rStyle w:val="FootnoteReference"/>
        </w:rPr>
        <w:footnoteReference w:id="30"/>
      </w:r>
      <w:r w:rsidRPr="00F22925">
        <w:rPr>
          <w:lang w:val="fr-FR"/>
        </w:rPr>
        <w:t>.</w:t>
      </w:r>
    </w:p>
    <w:p w14:paraId="033EAB75" w14:textId="77777777" w:rsidR="0043175D" w:rsidRPr="00D27A64" w:rsidRDefault="0043175D" w:rsidP="0043175D">
      <w:pPr>
        <w:pStyle w:val="SingleTxtG"/>
        <w:rPr>
          <w:lang w:val="fr-FR"/>
        </w:rPr>
      </w:pPr>
      <w:r w:rsidRPr="00D27A64">
        <w:rPr>
          <w:lang w:val="fr-FR"/>
        </w:rPr>
        <w:t>7)</w:t>
      </w:r>
      <w:r w:rsidRPr="00D27A64">
        <w:rPr>
          <w:lang w:val="fr-FR"/>
        </w:rPr>
        <w:tab/>
        <w:t>Il ressort implicitement du projet de directive que l</w:t>
      </w:r>
      <w:r>
        <w:rPr>
          <w:lang w:val="fr-FR"/>
        </w:rPr>
        <w:t>’</w:t>
      </w:r>
      <w:r w:rsidRPr="00D27A64">
        <w:rPr>
          <w:lang w:val="fr-FR"/>
        </w:rPr>
        <w:t>application d</w:t>
      </w:r>
      <w:r>
        <w:rPr>
          <w:lang w:val="fr-FR"/>
        </w:rPr>
        <w:t>’</w:t>
      </w:r>
      <w:r w:rsidRPr="00D27A64">
        <w:rPr>
          <w:lang w:val="fr-FR"/>
        </w:rPr>
        <w:t>un traité à titre provisoire est sans incidence sur les droits et obligations des autres États ou organisations internationales</w:t>
      </w:r>
      <w:r w:rsidRPr="00F22830">
        <w:rPr>
          <w:rStyle w:val="FootnoteReference"/>
        </w:rPr>
        <w:footnoteReference w:id="31"/>
      </w:r>
      <w:r w:rsidRPr="00F22925">
        <w:rPr>
          <w:lang w:val="fr-FR"/>
        </w:rPr>
        <w:t>.</w:t>
      </w:r>
      <w:r w:rsidRPr="00D27A64">
        <w:rPr>
          <w:lang w:val="fr-FR"/>
        </w:rPr>
        <w:t xml:space="preserve"> L</w:t>
      </w:r>
      <w:r>
        <w:rPr>
          <w:lang w:val="fr-FR"/>
        </w:rPr>
        <w:t>’</w:t>
      </w:r>
      <w:r w:rsidRPr="00D27A64">
        <w:rPr>
          <w:lang w:val="fr-FR"/>
        </w:rPr>
        <w:t>application provisoire ne saurait non plus entraîner une modification de la teneur du traité étant donné qu</w:t>
      </w:r>
      <w:r>
        <w:rPr>
          <w:lang w:val="fr-FR"/>
        </w:rPr>
        <w:t>’</w:t>
      </w:r>
      <w:r w:rsidRPr="00D27A64">
        <w:rPr>
          <w:lang w:val="fr-FR"/>
        </w:rPr>
        <w:t>elle consiste uniquement en l</w:t>
      </w:r>
      <w:r>
        <w:rPr>
          <w:lang w:val="fr-FR"/>
        </w:rPr>
        <w:t>’</w:t>
      </w:r>
      <w:r w:rsidRPr="00D27A64">
        <w:rPr>
          <w:lang w:val="fr-FR"/>
        </w:rPr>
        <w:t>obligation d</w:t>
      </w:r>
      <w:r>
        <w:rPr>
          <w:lang w:val="fr-FR"/>
        </w:rPr>
        <w:t>’</w:t>
      </w:r>
      <w:r w:rsidRPr="00D27A64">
        <w:rPr>
          <w:lang w:val="fr-FR"/>
        </w:rPr>
        <w:t>appliquer le traité ou une partie de celui-ci</w:t>
      </w:r>
      <w:r w:rsidRPr="00F22925">
        <w:rPr>
          <w:lang w:val="fr-FR"/>
        </w:rPr>
        <w:t>.</w:t>
      </w:r>
      <w:r w:rsidRPr="00D27A64">
        <w:rPr>
          <w:lang w:val="fr-FR"/>
        </w:rPr>
        <w:t xml:space="preserve"> En outre, le projet de directive 6 ne saurait être compris comme limitant la liberté qu</w:t>
      </w:r>
      <w:r>
        <w:rPr>
          <w:lang w:val="fr-FR"/>
        </w:rPr>
        <w:t>’</w:t>
      </w:r>
      <w:r w:rsidRPr="00D27A64">
        <w:rPr>
          <w:lang w:val="fr-FR"/>
        </w:rPr>
        <w:t>ont les États ou les organisations internationales d</w:t>
      </w:r>
      <w:r>
        <w:rPr>
          <w:lang w:val="fr-FR"/>
        </w:rPr>
        <w:t>’</w:t>
      </w:r>
      <w:r w:rsidRPr="00D27A64">
        <w:rPr>
          <w:lang w:val="fr-FR"/>
        </w:rPr>
        <w:t>amender ou de modifier le traité appliqué à titre provisoire conformément aux dispositions de la partie IV des Conventions de Vienne de 1969 et de 1986</w:t>
      </w:r>
      <w:r w:rsidRPr="00F22925">
        <w:rPr>
          <w:lang w:val="fr-FR"/>
        </w:rPr>
        <w:t>.</w:t>
      </w:r>
      <w:r w:rsidRPr="00D27A64">
        <w:rPr>
          <w:lang w:val="fr-FR"/>
        </w:rPr>
        <w:t xml:space="preserve"> </w:t>
      </w:r>
    </w:p>
    <w:p w14:paraId="164450CB" w14:textId="77777777" w:rsidR="0043175D" w:rsidRPr="00D27A64" w:rsidRDefault="0043175D" w:rsidP="0043175D">
      <w:pPr>
        <w:pStyle w:val="H23G"/>
        <w:ind w:left="1701" w:firstLine="0"/>
        <w:rPr>
          <w:lang w:val="fr-FR"/>
        </w:rPr>
      </w:pPr>
      <w:r>
        <w:rPr>
          <w:lang w:val="fr-FR"/>
        </w:rPr>
        <w:tab/>
      </w:r>
      <w:r w:rsidRPr="00D27A64">
        <w:rPr>
          <w:lang w:val="fr-FR"/>
        </w:rPr>
        <w:t>Directive 7</w:t>
      </w:r>
      <w:r>
        <w:rPr>
          <w:lang w:val="fr-FR"/>
        </w:rPr>
        <w:t xml:space="preserve"> </w:t>
      </w:r>
      <w:r w:rsidRPr="00D27A64">
        <w:rPr>
          <w:lang w:val="fr-FR"/>
        </w:rPr>
        <w:br/>
        <w:t>Réserves</w:t>
      </w:r>
    </w:p>
    <w:p w14:paraId="55DC3272" w14:textId="77777777" w:rsidR="0043175D" w:rsidRPr="00D27A64" w:rsidRDefault="0043175D" w:rsidP="0043175D">
      <w:pPr>
        <w:pStyle w:val="SingleTxtG"/>
        <w:ind w:left="1701"/>
        <w:rPr>
          <w:b/>
          <w:lang w:val="fr-FR"/>
        </w:rPr>
      </w:pPr>
      <w:r>
        <w:rPr>
          <w:bCs/>
          <w:lang w:val="fr-FR"/>
        </w:rPr>
        <w:tab/>
      </w:r>
      <w:r w:rsidRPr="00D27A64">
        <w:rPr>
          <w:bCs/>
          <w:lang w:val="fr-FR"/>
        </w:rPr>
        <w:t>Les présents projets de directive sont sans préjudice de toute question concernant les réserves relatives à l</w:t>
      </w:r>
      <w:r>
        <w:rPr>
          <w:bCs/>
          <w:lang w:val="fr-FR"/>
        </w:rPr>
        <w:t>’</w:t>
      </w:r>
      <w:r w:rsidRPr="00D27A64">
        <w:rPr>
          <w:bCs/>
          <w:lang w:val="fr-FR"/>
        </w:rPr>
        <w:t>application à titre provisoire d</w:t>
      </w:r>
      <w:r>
        <w:rPr>
          <w:bCs/>
          <w:lang w:val="fr-FR"/>
        </w:rPr>
        <w:t>’</w:t>
      </w:r>
      <w:r w:rsidRPr="00D27A64">
        <w:rPr>
          <w:bCs/>
          <w:lang w:val="fr-FR"/>
        </w:rPr>
        <w:t>un traité ou d</w:t>
      </w:r>
      <w:r>
        <w:rPr>
          <w:bCs/>
          <w:lang w:val="fr-FR"/>
        </w:rPr>
        <w:t>’</w:t>
      </w:r>
      <w:r w:rsidRPr="00D27A64">
        <w:rPr>
          <w:bCs/>
          <w:lang w:val="fr-FR"/>
        </w:rPr>
        <w:t>une partie d</w:t>
      </w:r>
      <w:r>
        <w:rPr>
          <w:bCs/>
          <w:lang w:val="fr-FR"/>
        </w:rPr>
        <w:t>’</w:t>
      </w:r>
      <w:r w:rsidRPr="00D27A64">
        <w:rPr>
          <w:bCs/>
          <w:lang w:val="fr-FR"/>
        </w:rPr>
        <w:t>un traité</w:t>
      </w:r>
      <w:r w:rsidRPr="00F22925">
        <w:rPr>
          <w:lang w:val="fr-FR"/>
        </w:rPr>
        <w:t>.</w:t>
      </w:r>
    </w:p>
    <w:p w14:paraId="7B8820D1" w14:textId="77777777" w:rsidR="0043175D" w:rsidRPr="00D27A64" w:rsidRDefault="0043175D" w:rsidP="0043175D">
      <w:pPr>
        <w:pStyle w:val="H23G"/>
        <w:rPr>
          <w:lang w:val="fr-FR"/>
        </w:rPr>
      </w:pPr>
      <w:r w:rsidRPr="00D27A64">
        <w:rPr>
          <w:lang w:val="fr-FR"/>
        </w:rPr>
        <w:tab/>
      </w:r>
      <w:r w:rsidRPr="00D27A64">
        <w:rPr>
          <w:lang w:val="fr-FR"/>
        </w:rPr>
        <w:tab/>
      </w:r>
      <w:bookmarkStart w:id="10" w:name="_Toc522896360"/>
      <w:bookmarkStart w:id="11" w:name="_Toc523727670"/>
      <w:r w:rsidRPr="00D27A64">
        <w:rPr>
          <w:lang w:val="fr-FR"/>
        </w:rPr>
        <w:t>Commenta</w:t>
      </w:r>
      <w:bookmarkEnd w:id="10"/>
      <w:bookmarkEnd w:id="11"/>
      <w:r w:rsidRPr="00D27A64">
        <w:rPr>
          <w:lang w:val="fr-FR"/>
        </w:rPr>
        <w:t>ire</w:t>
      </w:r>
    </w:p>
    <w:p w14:paraId="305FF739" w14:textId="77777777" w:rsidR="0043175D" w:rsidRPr="00D27A64" w:rsidRDefault="0043175D" w:rsidP="0043175D">
      <w:pPr>
        <w:pStyle w:val="SingleTxtG"/>
        <w:rPr>
          <w:lang w:val="fr-FR"/>
        </w:rPr>
      </w:pPr>
      <w:r w:rsidRPr="00D27A64">
        <w:rPr>
          <w:lang w:val="fr-FR"/>
        </w:rPr>
        <w:t>1)</w:t>
      </w:r>
      <w:r w:rsidRPr="00D27A64">
        <w:rPr>
          <w:lang w:val="fr-FR"/>
        </w:rPr>
        <w:tab/>
        <w:t xml:space="preserve">Le projet de directive 7 </w:t>
      </w:r>
      <w:r>
        <w:rPr>
          <w:lang w:val="fr-FR"/>
        </w:rPr>
        <w:t xml:space="preserve">concerne la possibilité pour </w:t>
      </w:r>
      <w:r w:rsidRPr="00D27A64">
        <w:rPr>
          <w:lang w:val="fr-FR"/>
        </w:rPr>
        <w:t>un État ou une organisation internationale de</w:t>
      </w:r>
      <w:r>
        <w:rPr>
          <w:lang w:val="fr-FR"/>
        </w:rPr>
        <w:t xml:space="preserve"> formuler des</w:t>
      </w:r>
      <w:r w:rsidRPr="00D27A64">
        <w:rPr>
          <w:lang w:val="fr-FR"/>
        </w:rPr>
        <w:t xml:space="preserve"> réserves visant à exclure ou à modifier l</w:t>
      </w:r>
      <w:r>
        <w:rPr>
          <w:lang w:val="fr-FR"/>
        </w:rPr>
        <w:t>’</w:t>
      </w:r>
      <w:r w:rsidRPr="00D27A64">
        <w:rPr>
          <w:lang w:val="fr-FR"/>
        </w:rPr>
        <w:t xml:space="preserve">effet juridique </w:t>
      </w:r>
      <w:r>
        <w:rPr>
          <w:lang w:val="fr-FR"/>
        </w:rPr>
        <w:t>de certaines dispositions d’un traité ou d’une partie d’un traité appliqués</w:t>
      </w:r>
      <w:r w:rsidRPr="00D27A64">
        <w:rPr>
          <w:lang w:val="fr-FR"/>
        </w:rPr>
        <w:t xml:space="preserve"> à titre provisoire</w:t>
      </w:r>
      <w:r w:rsidRPr="00F22925">
        <w:rPr>
          <w:lang w:val="fr-FR"/>
        </w:rPr>
        <w:t>.</w:t>
      </w:r>
      <w:r w:rsidRPr="00D27A64">
        <w:rPr>
          <w:lang w:val="fr-FR"/>
        </w:rPr>
        <w:t xml:space="preserve"> </w:t>
      </w:r>
    </w:p>
    <w:p w14:paraId="6C9C24F0" w14:textId="77777777" w:rsidR="0043175D" w:rsidRDefault="0043175D" w:rsidP="0043175D">
      <w:pPr>
        <w:pStyle w:val="SingleTxtG"/>
        <w:rPr>
          <w:lang w:val="fr-FR"/>
        </w:rPr>
      </w:pPr>
      <w:r w:rsidRPr="00D27A64">
        <w:rPr>
          <w:lang w:val="fr-FR"/>
        </w:rPr>
        <w:t>2)</w:t>
      </w:r>
      <w:r w:rsidRPr="00D27A64">
        <w:rPr>
          <w:lang w:val="fr-FR"/>
        </w:rPr>
        <w:tab/>
        <w:t>Les « question[s] concernant les réserves relatives à l</w:t>
      </w:r>
      <w:r>
        <w:rPr>
          <w:lang w:val="fr-FR"/>
        </w:rPr>
        <w:t>’</w:t>
      </w:r>
      <w:r w:rsidRPr="00D27A64">
        <w:rPr>
          <w:lang w:val="fr-FR"/>
        </w:rPr>
        <w:t>application à titre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 incluent, sans toutefois s</w:t>
      </w:r>
      <w:r>
        <w:rPr>
          <w:lang w:val="fr-FR"/>
        </w:rPr>
        <w:t>’</w:t>
      </w:r>
      <w:r w:rsidRPr="00D27A64">
        <w:rPr>
          <w:lang w:val="fr-FR"/>
        </w:rPr>
        <w:t xml:space="preserve">y limiter, les questions </w:t>
      </w:r>
      <w:r>
        <w:rPr>
          <w:lang w:val="fr-FR"/>
        </w:rPr>
        <w:t>relatives aux</w:t>
      </w:r>
      <w:r w:rsidRPr="00D27A64">
        <w:rPr>
          <w:lang w:val="fr-FR"/>
        </w:rPr>
        <w:t xml:space="preserve"> dispositions de la </w:t>
      </w:r>
      <w:r>
        <w:rPr>
          <w:lang w:val="fr-FR"/>
        </w:rPr>
        <w:t>s</w:t>
      </w:r>
      <w:r w:rsidRPr="00D27A64">
        <w:rPr>
          <w:lang w:val="fr-FR"/>
        </w:rPr>
        <w:t>ection 2 de la Partie II de la Convention de Vienne de 1969</w:t>
      </w:r>
      <w:r w:rsidRPr="00F22925">
        <w:rPr>
          <w:lang w:val="fr-FR"/>
        </w:rPr>
        <w:t>.</w:t>
      </w:r>
      <w:r w:rsidRPr="00D27A64">
        <w:rPr>
          <w:lang w:val="fr-FR"/>
        </w:rPr>
        <w:t xml:space="preserve"> </w:t>
      </w:r>
    </w:p>
    <w:p w14:paraId="3D420638" w14:textId="77777777" w:rsidR="0043175D" w:rsidRDefault="0043175D" w:rsidP="0043175D">
      <w:pPr>
        <w:pStyle w:val="SingleTxtG"/>
        <w:rPr>
          <w:lang w:val="fr-FR"/>
        </w:rPr>
      </w:pPr>
      <w:r>
        <w:rPr>
          <w:lang w:val="fr-FR"/>
        </w:rPr>
        <w:t>3)</w:t>
      </w:r>
      <w:r>
        <w:rPr>
          <w:lang w:val="fr-FR"/>
        </w:rPr>
        <w:tab/>
        <w:t>Le projet de directive est formulé comme une clause « sans préjudice »</w:t>
      </w:r>
      <w:r w:rsidRPr="00F22925">
        <w:rPr>
          <w:lang w:val="fr-FR"/>
        </w:rPr>
        <w:t>.</w:t>
      </w:r>
      <w:r>
        <w:rPr>
          <w:lang w:val="fr-FR"/>
        </w:rPr>
        <w:t xml:space="preserve"> Étant donné que la pratique pertinente est relativement pauvre et vu les commentaires et observations reçus des États, le projet de directives et le commentaire n’ont pas vocation à couvrir dans le détail les questions pouvant se poser</w:t>
      </w:r>
      <w:r w:rsidRPr="00F22830">
        <w:rPr>
          <w:rStyle w:val="FootnoteReference"/>
        </w:rPr>
        <w:footnoteReference w:id="32"/>
      </w:r>
      <w:r w:rsidRPr="00F22925">
        <w:rPr>
          <w:lang w:val="fr-FR"/>
        </w:rPr>
        <w:t>.</w:t>
      </w:r>
      <w:r>
        <w:rPr>
          <w:lang w:val="fr-FR"/>
        </w:rPr>
        <w:t xml:space="preserve"> Le Guide de la pratique sur les réserves aux traités, s’il ne traite pas expressément des réserves relatives à l’application à titre provisoire, peut néanmoins fournir des orientations à ce sujet</w:t>
      </w:r>
      <w:r w:rsidRPr="00F22830">
        <w:rPr>
          <w:rStyle w:val="FootnoteReference"/>
        </w:rPr>
        <w:footnoteReference w:id="33"/>
      </w:r>
      <w:r w:rsidRPr="00F22925">
        <w:rPr>
          <w:lang w:val="fr-FR"/>
        </w:rPr>
        <w:t>.</w:t>
      </w:r>
    </w:p>
    <w:p w14:paraId="28F57613" w14:textId="77777777" w:rsidR="0043175D" w:rsidRPr="00D27A64" w:rsidRDefault="0043175D" w:rsidP="0043175D">
      <w:pPr>
        <w:pStyle w:val="SingleTxtG"/>
        <w:rPr>
          <w:lang w:val="fr-FR"/>
        </w:rPr>
      </w:pPr>
      <w:r>
        <w:rPr>
          <w:lang w:val="fr-FR"/>
        </w:rPr>
        <w:t>4)</w:t>
      </w:r>
      <w:r>
        <w:rPr>
          <w:lang w:val="fr-FR"/>
        </w:rPr>
        <w:tab/>
      </w:r>
      <w:r w:rsidRPr="00D27A64">
        <w:rPr>
          <w:lang w:val="fr-FR"/>
        </w:rPr>
        <w:t>En théorie, rien n</w:t>
      </w:r>
      <w:r>
        <w:rPr>
          <w:lang w:val="fr-FR"/>
        </w:rPr>
        <w:t>’empêche</w:t>
      </w:r>
      <w:r w:rsidRPr="00D27A64">
        <w:rPr>
          <w:lang w:val="fr-FR"/>
        </w:rPr>
        <w:t xml:space="preserve"> de formuler des réserves relatives à l</w:t>
      </w:r>
      <w:r>
        <w:rPr>
          <w:lang w:val="fr-FR"/>
        </w:rPr>
        <w:t>’</w:t>
      </w:r>
      <w:r w:rsidRPr="00D27A64">
        <w:rPr>
          <w:lang w:val="fr-FR"/>
        </w:rPr>
        <w:t>application à titre provisoire</w:t>
      </w:r>
      <w:r w:rsidRPr="00F22925">
        <w:rPr>
          <w:lang w:val="fr-FR"/>
        </w:rPr>
        <w:t>.</w:t>
      </w:r>
      <w:r w:rsidRPr="00D27A64">
        <w:rPr>
          <w:lang w:val="fr-FR"/>
        </w:rPr>
        <w:t xml:space="preserve"> L</w:t>
      </w:r>
      <w:r>
        <w:rPr>
          <w:lang w:val="fr-FR"/>
        </w:rPr>
        <w:t>’</w:t>
      </w:r>
      <w:r w:rsidRPr="00D27A64">
        <w:rPr>
          <w:lang w:val="fr-FR"/>
        </w:rPr>
        <w:t xml:space="preserve">article 19 des Conventions de Vienne </w:t>
      </w:r>
      <w:r>
        <w:rPr>
          <w:lang w:val="fr-FR"/>
        </w:rPr>
        <w:t>de 1969 et de 1986</w:t>
      </w:r>
      <w:r w:rsidRPr="00D27A64">
        <w:rPr>
          <w:lang w:val="fr-FR"/>
        </w:rPr>
        <w:t xml:space="preserve"> dispose que les États </w:t>
      </w:r>
      <w:r>
        <w:rPr>
          <w:lang w:val="fr-FR"/>
        </w:rPr>
        <w:t xml:space="preserve">et les organisations internationales </w:t>
      </w:r>
      <w:r w:rsidRPr="00D27A64">
        <w:rPr>
          <w:lang w:val="fr-FR"/>
        </w:rPr>
        <w:t>peuvent formuler une réserve au moment de signer, de ratifier, d</w:t>
      </w:r>
      <w:r>
        <w:rPr>
          <w:lang w:val="fr-FR"/>
        </w:rPr>
        <w:t>’</w:t>
      </w:r>
      <w:r w:rsidRPr="00D27A64">
        <w:rPr>
          <w:lang w:val="fr-FR"/>
        </w:rPr>
        <w:t>accepter, d</w:t>
      </w:r>
      <w:r>
        <w:rPr>
          <w:lang w:val="fr-FR"/>
        </w:rPr>
        <w:t>’</w:t>
      </w:r>
      <w:r w:rsidRPr="00D27A64">
        <w:rPr>
          <w:lang w:val="fr-FR"/>
        </w:rPr>
        <w:t>approuver un traité ou d</w:t>
      </w:r>
      <w:r>
        <w:rPr>
          <w:lang w:val="fr-FR"/>
        </w:rPr>
        <w:t>’</w:t>
      </w:r>
      <w:r w:rsidRPr="00D27A64">
        <w:rPr>
          <w:lang w:val="fr-FR"/>
        </w:rPr>
        <w:t>y adhérer</w:t>
      </w:r>
      <w:r w:rsidRPr="00F22925">
        <w:rPr>
          <w:lang w:val="fr-FR"/>
        </w:rPr>
        <w:t>.</w:t>
      </w:r>
      <w:r w:rsidRPr="00D27A64">
        <w:rPr>
          <w:lang w:val="fr-FR"/>
        </w:rPr>
        <w:t xml:space="preserve"> La décision d</w:t>
      </w:r>
      <w:r>
        <w:rPr>
          <w:lang w:val="fr-FR"/>
        </w:rPr>
        <w:t>’</w:t>
      </w:r>
      <w:r w:rsidRPr="00D27A64">
        <w:rPr>
          <w:lang w:val="fr-FR"/>
        </w:rPr>
        <w:t>appliquer le traité à titre provisoire peut intervenir au moment de la signature (avant l</w:t>
      </w:r>
      <w:r>
        <w:rPr>
          <w:lang w:val="fr-FR"/>
        </w:rPr>
        <w:t>’</w:t>
      </w:r>
      <w:r w:rsidRPr="00D27A64">
        <w:rPr>
          <w:lang w:val="fr-FR"/>
        </w:rPr>
        <w:t>entrée en vigueur du traité pour l</w:t>
      </w:r>
      <w:r>
        <w:rPr>
          <w:lang w:val="fr-FR"/>
        </w:rPr>
        <w:t>’</w:t>
      </w:r>
      <w:r w:rsidRPr="00D27A64">
        <w:rPr>
          <w:lang w:val="fr-FR"/>
        </w:rPr>
        <w:t>État ou l</w:t>
      </w:r>
      <w:r>
        <w:rPr>
          <w:lang w:val="fr-FR"/>
        </w:rPr>
        <w:t>’</w:t>
      </w:r>
      <w:r w:rsidRPr="00D27A64">
        <w:rPr>
          <w:lang w:val="fr-FR"/>
        </w:rPr>
        <w:t xml:space="preserve">organisation internationale concerné), ou </w:t>
      </w:r>
      <w:r w:rsidRPr="00D27A64">
        <w:rPr>
          <w:lang w:val="fr-FR"/>
        </w:rPr>
        <w:lastRenderedPageBreak/>
        <w:t>avant ou pendant la ratification, l</w:t>
      </w:r>
      <w:r>
        <w:rPr>
          <w:lang w:val="fr-FR"/>
        </w:rPr>
        <w:t>’</w:t>
      </w:r>
      <w:r w:rsidRPr="00D27A64">
        <w:rPr>
          <w:lang w:val="fr-FR"/>
        </w:rPr>
        <w:t>acceptation, l</w:t>
      </w:r>
      <w:r>
        <w:rPr>
          <w:lang w:val="fr-FR"/>
        </w:rPr>
        <w:t>’</w:t>
      </w:r>
      <w:r w:rsidRPr="00D27A64">
        <w:rPr>
          <w:lang w:val="fr-FR"/>
        </w:rPr>
        <w:t>approbation ou l</w:t>
      </w:r>
      <w:r>
        <w:rPr>
          <w:lang w:val="fr-FR"/>
        </w:rPr>
        <w:t>’</w:t>
      </w:r>
      <w:r w:rsidRPr="00D27A64">
        <w:rPr>
          <w:lang w:val="fr-FR"/>
        </w:rPr>
        <w:t>adhésion (dans les cas où le traité n</w:t>
      </w:r>
      <w:r>
        <w:rPr>
          <w:lang w:val="fr-FR"/>
        </w:rPr>
        <w:t>’</w:t>
      </w:r>
      <w:r w:rsidRPr="00D27A64">
        <w:rPr>
          <w:lang w:val="fr-FR"/>
        </w:rPr>
        <w:t>est pas encore en vigueur)</w:t>
      </w:r>
      <w:r w:rsidRPr="00F22925">
        <w:rPr>
          <w:lang w:val="fr-FR"/>
        </w:rPr>
        <w:t>.</w:t>
      </w:r>
      <w:r w:rsidRPr="00D27A64">
        <w:rPr>
          <w:lang w:val="fr-FR"/>
        </w:rPr>
        <w:t xml:space="preserve"> </w:t>
      </w:r>
    </w:p>
    <w:p w14:paraId="6BBF87AC" w14:textId="77777777" w:rsidR="0043175D" w:rsidRPr="00D27A64" w:rsidRDefault="0043175D" w:rsidP="0043175D">
      <w:pPr>
        <w:pStyle w:val="SingleTxtG"/>
        <w:rPr>
          <w:lang w:val="fr-FR"/>
        </w:rPr>
      </w:pPr>
      <w:r>
        <w:rPr>
          <w:lang w:val="fr-FR"/>
        </w:rPr>
        <w:t>5</w:t>
      </w:r>
      <w:r w:rsidRPr="00D27A64">
        <w:rPr>
          <w:lang w:val="fr-FR"/>
        </w:rPr>
        <w:t>)</w:t>
      </w:r>
      <w:r w:rsidRPr="00D27A64">
        <w:rPr>
          <w:lang w:val="fr-FR"/>
        </w:rPr>
        <w:tab/>
      </w:r>
      <w:r>
        <w:rPr>
          <w:lang w:val="fr-FR"/>
        </w:rPr>
        <w:t>Ainsi qu’il est mentionné plus haut</w:t>
      </w:r>
      <w:r w:rsidRPr="00D27A64">
        <w:rPr>
          <w:lang w:val="fr-FR"/>
        </w:rPr>
        <w:t>, le projet de directive a été formulé comme une clause « sans préjudice » pour tenir compte du fait que la pratique concernant la formulation de réserves relatives à l</w:t>
      </w:r>
      <w:r>
        <w:rPr>
          <w:lang w:val="fr-FR"/>
        </w:rPr>
        <w:t>’</w:t>
      </w:r>
      <w:r w:rsidRPr="00D27A64">
        <w:rPr>
          <w:lang w:val="fr-FR"/>
        </w:rPr>
        <w:t>application à titre provisoire est relativement pauvre</w:t>
      </w:r>
      <w:r w:rsidRPr="00F22925">
        <w:rPr>
          <w:lang w:val="fr-FR"/>
        </w:rPr>
        <w:t>.</w:t>
      </w:r>
      <w:r w:rsidRPr="00D27A64">
        <w:rPr>
          <w:lang w:val="fr-FR"/>
        </w:rPr>
        <w:t xml:space="preserve"> </w:t>
      </w:r>
      <w:r>
        <w:rPr>
          <w:lang w:val="fr-FR"/>
        </w:rPr>
        <w:t>S’agissant des traités bilatéraux, une</w:t>
      </w:r>
      <w:r w:rsidRPr="00D27A64">
        <w:rPr>
          <w:lang w:val="fr-FR"/>
        </w:rPr>
        <w:t xml:space="preserve"> déclaration unilatérale</w:t>
      </w:r>
      <w:r>
        <w:rPr>
          <w:lang w:val="fr-FR"/>
        </w:rPr>
        <w:t xml:space="preserve"> </w:t>
      </w:r>
      <w:r w:rsidRPr="00D27A64">
        <w:rPr>
          <w:lang w:val="fr-FR"/>
        </w:rPr>
        <w:t>formulée après le paraphe ou la signature</w:t>
      </w:r>
      <w:r>
        <w:rPr>
          <w:lang w:val="fr-FR"/>
        </w:rPr>
        <w:t>,</w:t>
      </w:r>
      <w:r w:rsidRPr="00D27A64">
        <w:rPr>
          <w:lang w:val="fr-FR"/>
        </w:rPr>
        <w:t xml:space="preserve"> mais avant l</w:t>
      </w:r>
      <w:r>
        <w:rPr>
          <w:lang w:val="fr-FR"/>
        </w:rPr>
        <w:t>’</w:t>
      </w:r>
      <w:r w:rsidRPr="00D27A64">
        <w:rPr>
          <w:lang w:val="fr-FR"/>
        </w:rPr>
        <w:t>entrée en vigueur</w:t>
      </w:r>
      <w:r>
        <w:rPr>
          <w:lang w:val="fr-FR"/>
        </w:rPr>
        <w:t xml:space="preserve">, </w:t>
      </w:r>
      <w:r w:rsidRPr="00D27A64">
        <w:rPr>
          <w:lang w:val="fr-FR"/>
        </w:rPr>
        <w:t>par laquelle un État ou une organisation internationale vise à obtenir de l</w:t>
      </w:r>
      <w:r>
        <w:rPr>
          <w:lang w:val="fr-FR"/>
        </w:rPr>
        <w:t>’</w:t>
      </w:r>
      <w:r w:rsidRPr="00D27A64">
        <w:rPr>
          <w:lang w:val="fr-FR"/>
        </w:rPr>
        <w:t>autre partie une modification des dispositions du traité ne constitue pas une réserve</w:t>
      </w:r>
      <w:r w:rsidRPr="00F22830">
        <w:rPr>
          <w:rStyle w:val="FootnoteReference"/>
        </w:rPr>
        <w:footnoteReference w:id="34"/>
      </w:r>
      <w:r w:rsidRPr="00F22925">
        <w:rPr>
          <w:lang w:val="fr-FR"/>
        </w:rPr>
        <w:t>.</w:t>
      </w:r>
      <w:r w:rsidRPr="00D27A64">
        <w:rPr>
          <w:lang w:val="fr-FR"/>
        </w:rPr>
        <w:t xml:space="preserve"> </w:t>
      </w:r>
      <w:r>
        <w:rPr>
          <w:lang w:val="fr-FR"/>
        </w:rPr>
        <w:t xml:space="preserve">S’agissant des traités multilatéraux, </w:t>
      </w:r>
      <w:r w:rsidRPr="006C4D17">
        <w:rPr>
          <w:rFonts w:eastAsia="Times New Roman"/>
          <w:lang w:val="fr-CA"/>
        </w:rPr>
        <w:t>il faut distinguer toutes déclarations interprétatives faites par l</w:t>
      </w:r>
      <w:r>
        <w:rPr>
          <w:rFonts w:eastAsia="Times New Roman"/>
          <w:lang w:val="fr-CA"/>
        </w:rPr>
        <w:t>’</w:t>
      </w:r>
      <w:r w:rsidRPr="006C4D17">
        <w:rPr>
          <w:rFonts w:eastAsia="Times New Roman"/>
          <w:lang w:val="fr-CA"/>
        </w:rPr>
        <w:t>État au moment de donner son accord à l</w:t>
      </w:r>
      <w:r>
        <w:rPr>
          <w:rFonts w:eastAsia="Times New Roman"/>
          <w:lang w:val="fr-CA"/>
        </w:rPr>
        <w:t>’</w:t>
      </w:r>
      <w:r w:rsidRPr="006C4D17">
        <w:rPr>
          <w:rFonts w:eastAsia="Times New Roman"/>
          <w:lang w:val="fr-CA"/>
        </w:rPr>
        <w:t>application provisoire de tel traité et toutes déclarations de renonciation à l</w:t>
      </w:r>
      <w:r>
        <w:rPr>
          <w:rFonts w:eastAsia="Times New Roman"/>
          <w:lang w:val="fr-CA"/>
        </w:rPr>
        <w:t>’</w:t>
      </w:r>
      <w:r w:rsidRPr="006C4D17">
        <w:rPr>
          <w:rFonts w:eastAsia="Times New Roman"/>
          <w:lang w:val="fr-CA"/>
        </w:rPr>
        <w:t>application provisoire dudit traité des réserves</w:t>
      </w:r>
      <w:r w:rsidRPr="00F22830">
        <w:rPr>
          <w:rStyle w:val="FootnoteReference"/>
        </w:rPr>
        <w:footnoteReference w:id="35"/>
      </w:r>
      <w:r>
        <w:rPr>
          <w:lang w:val="fr-FR"/>
        </w:rPr>
        <w:t xml:space="preserve">, </w:t>
      </w:r>
      <w:r w:rsidRPr="00D27A64">
        <w:rPr>
          <w:lang w:val="fr-FR"/>
        </w:rPr>
        <w:t>au sens du droit des traités</w:t>
      </w:r>
      <w:r w:rsidRPr="00F22830">
        <w:rPr>
          <w:rStyle w:val="FootnoteReference"/>
        </w:rPr>
        <w:footnoteReference w:id="36"/>
      </w:r>
      <w:r w:rsidRPr="00F22925">
        <w:rPr>
          <w:lang w:val="fr-FR"/>
        </w:rPr>
        <w:t>.</w:t>
      </w:r>
      <w:r w:rsidRPr="00D27A64">
        <w:rPr>
          <w:lang w:val="fr-FR"/>
        </w:rPr>
        <w:t xml:space="preserve"> Il reste toutefois à déterminer dans quelle mesure ces déclarations interprétatives ou unilatérales ont, dans un cas donné, un effet juridique comparable à celui des réserves</w:t>
      </w:r>
      <w:r w:rsidRPr="00F22925">
        <w:rPr>
          <w:lang w:val="fr-FR"/>
        </w:rPr>
        <w:t>.</w:t>
      </w:r>
      <w:r w:rsidRPr="00D27A64">
        <w:rPr>
          <w:lang w:val="fr-FR"/>
        </w:rPr>
        <w:t xml:space="preserve"> Il </w:t>
      </w:r>
      <w:r>
        <w:rPr>
          <w:lang w:val="fr-FR"/>
        </w:rPr>
        <w:t>pourrait</w:t>
      </w:r>
      <w:r w:rsidRPr="00D27A64">
        <w:rPr>
          <w:lang w:val="fr-FR"/>
        </w:rPr>
        <w:t xml:space="preserve"> aussi être judicieux d</w:t>
      </w:r>
      <w:r>
        <w:rPr>
          <w:lang w:val="fr-FR"/>
        </w:rPr>
        <w:t>’</w:t>
      </w:r>
      <w:r w:rsidRPr="00D27A64">
        <w:rPr>
          <w:lang w:val="fr-FR"/>
        </w:rPr>
        <w:t>opérer une distinction entre</w:t>
      </w:r>
      <w:r>
        <w:rPr>
          <w:lang w:val="fr-FR"/>
        </w:rPr>
        <w:t>, d’une part,</w:t>
      </w:r>
      <w:r w:rsidRPr="00D27A64">
        <w:rPr>
          <w:lang w:val="fr-FR"/>
        </w:rPr>
        <w:t xml:space="preserve"> le cas où un État ou une organisation internationale formule une réserve </w:t>
      </w:r>
      <w:r>
        <w:rPr>
          <w:lang w:val="fr-FR"/>
        </w:rPr>
        <w:t>concernant la seule phase de</w:t>
      </w:r>
      <w:r w:rsidRPr="00D27A64">
        <w:rPr>
          <w:lang w:val="fr-FR"/>
        </w:rPr>
        <w:t xml:space="preserve"> l</w:t>
      </w:r>
      <w:r>
        <w:rPr>
          <w:lang w:val="fr-FR"/>
        </w:rPr>
        <w:t>’</w:t>
      </w:r>
      <w:r w:rsidRPr="00D27A64">
        <w:rPr>
          <w:lang w:val="fr-FR"/>
        </w:rPr>
        <w:t>application à titre provisoire et</w:t>
      </w:r>
      <w:r>
        <w:rPr>
          <w:lang w:val="fr-FR"/>
        </w:rPr>
        <w:t>, d’autre part,</w:t>
      </w:r>
      <w:r w:rsidRPr="00D27A64">
        <w:rPr>
          <w:lang w:val="fr-FR"/>
        </w:rPr>
        <w:t xml:space="preserve"> </w:t>
      </w:r>
      <w:r>
        <w:rPr>
          <w:lang w:val="fr-FR"/>
        </w:rPr>
        <w:t>le cas où un État ou une organisation internationale formule une ou plusieurs réserves destinées à produire leurs effets au-delà de cette phase</w:t>
      </w:r>
      <w:r w:rsidRPr="00F22925">
        <w:rPr>
          <w:lang w:val="fr-FR"/>
        </w:rPr>
        <w:t>.</w:t>
      </w:r>
    </w:p>
    <w:p w14:paraId="2DC4CA58" w14:textId="77777777" w:rsidR="0043175D" w:rsidRPr="00D27A64" w:rsidRDefault="0043175D" w:rsidP="0043175D">
      <w:pPr>
        <w:pStyle w:val="H23G"/>
        <w:ind w:left="1701" w:firstLine="0"/>
        <w:rPr>
          <w:lang w:val="fr-FR"/>
        </w:rPr>
      </w:pPr>
      <w:r>
        <w:rPr>
          <w:lang w:val="fr-FR"/>
        </w:rPr>
        <w:tab/>
      </w:r>
      <w:r w:rsidRPr="00D27A64">
        <w:rPr>
          <w:lang w:val="fr-FR"/>
        </w:rPr>
        <w:t>Directive 8</w:t>
      </w:r>
      <w:r w:rsidRPr="00D27A64">
        <w:rPr>
          <w:lang w:val="fr-FR"/>
        </w:rPr>
        <w:br/>
        <w:t xml:space="preserve">Responsabilité en cas de violation </w:t>
      </w:r>
    </w:p>
    <w:p w14:paraId="71936B5B" w14:textId="77777777" w:rsidR="0043175D" w:rsidRPr="00D27A64" w:rsidRDefault="0043175D" w:rsidP="0043175D">
      <w:pPr>
        <w:pStyle w:val="SingleTxtG"/>
        <w:ind w:left="1701"/>
        <w:rPr>
          <w:lang w:val="fr-FR"/>
        </w:rPr>
      </w:pPr>
      <w:r w:rsidRPr="00D27A64">
        <w:rPr>
          <w:lang w:val="fr-FR"/>
        </w:rPr>
        <w:tab/>
        <w:t>La violation d</w:t>
      </w:r>
      <w:r>
        <w:rPr>
          <w:lang w:val="fr-FR"/>
        </w:rPr>
        <w:t>’</w:t>
      </w:r>
      <w:r w:rsidRPr="00D27A64">
        <w:rPr>
          <w:lang w:val="fr-FR"/>
        </w:rPr>
        <w:t>une obligation découlant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appliqué à titre provisoire engage la responsabilité internationale conformément aux règles applicables du droit international</w:t>
      </w:r>
      <w:r w:rsidRPr="00F22925">
        <w:rPr>
          <w:lang w:val="fr-FR"/>
        </w:rPr>
        <w:t>.</w:t>
      </w:r>
      <w:r w:rsidRPr="00D27A64">
        <w:rPr>
          <w:lang w:val="fr-FR"/>
        </w:rPr>
        <w:t xml:space="preserve"> </w:t>
      </w:r>
    </w:p>
    <w:p w14:paraId="3F8A76A6" w14:textId="77777777" w:rsidR="0043175D" w:rsidRPr="00D27A64" w:rsidRDefault="0043175D" w:rsidP="0043175D">
      <w:pPr>
        <w:pStyle w:val="H23G"/>
        <w:rPr>
          <w:lang w:val="fr-FR"/>
        </w:rPr>
      </w:pPr>
      <w:r w:rsidRPr="00D27A64">
        <w:rPr>
          <w:lang w:val="fr-FR"/>
        </w:rPr>
        <w:tab/>
      </w:r>
      <w:r w:rsidRPr="00D27A64">
        <w:rPr>
          <w:lang w:val="fr-FR"/>
        </w:rPr>
        <w:tab/>
      </w:r>
      <w:bookmarkStart w:id="12" w:name="_Hlk515368792"/>
      <w:bookmarkStart w:id="13" w:name="_Toc522896361"/>
      <w:bookmarkStart w:id="14" w:name="_Toc523727671"/>
      <w:r w:rsidRPr="00D27A64">
        <w:rPr>
          <w:lang w:val="fr-FR"/>
        </w:rPr>
        <w:t>Commenta</w:t>
      </w:r>
      <w:bookmarkEnd w:id="12"/>
      <w:bookmarkEnd w:id="13"/>
      <w:bookmarkEnd w:id="14"/>
      <w:r w:rsidRPr="00D27A64">
        <w:rPr>
          <w:lang w:val="fr-FR"/>
        </w:rPr>
        <w:t>ire</w:t>
      </w:r>
    </w:p>
    <w:p w14:paraId="3DF68A0F" w14:textId="77777777" w:rsidR="0043175D" w:rsidRPr="00AB4570" w:rsidRDefault="0043175D" w:rsidP="0043175D">
      <w:pPr>
        <w:pStyle w:val="SingleTxtG"/>
        <w:rPr>
          <w:lang w:val="fr-FR"/>
        </w:rPr>
      </w:pPr>
      <w:r w:rsidRPr="00D27A64">
        <w:rPr>
          <w:lang w:val="fr-FR"/>
        </w:rPr>
        <w:t>1)</w:t>
      </w:r>
      <w:r w:rsidRPr="00D27A64">
        <w:rPr>
          <w:lang w:val="fr-FR"/>
        </w:rPr>
        <w:tab/>
        <w:t>Le projet de directive 8 traite de la responsabilité en cas de violation d</w:t>
      </w:r>
      <w:r>
        <w:rPr>
          <w:lang w:val="fr-FR"/>
        </w:rPr>
        <w:t>’</w:t>
      </w:r>
      <w:r w:rsidRPr="00D27A64">
        <w:rPr>
          <w:lang w:val="fr-FR"/>
        </w:rPr>
        <w:t>une obligation découlant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appliqués à titre provisoire</w:t>
      </w:r>
      <w:r w:rsidRPr="00F22925">
        <w:rPr>
          <w:lang w:val="fr-FR"/>
        </w:rPr>
        <w:t>.</w:t>
      </w:r>
      <w:r w:rsidRPr="00D27A64">
        <w:rPr>
          <w:lang w:val="fr-FR"/>
        </w:rPr>
        <w:t xml:space="preserve"> Il </w:t>
      </w:r>
      <w:r>
        <w:rPr>
          <w:lang w:val="fr-FR"/>
        </w:rPr>
        <w:t>s’explique par l’effet juridique qu’</w:t>
      </w:r>
      <w:proofErr w:type="spellStart"/>
      <w:r>
        <w:rPr>
          <w:lang w:val="fr-FR"/>
        </w:rPr>
        <w:t>a</w:t>
      </w:r>
      <w:proofErr w:type="spellEnd"/>
      <w:r>
        <w:rPr>
          <w:lang w:val="fr-FR"/>
        </w:rPr>
        <w:t xml:space="preserve"> l’application à titre provisoire et qui est décrit dans le</w:t>
      </w:r>
      <w:r w:rsidRPr="00D27A64">
        <w:rPr>
          <w:lang w:val="fr-FR"/>
        </w:rPr>
        <w:t xml:space="preserve"> projet de directive</w:t>
      </w:r>
      <w:r>
        <w:rPr>
          <w:lang w:val="fr-FR"/>
        </w:rPr>
        <w:t> </w:t>
      </w:r>
      <w:r w:rsidRPr="00D27A64">
        <w:rPr>
          <w:lang w:val="fr-FR"/>
        </w:rPr>
        <w:t xml:space="preserve">6, </w:t>
      </w:r>
      <w:r>
        <w:rPr>
          <w:lang w:val="fr-FR"/>
        </w:rPr>
        <w:t xml:space="preserve">notamment le </w:t>
      </w:r>
      <w:r w:rsidRPr="00D27A64">
        <w:rPr>
          <w:lang w:val="fr-FR"/>
        </w:rPr>
        <w:t xml:space="preserve">principe </w:t>
      </w:r>
      <w:proofErr w:type="spellStart"/>
      <w:r w:rsidRPr="00D27A64">
        <w:rPr>
          <w:i/>
          <w:iCs/>
          <w:lang w:val="fr-FR"/>
        </w:rPr>
        <w:t>pacta</w:t>
      </w:r>
      <w:proofErr w:type="spellEnd"/>
      <w:r w:rsidRPr="00D27A64">
        <w:rPr>
          <w:i/>
          <w:iCs/>
          <w:lang w:val="fr-FR"/>
        </w:rPr>
        <w:t xml:space="preserve"> </w:t>
      </w:r>
      <w:proofErr w:type="spellStart"/>
      <w:r w:rsidRPr="00D27A64">
        <w:rPr>
          <w:i/>
          <w:iCs/>
          <w:lang w:val="fr-FR"/>
        </w:rPr>
        <w:t>sunt</w:t>
      </w:r>
      <w:proofErr w:type="spellEnd"/>
      <w:r w:rsidRPr="00D27A64">
        <w:rPr>
          <w:i/>
          <w:iCs/>
          <w:lang w:val="fr-FR"/>
        </w:rPr>
        <w:t xml:space="preserve"> </w:t>
      </w:r>
      <w:proofErr w:type="spellStart"/>
      <w:r w:rsidRPr="00D27A64">
        <w:rPr>
          <w:i/>
          <w:iCs/>
          <w:lang w:val="fr-FR"/>
        </w:rPr>
        <w:t>servanda</w:t>
      </w:r>
      <w:proofErr w:type="spellEnd"/>
      <w:r w:rsidRPr="00F22925">
        <w:rPr>
          <w:lang w:val="fr-FR"/>
        </w:rPr>
        <w:t>.</w:t>
      </w:r>
      <w:r w:rsidRPr="00D27A64">
        <w:rPr>
          <w:lang w:val="fr-FR"/>
        </w:rPr>
        <w:t xml:space="preserve"> Étant donné que l</w:t>
      </w:r>
      <w:r>
        <w:rPr>
          <w:lang w:val="fr-FR"/>
        </w:rPr>
        <w:t>’</w:t>
      </w:r>
      <w:r w:rsidRPr="00D27A64">
        <w:rPr>
          <w:lang w:val="fr-FR"/>
        </w:rPr>
        <w:t>application provisoire d</w:t>
      </w:r>
      <w:r>
        <w:rPr>
          <w:lang w:val="fr-FR"/>
        </w:rPr>
        <w:t>’</w:t>
      </w:r>
      <w:r w:rsidRPr="00D27A64">
        <w:rPr>
          <w:lang w:val="fr-FR"/>
        </w:rPr>
        <w:t>un traité emporte des obligations juridiquement contraignantes, la violation de ces obligations constitue</w:t>
      </w:r>
      <w:r>
        <w:rPr>
          <w:lang w:val="fr-FR"/>
        </w:rPr>
        <w:t xml:space="preserve"> </w:t>
      </w:r>
      <w:r w:rsidRPr="00D27A64">
        <w:rPr>
          <w:lang w:val="fr-FR"/>
        </w:rPr>
        <w:t xml:space="preserve">un fait </w:t>
      </w:r>
      <w:r>
        <w:rPr>
          <w:lang w:val="fr-FR"/>
        </w:rPr>
        <w:t xml:space="preserve">internationalement </w:t>
      </w:r>
      <w:r w:rsidRPr="00D27A64">
        <w:rPr>
          <w:lang w:val="fr-FR"/>
        </w:rPr>
        <w:t>illicite engageant la responsabilité internationale</w:t>
      </w:r>
      <w:r w:rsidRPr="00F22925">
        <w:rPr>
          <w:lang w:val="fr-FR"/>
        </w:rPr>
        <w:t>.</w:t>
      </w:r>
      <w:r w:rsidRPr="00D27A64">
        <w:rPr>
          <w:lang w:val="fr-FR"/>
        </w:rPr>
        <w:t xml:space="preserve"> L</w:t>
      </w:r>
      <w:r>
        <w:rPr>
          <w:lang w:val="fr-FR"/>
        </w:rPr>
        <w:t>’</w:t>
      </w:r>
      <w:r w:rsidRPr="00D27A64">
        <w:rPr>
          <w:lang w:val="fr-FR"/>
        </w:rPr>
        <w:t>État ou l</w:t>
      </w:r>
      <w:r>
        <w:rPr>
          <w:lang w:val="fr-FR"/>
        </w:rPr>
        <w:t>’</w:t>
      </w:r>
      <w:r w:rsidRPr="00D27A64">
        <w:rPr>
          <w:lang w:val="fr-FR"/>
        </w:rPr>
        <w:t>organisation internationale qui enfreint ses obligations envers les autres États ou organisations internationales concernés peut voir sa responsabilité internationale engagée</w:t>
      </w:r>
      <w:r w:rsidRPr="00F22925">
        <w:rPr>
          <w:lang w:val="fr-FR"/>
        </w:rPr>
        <w:t>.</w:t>
      </w:r>
      <w:r w:rsidRPr="00D27A64">
        <w:rPr>
          <w:lang w:val="fr-FR"/>
        </w:rPr>
        <w:t xml:space="preserve"> Le projet de directive a été jugé comme une addition nécessaire en ce qu</w:t>
      </w:r>
      <w:r>
        <w:rPr>
          <w:lang w:val="fr-FR"/>
        </w:rPr>
        <w:t>’</w:t>
      </w:r>
      <w:r w:rsidRPr="00D27A64">
        <w:rPr>
          <w:lang w:val="fr-FR"/>
        </w:rPr>
        <w:t>il traite d</w:t>
      </w:r>
      <w:r>
        <w:rPr>
          <w:lang w:val="fr-FR"/>
        </w:rPr>
        <w:t>’</w:t>
      </w:r>
      <w:r w:rsidRPr="00D27A64">
        <w:rPr>
          <w:lang w:val="fr-FR"/>
        </w:rPr>
        <w:t>une conséquence juridique fondamentale de l</w:t>
      </w:r>
      <w:r>
        <w:rPr>
          <w:lang w:val="fr-FR"/>
        </w:rPr>
        <w:t>’</w:t>
      </w:r>
      <w:r w:rsidRPr="00D27A64">
        <w:rPr>
          <w:lang w:val="fr-FR"/>
        </w:rPr>
        <w:t>application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w:t>
      </w:r>
      <w:r w:rsidRPr="00F22925">
        <w:rPr>
          <w:lang w:val="fr-FR"/>
        </w:rPr>
        <w:t>.</w:t>
      </w:r>
      <w:r w:rsidRPr="00D27A64">
        <w:rPr>
          <w:lang w:val="fr-FR"/>
        </w:rPr>
        <w:t xml:space="preserve"> L</w:t>
      </w:r>
      <w:r>
        <w:rPr>
          <w:lang w:val="fr-FR"/>
        </w:rPr>
        <w:t>’</w:t>
      </w:r>
      <w:r w:rsidRPr="00D27A64">
        <w:rPr>
          <w:lang w:val="fr-FR"/>
        </w:rPr>
        <w:t>article</w:t>
      </w:r>
      <w:r>
        <w:rPr>
          <w:lang w:val="fr-FR"/>
        </w:rPr>
        <w:t> </w:t>
      </w:r>
      <w:r w:rsidRPr="00D27A64">
        <w:rPr>
          <w:lang w:val="fr-FR"/>
        </w:rPr>
        <w:t>73 de la Convention de Vienne de 1969 et l</w:t>
      </w:r>
      <w:r>
        <w:rPr>
          <w:lang w:val="fr-FR"/>
        </w:rPr>
        <w:t>’</w:t>
      </w:r>
      <w:r w:rsidRPr="00D27A64">
        <w:rPr>
          <w:lang w:val="fr-FR"/>
        </w:rPr>
        <w:t>article</w:t>
      </w:r>
      <w:r>
        <w:rPr>
          <w:lang w:val="fr-FR"/>
        </w:rPr>
        <w:t> </w:t>
      </w:r>
      <w:r w:rsidRPr="00D27A64">
        <w:rPr>
          <w:lang w:val="fr-FR"/>
        </w:rPr>
        <w:t>74 de la Convention de Vienne de 1986 prévoient tous deux que les dispositions de la Convention ne préjugent aucune question qui pourrait se poser à propos d</w:t>
      </w:r>
      <w:r>
        <w:rPr>
          <w:lang w:val="fr-FR"/>
        </w:rPr>
        <w:t>’</w:t>
      </w:r>
      <w:r w:rsidRPr="00D27A64">
        <w:rPr>
          <w:lang w:val="fr-FR"/>
        </w:rPr>
        <w:t>un traité en raison de la responsabilité internationale d</w:t>
      </w:r>
      <w:r>
        <w:rPr>
          <w:lang w:val="fr-FR"/>
        </w:rPr>
        <w:t>’</w:t>
      </w:r>
      <w:r w:rsidRPr="00D27A64">
        <w:rPr>
          <w:lang w:val="fr-FR"/>
        </w:rPr>
        <w:t>un État</w:t>
      </w:r>
      <w:r w:rsidRPr="00F22925">
        <w:rPr>
          <w:lang w:val="fr-FR"/>
        </w:rPr>
        <w:t>.</w:t>
      </w:r>
      <w:r w:rsidRPr="000934F1">
        <w:rPr>
          <w:lang w:val="fr-CA"/>
        </w:rPr>
        <w:t xml:space="preserve"> Ainsi qu</w:t>
      </w:r>
      <w:r>
        <w:rPr>
          <w:lang w:val="fr-CA"/>
        </w:rPr>
        <w:t>’</w:t>
      </w:r>
      <w:r w:rsidRPr="000934F1">
        <w:rPr>
          <w:lang w:val="fr-CA"/>
        </w:rPr>
        <w:t>il ressort du projet de directive</w:t>
      </w:r>
      <w:r>
        <w:rPr>
          <w:lang w:val="fr-CA"/>
        </w:rPr>
        <w:t> </w:t>
      </w:r>
      <w:r w:rsidRPr="000934F1">
        <w:rPr>
          <w:lang w:val="fr-CA"/>
        </w:rPr>
        <w:t xml:space="preserve">2, la portée du </w:t>
      </w:r>
      <w:r>
        <w:rPr>
          <w:lang w:val="fr-CA"/>
        </w:rPr>
        <w:t>Guide</w:t>
      </w:r>
      <w:r w:rsidRPr="000934F1">
        <w:rPr>
          <w:lang w:val="fr-CA"/>
        </w:rPr>
        <w:t xml:space="preserve"> n</w:t>
      </w:r>
      <w:r>
        <w:rPr>
          <w:lang w:val="fr-CA"/>
        </w:rPr>
        <w:t>’</w:t>
      </w:r>
      <w:r w:rsidRPr="000934F1">
        <w:rPr>
          <w:lang w:val="fr-CA"/>
        </w:rPr>
        <w:t>est pas limitée à celle des deux Conventions de Vienne</w:t>
      </w:r>
      <w:r w:rsidRPr="00F22925">
        <w:rPr>
          <w:lang w:val="fr-CA"/>
        </w:rPr>
        <w:t>.</w:t>
      </w:r>
    </w:p>
    <w:p w14:paraId="361B2D6D" w14:textId="77777777" w:rsidR="0043175D" w:rsidRPr="00D27A64" w:rsidRDefault="0043175D" w:rsidP="0043175D">
      <w:pPr>
        <w:pStyle w:val="SingleTxtG"/>
        <w:rPr>
          <w:lang w:val="fr-FR"/>
        </w:rPr>
      </w:pPr>
      <w:r>
        <w:rPr>
          <w:lang w:val="fr-FR"/>
        </w:rPr>
        <w:lastRenderedPageBreak/>
        <w:t>2</w:t>
      </w:r>
      <w:r w:rsidRPr="00D27A64">
        <w:rPr>
          <w:lang w:val="fr-FR"/>
        </w:rPr>
        <w:t>)</w:t>
      </w:r>
      <w:r w:rsidRPr="00D27A64">
        <w:rPr>
          <w:lang w:val="fr-FR"/>
        </w:rPr>
        <w:tab/>
        <w:t>Le projet de directive doit être lu conjointement avec les articles de 2001 sur la responsabilité de l</w:t>
      </w:r>
      <w:r>
        <w:rPr>
          <w:lang w:val="fr-FR"/>
        </w:rPr>
        <w:t>’</w:t>
      </w:r>
      <w:r w:rsidRPr="00D27A64">
        <w:rPr>
          <w:lang w:val="fr-FR"/>
        </w:rPr>
        <w:t>État pour fait internationalement illicite</w:t>
      </w:r>
      <w:r w:rsidRPr="00F22830">
        <w:rPr>
          <w:rStyle w:val="FootnoteReference"/>
        </w:rPr>
        <w:footnoteReference w:id="37"/>
      </w:r>
      <w:r w:rsidRPr="00D27A64">
        <w:rPr>
          <w:lang w:val="fr-FR"/>
        </w:rPr>
        <w:t xml:space="preserve"> et les articles de 2011 sur la responsabilité </w:t>
      </w:r>
      <w:r>
        <w:rPr>
          <w:lang w:val="fr-FR"/>
        </w:rPr>
        <w:t xml:space="preserve">d’une </w:t>
      </w:r>
      <w:r w:rsidRPr="00D27A64">
        <w:rPr>
          <w:lang w:val="fr-FR"/>
        </w:rPr>
        <w:t>organisation internationale</w:t>
      </w:r>
      <w:r>
        <w:rPr>
          <w:lang w:val="fr-FR"/>
        </w:rPr>
        <w:t xml:space="preserve"> pour un fait internationalement illicite</w:t>
      </w:r>
      <w:r w:rsidRPr="00F22830">
        <w:rPr>
          <w:rStyle w:val="FootnoteReference"/>
        </w:rPr>
        <w:footnoteReference w:id="38"/>
      </w:r>
      <w:r w:rsidRPr="00D27A64">
        <w:rPr>
          <w:lang w:val="fr-FR"/>
        </w:rPr>
        <w:t xml:space="preserve"> </w:t>
      </w:r>
      <w:r>
        <w:rPr>
          <w:lang w:val="fr-FR"/>
        </w:rPr>
        <w:t xml:space="preserve">dans la mesure où </w:t>
      </w:r>
      <w:r w:rsidRPr="00D27A64">
        <w:rPr>
          <w:lang w:val="fr-FR"/>
        </w:rPr>
        <w:t>ils reflètent le droit international coutumier</w:t>
      </w:r>
      <w:r w:rsidRPr="00F22925">
        <w:rPr>
          <w:lang w:val="fr-FR"/>
        </w:rPr>
        <w:t>.</w:t>
      </w:r>
      <w:r w:rsidRPr="00D27A64">
        <w:rPr>
          <w:lang w:val="fr-FR"/>
        </w:rPr>
        <w:t xml:space="preserve"> Les termes « une obligation découlant » et « engage » sont repris de ces articles, et c</w:t>
      </w:r>
      <w:r>
        <w:rPr>
          <w:lang w:val="fr-FR"/>
        </w:rPr>
        <w:t>’</w:t>
      </w:r>
      <w:r w:rsidRPr="00D27A64">
        <w:rPr>
          <w:lang w:val="fr-FR"/>
        </w:rPr>
        <w:t xml:space="preserve">est </w:t>
      </w:r>
      <w:r>
        <w:rPr>
          <w:lang w:val="fr-FR"/>
        </w:rPr>
        <w:t>aux règles applicables qui se dégagent de</w:t>
      </w:r>
      <w:r w:rsidRPr="00D27A64">
        <w:rPr>
          <w:lang w:val="fr-FR"/>
        </w:rPr>
        <w:t xml:space="preserve"> ceux-ci, entre autres, que le membre de phrase final « conformément aux règles applicables du droit international » renvoie</w:t>
      </w:r>
      <w:r w:rsidRPr="00F22925">
        <w:rPr>
          <w:lang w:val="fr-FR"/>
        </w:rPr>
        <w:t>.</w:t>
      </w:r>
    </w:p>
    <w:p w14:paraId="4BAA8F7B" w14:textId="77777777" w:rsidR="0043175D" w:rsidRPr="00D27A64" w:rsidRDefault="0043175D" w:rsidP="0043175D">
      <w:pPr>
        <w:pStyle w:val="H23G"/>
        <w:ind w:left="1701" w:firstLine="0"/>
        <w:rPr>
          <w:lang w:val="fr-FR"/>
        </w:rPr>
      </w:pPr>
      <w:r>
        <w:rPr>
          <w:lang w:val="fr-FR"/>
        </w:rPr>
        <w:tab/>
      </w:r>
      <w:r w:rsidRPr="00D27A64">
        <w:rPr>
          <w:lang w:val="fr-FR"/>
        </w:rPr>
        <w:t>Directive 9</w:t>
      </w:r>
      <w:r w:rsidRPr="00D27A64">
        <w:rPr>
          <w:lang w:val="fr-FR"/>
        </w:rPr>
        <w:br/>
        <w:t>Extinction</w:t>
      </w:r>
    </w:p>
    <w:p w14:paraId="694F3633" w14:textId="77777777" w:rsidR="0043175D" w:rsidRPr="00D27A64" w:rsidRDefault="0043175D" w:rsidP="0043175D">
      <w:pPr>
        <w:pStyle w:val="SingleTxtG"/>
        <w:ind w:left="1701"/>
        <w:rPr>
          <w:lang w:val="fr-FR"/>
        </w:rPr>
      </w:pPr>
      <w:r w:rsidRPr="00D27A64">
        <w:rPr>
          <w:lang w:val="fr-FR"/>
        </w:rPr>
        <w:t>1</w:t>
      </w:r>
      <w:r w:rsidRPr="00F22925">
        <w:rPr>
          <w:lang w:val="fr-FR"/>
        </w:rPr>
        <w:t>.</w:t>
      </w:r>
      <w:r w:rsidRPr="00D27A64">
        <w:rPr>
          <w:lang w:val="fr-FR"/>
        </w:rPr>
        <w:tab/>
        <w:t>L</w:t>
      </w:r>
      <w:r>
        <w:rPr>
          <w:lang w:val="fr-FR"/>
        </w:rPr>
        <w:t>’</w:t>
      </w:r>
      <w:r w:rsidRPr="00D27A64">
        <w:rPr>
          <w:lang w:val="fr-FR"/>
        </w:rPr>
        <w:t>application à titre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prend fin avec l</w:t>
      </w:r>
      <w:r>
        <w:rPr>
          <w:lang w:val="fr-FR"/>
        </w:rPr>
        <w:t>’</w:t>
      </w:r>
      <w:r w:rsidRPr="00D27A64">
        <w:rPr>
          <w:lang w:val="fr-FR"/>
        </w:rPr>
        <w:t>entrée en vigueur de ce traité dans les relations entre les États ou organisations internationales concernés</w:t>
      </w:r>
      <w:r w:rsidRPr="00F22925">
        <w:rPr>
          <w:lang w:val="fr-FR"/>
        </w:rPr>
        <w:t>.</w:t>
      </w:r>
      <w:r w:rsidRPr="00D27A64">
        <w:rPr>
          <w:lang w:val="fr-FR"/>
        </w:rPr>
        <w:t xml:space="preserve"> </w:t>
      </w:r>
    </w:p>
    <w:p w14:paraId="1EDF3E89" w14:textId="77777777" w:rsidR="0043175D" w:rsidRPr="00D27A64" w:rsidRDefault="0043175D" w:rsidP="0043175D">
      <w:pPr>
        <w:pStyle w:val="SingleTxtG"/>
        <w:ind w:left="1701"/>
        <w:rPr>
          <w:lang w:val="fr-FR"/>
        </w:rPr>
      </w:pPr>
      <w:r w:rsidRPr="00D27A64">
        <w:rPr>
          <w:lang w:val="fr-FR"/>
        </w:rPr>
        <w:t>2</w:t>
      </w:r>
      <w:r w:rsidRPr="00F22925">
        <w:rPr>
          <w:lang w:val="fr-FR"/>
        </w:rPr>
        <w:t>.</w:t>
      </w:r>
      <w:r w:rsidRPr="00D27A64">
        <w:rPr>
          <w:lang w:val="fr-FR"/>
        </w:rPr>
        <w:tab/>
        <w:t>À moins que le traité en dispose autrement ou qu</w:t>
      </w:r>
      <w:r>
        <w:rPr>
          <w:lang w:val="fr-FR"/>
        </w:rPr>
        <w:t>’</w:t>
      </w:r>
      <w:r w:rsidRPr="00D27A64">
        <w:rPr>
          <w:lang w:val="fr-FR"/>
        </w:rPr>
        <w:t>il en soit autrement convenu, l</w:t>
      </w:r>
      <w:r>
        <w:rPr>
          <w:lang w:val="fr-FR"/>
        </w:rPr>
        <w:t>’</w:t>
      </w:r>
      <w:r w:rsidRPr="00D27A64">
        <w:rPr>
          <w:lang w:val="fr-FR"/>
        </w:rPr>
        <w:t>application à titre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à l</w:t>
      </w:r>
      <w:r>
        <w:rPr>
          <w:lang w:val="fr-FR"/>
        </w:rPr>
        <w:t>’</w:t>
      </w:r>
      <w:r w:rsidRPr="00D27A64">
        <w:rPr>
          <w:lang w:val="fr-FR"/>
        </w:rPr>
        <w:t>égard d</w:t>
      </w:r>
      <w:r>
        <w:rPr>
          <w:lang w:val="fr-FR"/>
        </w:rPr>
        <w:t>’</w:t>
      </w:r>
      <w:r w:rsidRPr="00D27A64">
        <w:rPr>
          <w:lang w:val="fr-FR"/>
        </w:rPr>
        <w:t>un État ou d</w:t>
      </w:r>
      <w:r>
        <w:rPr>
          <w:lang w:val="fr-FR"/>
        </w:rPr>
        <w:t>’</w:t>
      </w:r>
      <w:r w:rsidRPr="00D27A64">
        <w:rPr>
          <w:lang w:val="fr-FR"/>
        </w:rPr>
        <w:t>une organisation internationale prend fin si cet État ou l</w:t>
      </w:r>
      <w:r>
        <w:rPr>
          <w:lang w:val="fr-FR"/>
        </w:rPr>
        <w:t>’</w:t>
      </w:r>
      <w:r w:rsidRPr="00D27A64">
        <w:rPr>
          <w:lang w:val="fr-FR"/>
        </w:rPr>
        <w:t>organisation internationale notifie aux autres États ou organisations internationales concernés son intention de ne pas devenir partie au traité</w:t>
      </w:r>
      <w:r w:rsidRPr="00F22925">
        <w:rPr>
          <w:lang w:val="fr-FR"/>
        </w:rPr>
        <w:t>.</w:t>
      </w:r>
      <w:r w:rsidRPr="00D27A64">
        <w:rPr>
          <w:lang w:val="fr-FR"/>
        </w:rPr>
        <w:t xml:space="preserve"> </w:t>
      </w:r>
    </w:p>
    <w:p w14:paraId="756ED8D8" w14:textId="77777777" w:rsidR="0043175D" w:rsidRPr="00D27A64" w:rsidRDefault="0043175D" w:rsidP="0043175D">
      <w:pPr>
        <w:pStyle w:val="SingleTxtG"/>
        <w:ind w:left="1701"/>
        <w:rPr>
          <w:lang w:val="fr-FR"/>
        </w:rPr>
      </w:pPr>
      <w:r w:rsidRPr="00D27A64">
        <w:rPr>
          <w:lang w:val="fr-FR"/>
        </w:rPr>
        <w:t>3</w:t>
      </w:r>
      <w:r w:rsidRPr="00F22925">
        <w:rPr>
          <w:lang w:val="fr-FR"/>
        </w:rPr>
        <w:t>.</w:t>
      </w:r>
      <w:r w:rsidRPr="00D27A64">
        <w:rPr>
          <w:lang w:val="fr-FR"/>
        </w:rPr>
        <w:tab/>
        <w:t>À moins que le traité en dispose autrement ou qu</w:t>
      </w:r>
      <w:r>
        <w:rPr>
          <w:lang w:val="fr-FR"/>
        </w:rPr>
        <w:t>’</w:t>
      </w:r>
      <w:r w:rsidRPr="00D27A64">
        <w:rPr>
          <w:lang w:val="fr-FR"/>
        </w:rPr>
        <w:t>il en soit autrement convenu, un État ou une organisation internationale peut invoquer d</w:t>
      </w:r>
      <w:r>
        <w:rPr>
          <w:lang w:val="fr-FR"/>
        </w:rPr>
        <w:t>’</w:t>
      </w:r>
      <w:r w:rsidRPr="00D27A64">
        <w:rPr>
          <w:lang w:val="fr-FR"/>
        </w:rPr>
        <w:t>autres motifs pour mettre fin à l</w:t>
      </w:r>
      <w:r>
        <w:rPr>
          <w:lang w:val="fr-FR"/>
        </w:rPr>
        <w:t>’</w:t>
      </w:r>
      <w:r w:rsidRPr="00D27A64">
        <w:rPr>
          <w:lang w:val="fr-FR"/>
        </w:rPr>
        <w:t>application à titre provisoire, auquel cas il le notifie aux autres États ou organisations internationales concernés</w:t>
      </w:r>
      <w:r w:rsidRPr="00F22925">
        <w:rPr>
          <w:lang w:val="fr-FR"/>
        </w:rPr>
        <w:t>.</w:t>
      </w:r>
    </w:p>
    <w:p w14:paraId="3881D6D2" w14:textId="77777777" w:rsidR="0043175D" w:rsidRPr="00D27A64" w:rsidRDefault="0043175D" w:rsidP="0043175D">
      <w:pPr>
        <w:pStyle w:val="SingleTxtG"/>
        <w:ind w:left="1701"/>
        <w:rPr>
          <w:lang w:val="fr-FR"/>
        </w:rPr>
      </w:pPr>
      <w:r w:rsidRPr="00D27A64">
        <w:rPr>
          <w:lang w:val="fr-FR"/>
        </w:rPr>
        <w:t>4</w:t>
      </w:r>
      <w:r w:rsidRPr="00F22925">
        <w:rPr>
          <w:lang w:val="fr-FR"/>
        </w:rPr>
        <w:t>.</w:t>
      </w:r>
      <w:r w:rsidRPr="00D27A64">
        <w:rPr>
          <w:lang w:val="fr-FR"/>
        </w:rPr>
        <w:tab/>
        <w:t>À moins que le traité en dispose autrement ou qu</w:t>
      </w:r>
      <w:r>
        <w:rPr>
          <w:lang w:val="fr-FR"/>
        </w:rPr>
        <w:t>’</w:t>
      </w:r>
      <w:r w:rsidRPr="00D27A64">
        <w:rPr>
          <w:lang w:val="fr-FR"/>
        </w:rPr>
        <w:t>il en soit autrement convenu, le fait que l</w:t>
      </w:r>
      <w:r>
        <w:rPr>
          <w:lang w:val="fr-FR"/>
        </w:rPr>
        <w:t>’</w:t>
      </w:r>
      <w:r w:rsidRPr="00D27A64">
        <w:rPr>
          <w:lang w:val="fr-FR"/>
        </w:rPr>
        <w:t>application à titre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a pris fin ne porte atteinte à aucun droit, aucune obligation ni aucune situation juridique créés par l</w:t>
      </w:r>
      <w:r>
        <w:rPr>
          <w:lang w:val="fr-FR"/>
        </w:rPr>
        <w:t>’</w:t>
      </w:r>
      <w:r w:rsidRPr="00D27A64">
        <w:rPr>
          <w:lang w:val="fr-FR"/>
        </w:rPr>
        <w:t>exécution de ladite application à titre provisoire avant qu</w:t>
      </w:r>
      <w:r>
        <w:rPr>
          <w:lang w:val="fr-FR"/>
        </w:rPr>
        <w:t>’</w:t>
      </w:r>
      <w:r w:rsidRPr="00D27A64">
        <w:rPr>
          <w:lang w:val="fr-FR"/>
        </w:rPr>
        <w:t>elle ait pris fin</w:t>
      </w:r>
      <w:r w:rsidRPr="00F22925">
        <w:rPr>
          <w:lang w:val="fr-FR"/>
        </w:rPr>
        <w:t>.</w:t>
      </w:r>
    </w:p>
    <w:p w14:paraId="681B15F8" w14:textId="77777777" w:rsidR="0043175D" w:rsidRPr="00D27A64" w:rsidRDefault="0043175D" w:rsidP="0043175D">
      <w:pPr>
        <w:pStyle w:val="H23G"/>
        <w:rPr>
          <w:lang w:val="fr-FR"/>
        </w:rPr>
      </w:pPr>
      <w:r w:rsidRPr="00D27A64">
        <w:rPr>
          <w:lang w:val="fr-FR"/>
        </w:rPr>
        <w:tab/>
      </w:r>
      <w:r w:rsidRPr="00D27A64">
        <w:rPr>
          <w:lang w:val="fr-FR"/>
        </w:rPr>
        <w:tab/>
      </w:r>
      <w:bookmarkStart w:id="15" w:name="_Toc522896362"/>
      <w:bookmarkStart w:id="16" w:name="_Toc523727672"/>
      <w:r w:rsidRPr="00D27A64">
        <w:rPr>
          <w:lang w:val="fr-FR"/>
        </w:rPr>
        <w:t>Commenta</w:t>
      </w:r>
      <w:bookmarkEnd w:id="15"/>
      <w:bookmarkEnd w:id="16"/>
      <w:r w:rsidRPr="00D27A64">
        <w:rPr>
          <w:lang w:val="fr-FR"/>
        </w:rPr>
        <w:t>ire</w:t>
      </w:r>
    </w:p>
    <w:p w14:paraId="7226C992" w14:textId="77777777" w:rsidR="0043175D" w:rsidRPr="00D27A64" w:rsidRDefault="0043175D" w:rsidP="0043175D">
      <w:pPr>
        <w:pStyle w:val="SingleTxtG"/>
        <w:rPr>
          <w:lang w:val="fr-FR"/>
        </w:rPr>
      </w:pPr>
      <w:r w:rsidRPr="00D27A64">
        <w:rPr>
          <w:lang w:val="fr-FR"/>
        </w:rPr>
        <w:t>1)</w:t>
      </w:r>
      <w:r w:rsidRPr="00D27A64">
        <w:rPr>
          <w:lang w:val="fr-FR"/>
        </w:rPr>
        <w:tab/>
        <w:t>Le projet de directive 9 porte sur la cessation de l</w:t>
      </w:r>
      <w:r>
        <w:rPr>
          <w:lang w:val="fr-FR"/>
        </w:rPr>
        <w:t>’</w:t>
      </w:r>
      <w:r w:rsidRPr="00D27A64">
        <w:rPr>
          <w:lang w:val="fr-FR"/>
        </w:rPr>
        <w:t>application à titre provisoire</w:t>
      </w:r>
      <w:r w:rsidRPr="00F22925">
        <w:rPr>
          <w:lang w:val="fr-FR"/>
        </w:rPr>
        <w:t>.</w:t>
      </w:r>
      <w:r w:rsidRPr="00D27A64">
        <w:rPr>
          <w:lang w:val="fr-FR"/>
        </w:rPr>
        <w:t xml:space="preserve"> En principe, l</w:t>
      </w:r>
      <w:r>
        <w:rPr>
          <w:lang w:val="fr-FR"/>
        </w:rPr>
        <w:t>’</w:t>
      </w:r>
      <w:r w:rsidRPr="00D27A64">
        <w:rPr>
          <w:lang w:val="fr-FR"/>
        </w:rPr>
        <w:t>application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 xml:space="preserve">un traité par un État ou une organisation internationale prend fin dans deux cas : premièrement, lorsque le traité entre en vigueur </w:t>
      </w:r>
      <w:r>
        <w:rPr>
          <w:lang w:val="fr-FR"/>
        </w:rPr>
        <w:t xml:space="preserve">entre les </w:t>
      </w:r>
      <w:r w:rsidRPr="00D27A64">
        <w:rPr>
          <w:lang w:val="fr-FR"/>
        </w:rPr>
        <w:t>État</w:t>
      </w:r>
      <w:r>
        <w:rPr>
          <w:lang w:val="fr-FR"/>
        </w:rPr>
        <w:t>s</w:t>
      </w:r>
      <w:r w:rsidRPr="00D27A64">
        <w:rPr>
          <w:lang w:val="fr-FR"/>
        </w:rPr>
        <w:t xml:space="preserve"> ou organisation</w:t>
      </w:r>
      <w:r>
        <w:rPr>
          <w:lang w:val="fr-FR"/>
        </w:rPr>
        <w:t>s</w:t>
      </w:r>
      <w:r w:rsidRPr="00D27A64">
        <w:rPr>
          <w:lang w:val="fr-FR"/>
        </w:rPr>
        <w:t xml:space="preserve"> internationale</w:t>
      </w:r>
      <w:r>
        <w:rPr>
          <w:lang w:val="fr-FR"/>
        </w:rPr>
        <w:t>s concernés</w:t>
      </w:r>
      <w:r w:rsidRPr="00D27A64">
        <w:rPr>
          <w:lang w:val="fr-FR"/>
        </w:rPr>
        <w:t> ; deuxièmement, lorsque l</w:t>
      </w:r>
      <w:r>
        <w:rPr>
          <w:lang w:val="fr-FR"/>
        </w:rPr>
        <w:t>’</w:t>
      </w:r>
      <w:r w:rsidRPr="00D27A64">
        <w:rPr>
          <w:lang w:val="fr-FR"/>
        </w:rPr>
        <w:t>État ou l</w:t>
      </w:r>
      <w:r>
        <w:rPr>
          <w:lang w:val="fr-FR"/>
        </w:rPr>
        <w:t>’</w:t>
      </w:r>
      <w:r w:rsidRPr="00D27A64">
        <w:rPr>
          <w:lang w:val="fr-FR"/>
        </w:rPr>
        <w:t>organisation internationale appliquant le traité ou une partie du traité à titre provisoire notifie aux autres États ou organisations internationales entre lesquels le traité ou la partie du traité est provisoirement appliqué son intention de ne pas devenir partie au traité</w:t>
      </w:r>
      <w:r w:rsidRPr="00F22925">
        <w:rPr>
          <w:lang w:val="fr-FR"/>
        </w:rPr>
        <w:t>.</w:t>
      </w:r>
      <w:r w:rsidRPr="00D27A64">
        <w:rPr>
          <w:lang w:val="fr-FR"/>
        </w:rPr>
        <w:t xml:space="preserve"> Cela n</w:t>
      </w:r>
      <w:r>
        <w:rPr>
          <w:lang w:val="fr-FR"/>
        </w:rPr>
        <w:t>’</w:t>
      </w:r>
      <w:r w:rsidRPr="00D27A64">
        <w:rPr>
          <w:lang w:val="fr-FR"/>
        </w:rPr>
        <w:t>empêche pas, toutefois, qu</w:t>
      </w:r>
      <w:r>
        <w:rPr>
          <w:lang w:val="fr-FR"/>
        </w:rPr>
        <w:t>’</w:t>
      </w:r>
      <w:r w:rsidRPr="00D27A64">
        <w:rPr>
          <w:lang w:val="fr-FR"/>
        </w:rPr>
        <w:t>il soit mis fin à l</w:t>
      </w:r>
      <w:r>
        <w:rPr>
          <w:lang w:val="fr-FR"/>
        </w:rPr>
        <w:t>’</w:t>
      </w:r>
      <w:r w:rsidRPr="00D27A64">
        <w:rPr>
          <w:lang w:val="fr-FR"/>
        </w:rPr>
        <w:t>application provisoire par d</w:t>
      </w:r>
      <w:r>
        <w:rPr>
          <w:lang w:val="fr-FR"/>
        </w:rPr>
        <w:t>’</w:t>
      </w:r>
      <w:r w:rsidRPr="00D27A64">
        <w:rPr>
          <w:lang w:val="fr-FR"/>
        </w:rPr>
        <w:t>autres moyens</w:t>
      </w:r>
      <w:r w:rsidRPr="00F22925">
        <w:rPr>
          <w:lang w:val="fr-FR"/>
        </w:rPr>
        <w:t>.</w:t>
      </w:r>
    </w:p>
    <w:p w14:paraId="550FD741" w14:textId="77777777" w:rsidR="0043175D" w:rsidRPr="00D27A64" w:rsidRDefault="0043175D" w:rsidP="0043175D">
      <w:pPr>
        <w:pStyle w:val="SingleTxtG"/>
        <w:rPr>
          <w:lang w:val="fr-FR"/>
        </w:rPr>
      </w:pPr>
      <w:r w:rsidRPr="00D27A64">
        <w:rPr>
          <w:lang w:val="fr-FR"/>
        </w:rPr>
        <w:t>2)</w:t>
      </w:r>
      <w:r w:rsidRPr="00D27A64">
        <w:rPr>
          <w:lang w:val="fr-FR"/>
        </w:rPr>
        <w:tab/>
        <w:t>Le paragraphe 1 traite de la cessation de l</w:t>
      </w:r>
      <w:r>
        <w:rPr>
          <w:lang w:val="fr-FR"/>
        </w:rPr>
        <w:t>’</w:t>
      </w:r>
      <w:r w:rsidRPr="00D27A64">
        <w:rPr>
          <w:lang w:val="fr-FR"/>
        </w:rPr>
        <w:t>application à titre provisoire à l</w:t>
      </w:r>
      <w:r>
        <w:rPr>
          <w:lang w:val="fr-FR"/>
        </w:rPr>
        <w:t>’</w:t>
      </w:r>
      <w:r w:rsidRPr="00D27A64">
        <w:rPr>
          <w:lang w:val="fr-FR"/>
        </w:rPr>
        <w:t>entrée en vigueur du traité, qui est le cas de figure le plus fréquent</w:t>
      </w:r>
      <w:r w:rsidRPr="00F22830">
        <w:rPr>
          <w:rStyle w:val="FootnoteReference"/>
        </w:rPr>
        <w:footnoteReference w:id="39"/>
      </w:r>
      <w:r w:rsidRPr="00F22925">
        <w:rPr>
          <w:lang w:val="fr-FR"/>
        </w:rPr>
        <w:t>.</w:t>
      </w:r>
      <w:r w:rsidRPr="00D27A64">
        <w:rPr>
          <w:lang w:val="fr-FR"/>
        </w:rPr>
        <w:t xml:space="preserve"> La cessation de l</w:t>
      </w:r>
      <w:r>
        <w:rPr>
          <w:lang w:val="fr-FR"/>
        </w:rPr>
        <w:t>’</w:t>
      </w:r>
      <w:r w:rsidRPr="00D27A64">
        <w:rPr>
          <w:lang w:val="fr-FR"/>
        </w:rPr>
        <w:t>application provisoire d</w:t>
      </w:r>
      <w:r>
        <w:rPr>
          <w:lang w:val="fr-FR"/>
        </w:rPr>
        <w:t>’</w:t>
      </w:r>
      <w:r w:rsidRPr="00D27A64">
        <w:rPr>
          <w:lang w:val="fr-FR"/>
        </w:rPr>
        <w:t>un traité ou d</w:t>
      </w:r>
      <w:r>
        <w:rPr>
          <w:lang w:val="fr-FR"/>
        </w:rPr>
        <w:t>’</w:t>
      </w:r>
      <w:r w:rsidRPr="00D27A64">
        <w:rPr>
          <w:lang w:val="fr-FR"/>
        </w:rPr>
        <w:t>une partie d</w:t>
      </w:r>
      <w:r>
        <w:rPr>
          <w:lang w:val="fr-FR"/>
        </w:rPr>
        <w:t>’</w:t>
      </w:r>
      <w:r w:rsidRPr="00D27A64">
        <w:rPr>
          <w:lang w:val="fr-FR"/>
        </w:rPr>
        <w:t>un traité du fait de l</w:t>
      </w:r>
      <w:r>
        <w:rPr>
          <w:lang w:val="fr-FR"/>
        </w:rPr>
        <w:t>’</w:t>
      </w:r>
      <w:r w:rsidRPr="00D27A64">
        <w:rPr>
          <w:lang w:val="fr-FR"/>
        </w:rPr>
        <w:t xml:space="preserve">entrée en vigueur du traité entre les États et les organisations internationales concernés est implicitement envisagée au projet de directive 3 par la formule « en attendant son entrée en vigueur », </w:t>
      </w:r>
      <w:r w:rsidRPr="00D27A64">
        <w:rPr>
          <w:lang w:val="fr-FR"/>
        </w:rPr>
        <w:lastRenderedPageBreak/>
        <w:t>inspirée de l</w:t>
      </w:r>
      <w:r>
        <w:rPr>
          <w:lang w:val="fr-FR"/>
        </w:rPr>
        <w:t>’</w:t>
      </w:r>
      <w:r w:rsidRPr="00D27A64">
        <w:rPr>
          <w:lang w:val="fr-FR"/>
        </w:rPr>
        <w:t>article 25 des Conventions de Vienne de 1969 et de 1986</w:t>
      </w:r>
      <w:r w:rsidRPr="00F22830">
        <w:rPr>
          <w:rStyle w:val="FootnoteReference"/>
        </w:rPr>
        <w:footnoteReference w:id="40"/>
      </w:r>
      <w:r w:rsidRPr="00F22925">
        <w:rPr>
          <w:lang w:val="fr-FR"/>
        </w:rPr>
        <w:t>.</w:t>
      </w:r>
      <w:r w:rsidRPr="00D27A64">
        <w:rPr>
          <w:lang w:val="fr-FR"/>
        </w:rPr>
        <w:t xml:space="preserve"> Conformément au projet de directive 5, l</w:t>
      </w:r>
      <w:r>
        <w:rPr>
          <w:lang w:val="fr-FR"/>
        </w:rPr>
        <w:t>’</w:t>
      </w:r>
      <w:r w:rsidRPr="00D27A64">
        <w:rPr>
          <w:lang w:val="fr-FR"/>
        </w:rPr>
        <w:t>application provisoire se poursuit à l</w:t>
      </w:r>
      <w:r>
        <w:rPr>
          <w:lang w:val="fr-FR"/>
        </w:rPr>
        <w:t>’</w:t>
      </w:r>
      <w:r w:rsidRPr="00D27A64">
        <w:rPr>
          <w:lang w:val="fr-FR"/>
        </w:rPr>
        <w:t>égard de deux ou plusieurs États ou organisations internationales appliquant provisoirement le traité ou une partie du traité, et ce, jusqu</w:t>
      </w:r>
      <w:r>
        <w:rPr>
          <w:lang w:val="fr-FR"/>
        </w:rPr>
        <w:t>’</w:t>
      </w:r>
      <w:r w:rsidRPr="00D27A64">
        <w:rPr>
          <w:lang w:val="fr-FR"/>
        </w:rPr>
        <w:t>à ce que le traité entre en vigueur entre eux</w:t>
      </w:r>
      <w:r w:rsidRPr="00F22830">
        <w:rPr>
          <w:rStyle w:val="FootnoteReference"/>
        </w:rPr>
        <w:footnoteReference w:id="41"/>
      </w:r>
      <w:r w:rsidRPr="00F22925">
        <w:rPr>
          <w:lang w:val="fr-FR"/>
        </w:rPr>
        <w:t>.</w:t>
      </w:r>
      <w:r w:rsidRPr="00D27A64">
        <w:rPr>
          <w:lang w:val="fr-FR"/>
        </w:rPr>
        <w:t xml:space="preserve"> </w:t>
      </w:r>
    </w:p>
    <w:p w14:paraId="5BC1C422" w14:textId="77777777" w:rsidR="0043175D" w:rsidRPr="00D27A64" w:rsidRDefault="0043175D" w:rsidP="0043175D">
      <w:pPr>
        <w:pStyle w:val="SingleTxtG"/>
        <w:rPr>
          <w:lang w:val="fr-FR"/>
        </w:rPr>
      </w:pPr>
      <w:r w:rsidRPr="00D27A64">
        <w:rPr>
          <w:lang w:val="fr-FR"/>
        </w:rPr>
        <w:t>3)</w:t>
      </w:r>
      <w:r w:rsidRPr="00D27A64">
        <w:rPr>
          <w:lang w:val="fr-FR"/>
        </w:rPr>
        <w:tab/>
        <w:t xml:space="preserve">La formule « dans les relations entre les États ou organisations internationales concernés » </w:t>
      </w:r>
      <w:r>
        <w:rPr>
          <w:lang w:val="fr-FR"/>
        </w:rPr>
        <w:t>vient distinguer</w:t>
      </w:r>
      <w:r w:rsidRPr="00D27A64">
        <w:rPr>
          <w:lang w:val="fr-FR"/>
        </w:rPr>
        <w:t xml:space="preserve"> l</w:t>
      </w:r>
      <w:r>
        <w:rPr>
          <w:lang w:val="fr-FR"/>
        </w:rPr>
        <w:t>’</w:t>
      </w:r>
      <w:r w:rsidRPr="00D27A64">
        <w:rPr>
          <w:lang w:val="fr-FR"/>
        </w:rPr>
        <w:t xml:space="preserve">entrée en vigueur du traité </w:t>
      </w:r>
      <w:r>
        <w:rPr>
          <w:lang w:val="fr-FR"/>
        </w:rPr>
        <w:t>de</w:t>
      </w:r>
      <w:r w:rsidRPr="00D27A64">
        <w:rPr>
          <w:lang w:val="fr-FR"/>
        </w:rPr>
        <w:t xml:space="preserve"> son application à titre provisoire par une ou plusieurs parties</w:t>
      </w:r>
      <w:r w:rsidRPr="00F22925">
        <w:rPr>
          <w:lang w:val="fr-FR"/>
        </w:rPr>
        <w:t>.</w:t>
      </w:r>
      <w:r w:rsidRPr="00D27A64">
        <w:rPr>
          <w:lang w:val="fr-FR"/>
        </w:rPr>
        <w:t xml:space="preserve"> Cette distinction est particulièrement pertinente en ce qui concerne les relations entre les parties à un traité multilatéral, ce type de traité </w:t>
      </w:r>
      <w:r w:rsidRPr="00DF5197">
        <w:rPr>
          <w:lang w:val="fr-FR"/>
        </w:rPr>
        <w:t>pouvant entrer en</w:t>
      </w:r>
      <w:r w:rsidRPr="00D27A64">
        <w:rPr>
          <w:lang w:val="fr-FR"/>
        </w:rPr>
        <w:t xml:space="preserve"> vigueur pour certaines parties tout en continuant de n</w:t>
      </w:r>
      <w:r>
        <w:rPr>
          <w:lang w:val="fr-FR"/>
        </w:rPr>
        <w:t>’</w:t>
      </w:r>
      <w:r w:rsidRPr="00D27A64">
        <w:rPr>
          <w:lang w:val="fr-FR"/>
        </w:rPr>
        <w:t>être appliqué qu</w:t>
      </w:r>
      <w:r>
        <w:rPr>
          <w:lang w:val="fr-FR"/>
        </w:rPr>
        <w:t>’</w:t>
      </w:r>
      <w:r w:rsidRPr="00D27A64">
        <w:rPr>
          <w:lang w:val="fr-FR"/>
        </w:rPr>
        <w:t xml:space="preserve">à titre provisoire </w:t>
      </w:r>
      <w:r>
        <w:rPr>
          <w:lang w:val="fr-FR"/>
        </w:rPr>
        <w:t>à l’égard des</w:t>
      </w:r>
      <w:r w:rsidRPr="00D27A64">
        <w:rPr>
          <w:lang w:val="fr-FR"/>
        </w:rPr>
        <w:t xml:space="preserve"> autres</w:t>
      </w:r>
      <w:r w:rsidRPr="00F22925">
        <w:rPr>
          <w:lang w:val="fr-FR"/>
        </w:rPr>
        <w:t>.</w:t>
      </w:r>
      <w:r w:rsidRPr="00D27A64">
        <w:rPr>
          <w:lang w:val="fr-FR"/>
        </w:rPr>
        <w:t xml:space="preserve"> La formule vise de ce fait à couvrir toutes les situations juridiques possibles en la matière</w:t>
      </w:r>
      <w:r w:rsidRPr="00F22925">
        <w:rPr>
          <w:lang w:val="fr-FR"/>
        </w:rPr>
        <w:t>.</w:t>
      </w:r>
    </w:p>
    <w:p w14:paraId="338E3F4B" w14:textId="77777777" w:rsidR="0043175D" w:rsidRPr="00D27A64" w:rsidRDefault="0043175D" w:rsidP="0043175D">
      <w:pPr>
        <w:pStyle w:val="SingleTxtG"/>
        <w:rPr>
          <w:lang w:val="fr-FR"/>
        </w:rPr>
      </w:pPr>
      <w:r w:rsidRPr="00D27A64">
        <w:rPr>
          <w:lang w:val="fr-FR"/>
        </w:rPr>
        <w:t>4)</w:t>
      </w:r>
      <w:r w:rsidRPr="00D27A64">
        <w:rPr>
          <w:lang w:val="fr-FR"/>
        </w:rPr>
        <w:tab/>
        <w:t>Le paragraphe 2 concerne le second cas de figure envisagé au paragraphe 1 du commentaire du projet de directive − à savoir le cas dans lequel l</w:t>
      </w:r>
      <w:r>
        <w:rPr>
          <w:lang w:val="fr-FR"/>
        </w:rPr>
        <w:t>’</w:t>
      </w:r>
      <w:r w:rsidRPr="00D27A64">
        <w:rPr>
          <w:lang w:val="fr-FR"/>
        </w:rPr>
        <w:t>État ou l</w:t>
      </w:r>
      <w:r>
        <w:rPr>
          <w:lang w:val="fr-FR"/>
        </w:rPr>
        <w:t>’</w:t>
      </w:r>
      <w:r w:rsidRPr="00D27A64">
        <w:rPr>
          <w:lang w:val="fr-FR"/>
        </w:rPr>
        <w:t>organisation internationale notifie son intention de ne pas devenir partie au traité</w:t>
      </w:r>
      <w:r w:rsidRPr="00F22925">
        <w:rPr>
          <w:lang w:val="fr-FR"/>
        </w:rPr>
        <w:t>.</w:t>
      </w:r>
      <w:r w:rsidRPr="00D27A64">
        <w:rPr>
          <w:lang w:val="fr-FR"/>
        </w:rPr>
        <w:t xml:space="preserve"> Il suit étroitement le libellé du paragraphe 2 de l</w:t>
      </w:r>
      <w:r>
        <w:rPr>
          <w:lang w:val="fr-FR"/>
        </w:rPr>
        <w:t>’</w:t>
      </w:r>
      <w:r w:rsidRPr="00D27A64">
        <w:rPr>
          <w:lang w:val="fr-FR"/>
        </w:rPr>
        <w:t>article 25 des Conventions de Vienne de 1969 et de 1986</w:t>
      </w:r>
      <w:r w:rsidRPr="00F22925">
        <w:rPr>
          <w:lang w:val="fr-FR"/>
        </w:rPr>
        <w:t>.</w:t>
      </w:r>
    </w:p>
    <w:p w14:paraId="731EEC25" w14:textId="77777777" w:rsidR="0043175D" w:rsidRPr="00D27A64" w:rsidRDefault="0043175D" w:rsidP="0043175D">
      <w:pPr>
        <w:pStyle w:val="SingleTxtG"/>
        <w:rPr>
          <w:lang w:val="fr-FR"/>
        </w:rPr>
      </w:pPr>
      <w:r w:rsidRPr="00D27A64">
        <w:rPr>
          <w:lang w:val="fr-FR"/>
        </w:rPr>
        <w:t>5)</w:t>
      </w:r>
      <w:r w:rsidRPr="00D27A64">
        <w:rPr>
          <w:lang w:val="fr-FR"/>
        </w:rPr>
        <w:tab/>
        <w:t>Le membre de phrase « [à] moins que le traité en dispose autrement ou qu</w:t>
      </w:r>
      <w:r>
        <w:rPr>
          <w:lang w:val="fr-FR"/>
        </w:rPr>
        <w:t>’</w:t>
      </w:r>
      <w:r w:rsidRPr="00D27A64">
        <w:rPr>
          <w:lang w:val="fr-FR"/>
        </w:rPr>
        <w:t>il en soit autrement convenu », par lequel commence le paragraphe 2, s</w:t>
      </w:r>
      <w:r>
        <w:rPr>
          <w:lang w:val="fr-FR"/>
        </w:rPr>
        <w:t>’</w:t>
      </w:r>
      <w:r w:rsidRPr="00D27A64">
        <w:rPr>
          <w:lang w:val="fr-FR"/>
        </w:rPr>
        <w:t>écarte du texte pertinent des</w:t>
      </w:r>
      <w:r w:rsidRPr="00D27A64" w:rsidDel="00664EB7">
        <w:rPr>
          <w:lang w:val="fr-FR"/>
        </w:rPr>
        <w:t xml:space="preserve"> </w:t>
      </w:r>
      <w:r w:rsidRPr="00D27A64">
        <w:rPr>
          <w:lang w:val="fr-FR"/>
        </w:rPr>
        <w:t>Conventions de Vienne de 1969 et 1986 en ce qu</w:t>
      </w:r>
      <w:r>
        <w:rPr>
          <w:lang w:val="fr-FR"/>
        </w:rPr>
        <w:t>’</w:t>
      </w:r>
      <w:r w:rsidRPr="00D27A64">
        <w:rPr>
          <w:lang w:val="fr-FR"/>
        </w:rPr>
        <w:t>il n</w:t>
      </w:r>
      <w:r>
        <w:rPr>
          <w:lang w:val="fr-FR"/>
        </w:rPr>
        <w:t>’</w:t>
      </w:r>
      <w:r w:rsidRPr="00D27A64">
        <w:rPr>
          <w:lang w:val="fr-FR"/>
        </w:rPr>
        <w:t>est pas assorti de l</w:t>
      </w:r>
      <w:r>
        <w:rPr>
          <w:lang w:val="fr-FR"/>
        </w:rPr>
        <w:t>’</w:t>
      </w:r>
      <w:r w:rsidRPr="00D27A64">
        <w:rPr>
          <w:lang w:val="fr-FR"/>
        </w:rPr>
        <w:t>indication selon laquelle seuls les États ou les organisations internationales « ayant participé à la négociation</w:t>
      </w:r>
      <w:r>
        <w:rPr>
          <w:lang w:val="fr-FR"/>
        </w:rPr>
        <w:t> </w:t>
      </w:r>
      <w:r w:rsidRPr="00D27A64">
        <w:rPr>
          <w:lang w:val="fr-FR"/>
        </w:rPr>
        <w:t>» peuvent convenir que l</w:t>
      </w:r>
      <w:r>
        <w:rPr>
          <w:lang w:val="fr-FR"/>
        </w:rPr>
        <w:t>’</w:t>
      </w:r>
      <w:r w:rsidRPr="00D27A64">
        <w:rPr>
          <w:lang w:val="fr-FR"/>
        </w:rPr>
        <w:t>application à titre provisoire du traité prend fin</w:t>
      </w:r>
      <w:r w:rsidRPr="00F22925">
        <w:rPr>
          <w:lang w:val="fr-FR"/>
        </w:rPr>
        <w:t>.</w:t>
      </w:r>
      <w:r w:rsidRPr="00D27A64">
        <w:rPr>
          <w:lang w:val="fr-FR"/>
        </w:rPr>
        <w:t xml:space="preserve"> La formule « ou qu</w:t>
      </w:r>
      <w:r>
        <w:rPr>
          <w:lang w:val="fr-FR"/>
        </w:rPr>
        <w:t>’</w:t>
      </w:r>
      <w:r w:rsidRPr="00D27A64">
        <w:rPr>
          <w:lang w:val="fr-FR"/>
        </w:rPr>
        <w:t>il en soit autrement convenu » s</w:t>
      </w:r>
      <w:r>
        <w:rPr>
          <w:lang w:val="fr-FR"/>
        </w:rPr>
        <w:t>’</w:t>
      </w:r>
      <w:r w:rsidRPr="00D27A64">
        <w:rPr>
          <w:lang w:val="fr-FR"/>
        </w:rPr>
        <w:t>applique tant aux États ou organisations internationales qui ont participé à la négociation du traité qu</w:t>
      </w:r>
      <w:r>
        <w:rPr>
          <w:lang w:val="fr-FR"/>
        </w:rPr>
        <w:t>’</w:t>
      </w:r>
      <w:r w:rsidRPr="00D27A64">
        <w:rPr>
          <w:lang w:val="fr-FR"/>
        </w:rPr>
        <w:t>aux États et organisations internationales qui n</w:t>
      </w:r>
      <w:r>
        <w:rPr>
          <w:lang w:val="fr-FR"/>
        </w:rPr>
        <w:t>’</w:t>
      </w:r>
      <w:r w:rsidRPr="00D27A64">
        <w:rPr>
          <w:lang w:val="fr-FR"/>
        </w:rPr>
        <w:t>y ont pas pris part, mais appliquent néanmoins le traité à titre provisoire</w:t>
      </w:r>
      <w:r w:rsidRPr="00F22925">
        <w:rPr>
          <w:lang w:val="fr-FR"/>
        </w:rPr>
        <w:t>.</w:t>
      </w:r>
      <w:r w:rsidRPr="00D27A64">
        <w:rPr>
          <w:lang w:val="fr-FR"/>
        </w:rPr>
        <w:t xml:space="preserve"> Étant donné la complexité aujourd</w:t>
      </w:r>
      <w:r>
        <w:rPr>
          <w:lang w:val="fr-FR"/>
        </w:rPr>
        <w:t>’</w:t>
      </w:r>
      <w:r w:rsidRPr="00D27A64">
        <w:rPr>
          <w:lang w:val="fr-FR"/>
        </w:rPr>
        <w:t>hui inhérente à la conclusion de traités multilatéraux, la pratique contemporaine va dans le sens d</w:t>
      </w:r>
      <w:r>
        <w:rPr>
          <w:lang w:val="fr-FR"/>
        </w:rPr>
        <w:t>’</w:t>
      </w:r>
      <w:r w:rsidRPr="00D27A64">
        <w:rPr>
          <w:lang w:val="fr-FR"/>
        </w:rPr>
        <w:t>une lecture large du libellé des deux Conventions de Vienne, à savoir que tous les États ou organisations internationales concernés sont juridiquement sur un pied d</w:t>
      </w:r>
      <w:r>
        <w:rPr>
          <w:lang w:val="fr-FR"/>
        </w:rPr>
        <w:t>’</w:t>
      </w:r>
      <w:r w:rsidRPr="00D27A64">
        <w:rPr>
          <w:lang w:val="fr-FR"/>
        </w:rPr>
        <w:t>égalité pour ce qui est de l</w:t>
      </w:r>
      <w:r>
        <w:rPr>
          <w:lang w:val="fr-FR"/>
        </w:rPr>
        <w:t>’</w:t>
      </w:r>
      <w:r w:rsidRPr="00D27A64">
        <w:rPr>
          <w:lang w:val="fr-FR"/>
        </w:rPr>
        <w:t>application provisoire, les questions y relatives pouvant en effet nécessiter l</w:t>
      </w:r>
      <w:r>
        <w:rPr>
          <w:lang w:val="fr-FR"/>
        </w:rPr>
        <w:t>’</w:t>
      </w:r>
      <w:r w:rsidRPr="00D27A64">
        <w:rPr>
          <w:lang w:val="fr-FR"/>
        </w:rPr>
        <w:t>accord d</w:t>
      </w:r>
      <w:r>
        <w:rPr>
          <w:lang w:val="fr-FR"/>
        </w:rPr>
        <w:t>’</w:t>
      </w:r>
      <w:r w:rsidRPr="00D27A64">
        <w:rPr>
          <w:lang w:val="fr-FR"/>
        </w:rPr>
        <w:t>autres États ou organisations internationales</w:t>
      </w:r>
      <w:r w:rsidRPr="00F22830">
        <w:rPr>
          <w:rStyle w:val="FootnoteReference"/>
        </w:rPr>
        <w:footnoteReference w:id="42"/>
      </w:r>
      <w:r w:rsidRPr="00F22925">
        <w:rPr>
          <w:lang w:val="fr-FR"/>
        </w:rPr>
        <w:t>.</w:t>
      </w:r>
    </w:p>
    <w:p w14:paraId="045647B9" w14:textId="77777777" w:rsidR="0043175D" w:rsidRPr="00D27A64" w:rsidRDefault="0043175D" w:rsidP="0043175D">
      <w:pPr>
        <w:pStyle w:val="SingleTxtG"/>
        <w:rPr>
          <w:lang w:val="fr-FR"/>
        </w:rPr>
      </w:pPr>
      <w:r w:rsidRPr="00D27A64">
        <w:rPr>
          <w:lang w:val="fr-FR"/>
        </w:rPr>
        <w:lastRenderedPageBreak/>
        <w:t>6)</w:t>
      </w:r>
      <w:r w:rsidRPr="00D27A64">
        <w:rPr>
          <w:lang w:val="fr-FR"/>
        </w:rPr>
        <w:tab/>
        <w:t>Le dernier membre de phrase du paragraphe 2, «</w:t>
      </w:r>
      <w:r>
        <w:rPr>
          <w:lang w:val="fr-FR"/>
        </w:rPr>
        <w:t> </w:t>
      </w:r>
      <w:r w:rsidRPr="00D27A64">
        <w:rPr>
          <w:lang w:val="fr-FR"/>
        </w:rPr>
        <w:t>notifie aux autres États ou organisations internationales concernés</w:t>
      </w:r>
      <w:r w:rsidRPr="00F22830">
        <w:rPr>
          <w:rStyle w:val="FootnoteReference"/>
        </w:rPr>
        <w:footnoteReference w:id="43"/>
      </w:r>
      <w:r>
        <w:rPr>
          <w:lang w:val="fr-FR"/>
        </w:rPr>
        <w:t> </w:t>
      </w:r>
      <w:r w:rsidRPr="00D27A64">
        <w:rPr>
          <w:lang w:val="fr-FR"/>
        </w:rPr>
        <w:t>», fait référence aux États et organisations internationales entre lesquels un traité ou une partie d</w:t>
      </w:r>
      <w:r>
        <w:rPr>
          <w:lang w:val="fr-FR"/>
        </w:rPr>
        <w:t>’</w:t>
      </w:r>
      <w:r w:rsidRPr="00D27A64">
        <w:rPr>
          <w:lang w:val="fr-FR"/>
        </w:rPr>
        <w:t>un traité est appliqué</w:t>
      </w:r>
      <w:r>
        <w:rPr>
          <w:lang w:val="fr-FR"/>
        </w:rPr>
        <w:t xml:space="preserve"> ou peut être appliqué</w:t>
      </w:r>
      <w:r w:rsidRPr="00D27A64">
        <w:rPr>
          <w:lang w:val="fr-FR"/>
        </w:rPr>
        <w:t xml:space="preserve"> à titre provisoire ainsi qu</w:t>
      </w:r>
      <w:r>
        <w:rPr>
          <w:lang w:val="fr-FR"/>
        </w:rPr>
        <w:t>’</w:t>
      </w:r>
      <w:r w:rsidRPr="00D27A64">
        <w:rPr>
          <w:lang w:val="fr-FR"/>
        </w:rPr>
        <w:t>à tous les États qui ont exprimé leur consentement à être liés par le traité</w:t>
      </w:r>
      <w:r w:rsidRPr="00F22925">
        <w:rPr>
          <w:lang w:val="fr-FR"/>
        </w:rPr>
        <w:t>.</w:t>
      </w:r>
    </w:p>
    <w:p w14:paraId="7D0A367B" w14:textId="77777777" w:rsidR="0043175D" w:rsidRPr="00D27A64" w:rsidRDefault="0043175D" w:rsidP="0043175D">
      <w:pPr>
        <w:pStyle w:val="SingleTxtG"/>
        <w:rPr>
          <w:lang w:val="fr-FR"/>
        </w:rPr>
      </w:pPr>
      <w:r w:rsidRPr="00D27A64">
        <w:rPr>
          <w:lang w:val="fr-FR"/>
        </w:rPr>
        <w:t>7)</w:t>
      </w:r>
      <w:r w:rsidRPr="00D27A64">
        <w:rPr>
          <w:lang w:val="fr-FR"/>
        </w:rPr>
        <w:tab/>
        <w:t>Tout accord sur l</w:t>
      </w:r>
      <w:r>
        <w:rPr>
          <w:lang w:val="fr-FR"/>
        </w:rPr>
        <w:t>’</w:t>
      </w:r>
      <w:r w:rsidRPr="00D27A64">
        <w:rPr>
          <w:lang w:val="fr-FR"/>
        </w:rPr>
        <w:t xml:space="preserve">application à titre provisoire peut prévoir, pour éviter tout contretemps, que </w:t>
      </w:r>
      <w:r>
        <w:rPr>
          <w:lang w:val="fr-FR"/>
        </w:rPr>
        <w:t xml:space="preserve">l’intention de mettre fin à </w:t>
      </w:r>
      <w:r w:rsidRPr="00D27A64">
        <w:rPr>
          <w:lang w:val="fr-FR"/>
        </w:rPr>
        <w:t xml:space="preserve">cette application </w:t>
      </w:r>
      <w:r>
        <w:rPr>
          <w:lang w:val="fr-FR"/>
        </w:rPr>
        <w:t>doit être notifiée à l’avance</w:t>
      </w:r>
      <w:r w:rsidRPr="00F22925">
        <w:rPr>
          <w:lang w:val="fr-FR"/>
        </w:rPr>
        <w:t>.</w:t>
      </w:r>
      <w:r w:rsidRPr="00D27A64">
        <w:rPr>
          <w:lang w:val="fr-FR"/>
        </w:rPr>
        <w:t xml:space="preserve"> La Commission a néanmoins décidé de ne pas reprendre </w:t>
      </w:r>
      <w:r w:rsidRPr="00D27A64">
        <w:rPr>
          <w:i/>
          <w:iCs/>
          <w:lang w:val="fr-FR"/>
        </w:rPr>
        <w:t>mutatis mutandis</w:t>
      </w:r>
      <w:r w:rsidRPr="00D27A64">
        <w:rPr>
          <w:lang w:val="fr-FR"/>
        </w:rPr>
        <w:t xml:space="preserve"> la règle énoncée au paragraphe 2 de l</w:t>
      </w:r>
      <w:r>
        <w:rPr>
          <w:lang w:val="fr-FR"/>
        </w:rPr>
        <w:t>’</w:t>
      </w:r>
      <w:r w:rsidRPr="00D27A64">
        <w:rPr>
          <w:lang w:val="fr-FR"/>
        </w:rPr>
        <w:t>article 56 des Conventions de Vienne de 1969 et1986, qui prévoit qu</w:t>
      </w:r>
      <w:r>
        <w:rPr>
          <w:lang w:val="fr-FR"/>
        </w:rPr>
        <w:t>’</w:t>
      </w:r>
      <w:r w:rsidRPr="00D27A64">
        <w:rPr>
          <w:lang w:val="fr-FR"/>
        </w:rPr>
        <w:t>un traité qui ne contient pas de dispositions relatives à son extinction et ne prévoit pas qu</w:t>
      </w:r>
      <w:r>
        <w:rPr>
          <w:lang w:val="fr-FR"/>
        </w:rPr>
        <w:t>’</w:t>
      </w:r>
      <w:r w:rsidRPr="00D27A64">
        <w:rPr>
          <w:lang w:val="fr-FR"/>
        </w:rPr>
        <w:t>on puisse le dénoncer ou s</w:t>
      </w:r>
      <w:r>
        <w:rPr>
          <w:lang w:val="fr-FR"/>
        </w:rPr>
        <w:t>’</w:t>
      </w:r>
      <w:r w:rsidRPr="00D27A64">
        <w:rPr>
          <w:lang w:val="fr-FR"/>
        </w:rPr>
        <w:t>en retirer ne peut faire l</w:t>
      </w:r>
      <w:r>
        <w:rPr>
          <w:lang w:val="fr-FR"/>
        </w:rPr>
        <w:t>’</w:t>
      </w:r>
      <w:r w:rsidRPr="00D27A64">
        <w:rPr>
          <w:lang w:val="fr-FR"/>
        </w:rPr>
        <w:t>objet d</w:t>
      </w:r>
      <w:r>
        <w:rPr>
          <w:lang w:val="fr-FR"/>
        </w:rPr>
        <w:t>’</w:t>
      </w:r>
      <w:r w:rsidRPr="00D27A64">
        <w:rPr>
          <w:lang w:val="fr-FR"/>
        </w:rPr>
        <w:t>une dénonciation ou d</w:t>
      </w:r>
      <w:r>
        <w:rPr>
          <w:lang w:val="fr-FR"/>
        </w:rPr>
        <w:t>’</w:t>
      </w:r>
      <w:r w:rsidRPr="00D27A64">
        <w:rPr>
          <w:lang w:val="fr-FR"/>
        </w:rPr>
        <w:t>un retrait que sur notification dans un certain délai correspondant à une période jugée raisonnable</w:t>
      </w:r>
      <w:r w:rsidRPr="00F22925">
        <w:rPr>
          <w:lang w:val="fr-FR"/>
        </w:rPr>
        <w:t>.</w:t>
      </w:r>
      <w:r w:rsidRPr="00D27A64">
        <w:rPr>
          <w:lang w:val="fr-FR"/>
        </w:rPr>
        <w:t xml:space="preserve"> Cette décision </w:t>
      </w:r>
      <w:r>
        <w:rPr>
          <w:lang w:val="fr-FR"/>
        </w:rPr>
        <w:t>a été</w:t>
      </w:r>
      <w:r w:rsidRPr="00D27A64">
        <w:rPr>
          <w:lang w:val="fr-FR"/>
        </w:rPr>
        <w:t xml:space="preserve"> motivée par le souci </w:t>
      </w:r>
      <w:r>
        <w:rPr>
          <w:lang w:val="fr-FR"/>
        </w:rPr>
        <w:t xml:space="preserve">de la Commission </w:t>
      </w:r>
      <w:r w:rsidRPr="00D27A64">
        <w:rPr>
          <w:lang w:val="fr-FR"/>
        </w:rPr>
        <w:t>de conserver à l</w:t>
      </w:r>
      <w:r>
        <w:rPr>
          <w:lang w:val="fr-FR"/>
        </w:rPr>
        <w:t>’</w:t>
      </w:r>
      <w:r w:rsidRPr="00D27A64">
        <w:rPr>
          <w:lang w:val="fr-FR"/>
        </w:rPr>
        <w:t>article 25 la souplesse qui le caractérise et par le fait que la pratique pertinente ne suffit pas à justifier l</w:t>
      </w:r>
      <w:r>
        <w:rPr>
          <w:lang w:val="fr-FR"/>
        </w:rPr>
        <w:t>’</w:t>
      </w:r>
      <w:r w:rsidRPr="00D27A64">
        <w:rPr>
          <w:lang w:val="fr-FR"/>
        </w:rPr>
        <w:t>inclusion de pareille règle</w:t>
      </w:r>
      <w:r w:rsidRPr="00F22925">
        <w:rPr>
          <w:lang w:val="fr-FR"/>
        </w:rPr>
        <w:t>.</w:t>
      </w:r>
      <w:r w:rsidRPr="00D27A64">
        <w:rPr>
          <w:lang w:val="fr-FR"/>
        </w:rPr>
        <w:t xml:space="preserve"> </w:t>
      </w:r>
    </w:p>
    <w:p w14:paraId="0BD90852" w14:textId="77777777" w:rsidR="0043175D" w:rsidRPr="00D27A64" w:rsidRDefault="0043175D" w:rsidP="0043175D">
      <w:pPr>
        <w:pStyle w:val="SingleTxtG"/>
        <w:rPr>
          <w:lang w:val="fr-FR"/>
        </w:rPr>
      </w:pPr>
      <w:r w:rsidRPr="00D27A64">
        <w:rPr>
          <w:lang w:val="fr-FR"/>
        </w:rPr>
        <w:t>8)</w:t>
      </w:r>
      <w:r w:rsidRPr="00D27A64">
        <w:rPr>
          <w:lang w:val="fr-FR"/>
        </w:rPr>
        <w:tab/>
        <w:t>Le paragraphe 3 réserve aux États et aux organisations internationales la possibilité de mettre fin à l</w:t>
      </w:r>
      <w:r>
        <w:rPr>
          <w:lang w:val="fr-FR"/>
        </w:rPr>
        <w:t>’</w:t>
      </w:r>
      <w:r w:rsidRPr="00D27A64">
        <w:rPr>
          <w:lang w:val="fr-FR"/>
        </w:rPr>
        <w:t>application à titre provisoire pour d</w:t>
      </w:r>
      <w:r>
        <w:rPr>
          <w:lang w:val="fr-FR"/>
        </w:rPr>
        <w:t>’</w:t>
      </w:r>
      <w:r w:rsidRPr="00D27A64">
        <w:rPr>
          <w:lang w:val="fr-FR"/>
        </w:rPr>
        <w:t xml:space="preserve">autres motifs </w:t>
      </w:r>
      <w:r>
        <w:rPr>
          <w:lang w:val="fr-FR"/>
        </w:rPr>
        <w:t>que celui envisagé au paragraphe 2</w:t>
      </w:r>
      <w:r w:rsidRPr="00F22925">
        <w:rPr>
          <w:lang w:val="fr-FR"/>
        </w:rPr>
        <w:t>.</w:t>
      </w:r>
      <w:r w:rsidRPr="00D27A64">
        <w:rPr>
          <w:lang w:val="fr-FR"/>
        </w:rPr>
        <w:t xml:space="preserve"> Cette possibilité est implicitement prévue au paragraphe 2 de l</w:t>
      </w:r>
      <w:r>
        <w:rPr>
          <w:lang w:val="fr-FR"/>
        </w:rPr>
        <w:t>’</w:t>
      </w:r>
      <w:r w:rsidRPr="00D27A64">
        <w:rPr>
          <w:lang w:val="fr-FR"/>
        </w:rPr>
        <w:t>article 25, qui offre une certaine souplesse pour ce qui est de mettre fin à l</w:t>
      </w:r>
      <w:r>
        <w:rPr>
          <w:lang w:val="fr-FR"/>
        </w:rPr>
        <w:t>’</w:t>
      </w:r>
      <w:r w:rsidRPr="00D27A64">
        <w:rPr>
          <w:lang w:val="fr-FR"/>
        </w:rPr>
        <w:t>application à titre provisoire</w:t>
      </w:r>
      <w:r w:rsidRPr="00F22925">
        <w:rPr>
          <w:lang w:val="fr-FR"/>
        </w:rPr>
        <w:t>.</w:t>
      </w:r>
      <w:r w:rsidRPr="00D27A64">
        <w:rPr>
          <w:lang w:val="fr-FR"/>
        </w:rPr>
        <w:t xml:space="preserve"> Ainsi, un État ou une organisation internationale peut mettre fin à l</w:t>
      </w:r>
      <w:r>
        <w:rPr>
          <w:lang w:val="fr-FR"/>
        </w:rPr>
        <w:t>’</w:t>
      </w:r>
      <w:r w:rsidRPr="00D27A64">
        <w:rPr>
          <w:lang w:val="fr-FR"/>
        </w:rPr>
        <w:t>application à titre provisoire d</w:t>
      </w:r>
      <w:r>
        <w:rPr>
          <w:lang w:val="fr-FR"/>
        </w:rPr>
        <w:t>’</w:t>
      </w:r>
      <w:r w:rsidRPr="00D27A64">
        <w:rPr>
          <w:lang w:val="fr-FR"/>
        </w:rPr>
        <w:t>un traité multilatéral même s</w:t>
      </w:r>
      <w:r>
        <w:rPr>
          <w:lang w:val="fr-FR"/>
        </w:rPr>
        <w:t>’</w:t>
      </w:r>
      <w:r w:rsidRPr="00D27A64">
        <w:rPr>
          <w:lang w:val="fr-FR"/>
        </w:rPr>
        <w:t>il a toujours l</w:t>
      </w:r>
      <w:r>
        <w:rPr>
          <w:lang w:val="fr-FR"/>
        </w:rPr>
        <w:t>’</w:t>
      </w:r>
      <w:r w:rsidRPr="00D27A64">
        <w:rPr>
          <w:lang w:val="fr-FR"/>
        </w:rPr>
        <w:t>intention de devenir partie au traité</w:t>
      </w:r>
      <w:r w:rsidRPr="00F22925">
        <w:rPr>
          <w:lang w:val="fr-FR"/>
        </w:rPr>
        <w:t>.</w:t>
      </w:r>
      <w:r w:rsidRPr="00D27A64">
        <w:rPr>
          <w:lang w:val="fr-FR"/>
        </w:rPr>
        <w:t xml:space="preserve"> Autre cas de figure, face à une violation substantielle, un État ou une organisation internationale peut faire cesser ou suspendre l</w:t>
      </w:r>
      <w:r>
        <w:rPr>
          <w:lang w:val="fr-FR"/>
        </w:rPr>
        <w:t>’</w:t>
      </w:r>
      <w:r w:rsidRPr="00D27A64">
        <w:rPr>
          <w:lang w:val="fr-FR"/>
        </w:rPr>
        <w:t>application provisoire uniquement à l</w:t>
      </w:r>
      <w:r>
        <w:rPr>
          <w:lang w:val="fr-FR"/>
        </w:rPr>
        <w:t>’</w:t>
      </w:r>
      <w:r w:rsidRPr="00D27A64">
        <w:rPr>
          <w:lang w:val="fr-FR"/>
        </w:rPr>
        <w:t>égard de l</w:t>
      </w:r>
      <w:r>
        <w:rPr>
          <w:lang w:val="fr-FR"/>
        </w:rPr>
        <w:t>’</w:t>
      </w:r>
      <w:r w:rsidRPr="00D27A64">
        <w:rPr>
          <w:lang w:val="fr-FR"/>
        </w:rPr>
        <w:t>État ou de l</w:t>
      </w:r>
      <w:r>
        <w:rPr>
          <w:lang w:val="fr-FR"/>
        </w:rPr>
        <w:t>’</w:t>
      </w:r>
      <w:r w:rsidRPr="00D27A64">
        <w:rPr>
          <w:lang w:val="fr-FR"/>
        </w:rPr>
        <w:t>organisation internationale ayant commis la violation et continuer d</w:t>
      </w:r>
      <w:r>
        <w:rPr>
          <w:lang w:val="fr-FR"/>
        </w:rPr>
        <w:t>’</w:t>
      </w:r>
      <w:r w:rsidRPr="00D27A64">
        <w:rPr>
          <w:lang w:val="fr-FR"/>
        </w:rPr>
        <w:t>appliquer le traité provisoirement à l</w:t>
      </w:r>
      <w:r>
        <w:rPr>
          <w:lang w:val="fr-FR"/>
        </w:rPr>
        <w:t>’</w:t>
      </w:r>
      <w:r w:rsidRPr="00D27A64">
        <w:rPr>
          <w:lang w:val="fr-FR"/>
        </w:rPr>
        <w:t>égard des autres parties</w:t>
      </w:r>
      <w:r w:rsidRPr="00F22925">
        <w:rPr>
          <w:lang w:val="fr-FR"/>
        </w:rPr>
        <w:t>.</w:t>
      </w:r>
      <w:r w:rsidRPr="00D27A64">
        <w:rPr>
          <w:lang w:val="fr-FR"/>
        </w:rPr>
        <w:t xml:space="preserve"> Il se peut aussi que l</w:t>
      </w:r>
      <w:r>
        <w:rPr>
          <w:lang w:val="fr-FR"/>
        </w:rPr>
        <w:t>’</w:t>
      </w:r>
      <w:r w:rsidRPr="00D27A64">
        <w:rPr>
          <w:lang w:val="fr-FR"/>
        </w:rPr>
        <w:t>État ou l</w:t>
      </w:r>
      <w:r>
        <w:rPr>
          <w:lang w:val="fr-FR"/>
        </w:rPr>
        <w:t>’</w:t>
      </w:r>
      <w:r w:rsidRPr="00D27A64">
        <w:rPr>
          <w:lang w:val="fr-FR"/>
        </w:rPr>
        <w:t xml:space="preserve">organisation internationale qui a subi les conséquences de la </w:t>
      </w:r>
      <w:r w:rsidRPr="00D27A64">
        <w:rPr>
          <w:lang w:val="fr-FR"/>
        </w:rPr>
        <w:lastRenderedPageBreak/>
        <w:t>violation substantielle recommence à appliquer le traité provisoirement après avoir obtenu une réparation adéquate</w:t>
      </w:r>
      <w:r w:rsidRPr="00F22925">
        <w:rPr>
          <w:lang w:val="fr-FR"/>
        </w:rPr>
        <w:t>.</w:t>
      </w:r>
      <w:r w:rsidRPr="00D27A64">
        <w:rPr>
          <w:lang w:val="fr-FR"/>
        </w:rPr>
        <w:t xml:space="preserve"> </w:t>
      </w:r>
    </w:p>
    <w:p w14:paraId="2020DA2D" w14:textId="77777777" w:rsidR="0043175D" w:rsidRPr="00D27A64" w:rsidRDefault="0043175D" w:rsidP="0043175D">
      <w:pPr>
        <w:pStyle w:val="SingleTxtG"/>
        <w:rPr>
          <w:lang w:val="fr-FR"/>
        </w:rPr>
      </w:pPr>
      <w:r w:rsidRPr="00D27A64">
        <w:rPr>
          <w:lang w:val="fr-FR"/>
        </w:rPr>
        <w:t>9)</w:t>
      </w:r>
      <w:r w:rsidRPr="00D27A64">
        <w:rPr>
          <w:lang w:val="fr-FR"/>
        </w:rPr>
        <w:tab/>
        <w:t xml:space="preserve">Concernant le </w:t>
      </w:r>
      <w:r>
        <w:rPr>
          <w:lang w:val="fr-FR"/>
        </w:rPr>
        <w:t xml:space="preserve">membre de phrase </w:t>
      </w:r>
      <w:r w:rsidRPr="00D27A64">
        <w:rPr>
          <w:lang w:val="fr-FR"/>
        </w:rPr>
        <w:t>introductif « [à] moins que le traité en dispose autrement ou qu</w:t>
      </w:r>
      <w:r>
        <w:rPr>
          <w:lang w:val="fr-FR"/>
        </w:rPr>
        <w:t>’</w:t>
      </w:r>
      <w:r w:rsidRPr="00D27A64">
        <w:rPr>
          <w:lang w:val="fr-FR"/>
        </w:rPr>
        <w:t>il en soit autrement convenu », les mêmes considérations que celles formulées dans le contexte du paragraphe 2 s</w:t>
      </w:r>
      <w:r>
        <w:rPr>
          <w:lang w:val="fr-FR"/>
        </w:rPr>
        <w:t>’</w:t>
      </w:r>
      <w:r w:rsidRPr="00D27A64">
        <w:rPr>
          <w:lang w:val="fr-FR"/>
        </w:rPr>
        <w:t>appliquent au paragraphe 3</w:t>
      </w:r>
      <w:r w:rsidRPr="00F22925">
        <w:rPr>
          <w:lang w:val="fr-FR"/>
        </w:rPr>
        <w:t>.</w:t>
      </w:r>
      <w:r w:rsidRPr="00D27A64">
        <w:rPr>
          <w:lang w:val="fr-FR"/>
        </w:rPr>
        <w:t xml:space="preserve"> </w:t>
      </w:r>
      <w:r>
        <w:rPr>
          <w:lang w:val="fr-FR"/>
        </w:rPr>
        <w:t xml:space="preserve">La formule </w:t>
      </w:r>
      <w:r w:rsidRPr="00D27A64">
        <w:rPr>
          <w:lang w:val="fr-FR"/>
        </w:rPr>
        <w:t xml:space="preserve">« peut invoquer » </w:t>
      </w:r>
      <w:r>
        <w:rPr>
          <w:lang w:val="fr-FR"/>
        </w:rPr>
        <w:t>vient</w:t>
      </w:r>
      <w:r w:rsidRPr="00D27A64">
        <w:rPr>
          <w:lang w:val="fr-FR"/>
        </w:rPr>
        <w:t xml:space="preserve"> réaffirmer le caractère facultatif de </w:t>
      </w:r>
      <w:r>
        <w:rPr>
          <w:lang w:val="fr-FR"/>
        </w:rPr>
        <w:t>l’invocation</w:t>
      </w:r>
      <w:r w:rsidRPr="00D27A64">
        <w:rPr>
          <w:lang w:val="fr-FR"/>
        </w:rPr>
        <w:t xml:space="preserve"> d</w:t>
      </w:r>
      <w:r>
        <w:rPr>
          <w:lang w:val="fr-FR"/>
        </w:rPr>
        <w:t>’</w:t>
      </w:r>
      <w:r w:rsidRPr="00D27A64">
        <w:rPr>
          <w:lang w:val="fr-FR"/>
        </w:rPr>
        <w:t>autres motifs pour mettre fin à l</w:t>
      </w:r>
      <w:r>
        <w:rPr>
          <w:lang w:val="fr-FR"/>
        </w:rPr>
        <w:t>’</w:t>
      </w:r>
      <w:r w:rsidRPr="00D27A64">
        <w:rPr>
          <w:lang w:val="fr-FR"/>
        </w:rPr>
        <w:t>application à titre provisoire tout en exprimant la nécessité de préciser les motifs en question</w:t>
      </w:r>
      <w:r w:rsidRPr="00F22925">
        <w:rPr>
          <w:lang w:val="fr-FR"/>
        </w:rPr>
        <w:t>.</w:t>
      </w:r>
      <w:r w:rsidRPr="00D27A64">
        <w:rPr>
          <w:lang w:val="fr-FR"/>
        </w:rPr>
        <w:t xml:space="preserve"> De surcroît, l</w:t>
      </w:r>
      <w:r>
        <w:rPr>
          <w:lang w:val="fr-FR"/>
        </w:rPr>
        <w:t>’</w:t>
      </w:r>
      <w:r w:rsidRPr="00D27A64">
        <w:rPr>
          <w:lang w:val="fr-FR"/>
        </w:rPr>
        <w:t>État ou l</w:t>
      </w:r>
      <w:r>
        <w:rPr>
          <w:lang w:val="fr-FR"/>
        </w:rPr>
        <w:t>’</w:t>
      </w:r>
      <w:r w:rsidRPr="00D27A64">
        <w:rPr>
          <w:lang w:val="fr-FR"/>
        </w:rPr>
        <w:t>organisation internationale qui invoque un autre motif est tenu (« </w:t>
      </w:r>
      <w:proofErr w:type="spellStart"/>
      <w:r w:rsidRPr="00D27A64">
        <w:rPr>
          <w:lang w:val="fr-FR"/>
        </w:rPr>
        <w:t>shall</w:t>
      </w:r>
      <w:proofErr w:type="spellEnd"/>
      <w:r w:rsidRPr="00D27A64">
        <w:rPr>
          <w:lang w:val="fr-FR"/>
        </w:rPr>
        <w:t> », en anglais) de le notifier aux autres États et organisations internationales concernés au sens o</w:t>
      </w:r>
      <w:r>
        <w:rPr>
          <w:lang w:val="fr-FR"/>
        </w:rPr>
        <w:t>ù</w:t>
      </w:r>
      <w:r w:rsidRPr="00D27A64">
        <w:rPr>
          <w:lang w:val="fr-FR"/>
        </w:rPr>
        <w:t xml:space="preserve"> ces termes sont entendus dans le </w:t>
      </w:r>
      <w:r>
        <w:rPr>
          <w:lang w:val="fr-FR"/>
        </w:rPr>
        <w:t>présent Guide</w:t>
      </w:r>
      <w:r w:rsidRPr="00F22925">
        <w:rPr>
          <w:lang w:val="fr-FR"/>
        </w:rPr>
        <w:t>.</w:t>
      </w:r>
      <w:r w:rsidRPr="00D27A64">
        <w:rPr>
          <w:lang w:val="fr-FR"/>
        </w:rPr>
        <w:t xml:space="preserve"> Étant donné la diversité des circonstances dans lesquelles il peut être mis fin à l</w:t>
      </w:r>
      <w:r>
        <w:rPr>
          <w:lang w:val="fr-FR"/>
        </w:rPr>
        <w:t>’</w:t>
      </w:r>
      <w:r w:rsidRPr="00D27A64">
        <w:rPr>
          <w:lang w:val="fr-FR"/>
        </w:rPr>
        <w:t>application à titre provisoire, il ne serait pas possible de fixer une règle générale concernant le délai de notification</w:t>
      </w:r>
      <w:r w:rsidRPr="00F22925">
        <w:rPr>
          <w:lang w:val="fr-FR"/>
        </w:rPr>
        <w:t>.</w:t>
      </w:r>
      <w:r w:rsidRPr="00D27A64">
        <w:rPr>
          <w:lang w:val="fr-FR"/>
        </w:rPr>
        <w:t xml:space="preserve"> La cessation de l</w:t>
      </w:r>
      <w:r>
        <w:rPr>
          <w:lang w:val="fr-FR"/>
        </w:rPr>
        <w:t>’</w:t>
      </w:r>
      <w:r w:rsidRPr="00D27A64">
        <w:rPr>
          <w:lang w:val="fr-FR"/>
        </w:rPr>
        <w:t>application provisoire de certains traités, par exemple ceux qui portent création d</w:t>
      </w:r>
      <w:r>
        <w:rPr>
          <w:lang w:val="fr-FR"/>
        </w:rPr>
        <w:t>’</w:t>
      </w:r>
      <w:r w:rsidRPr="00D27A64">
        <w:rPr>
          <w:lang w:val="fr-FR"/>
        </w:rPr>
        <w:t>un mécanisme, doit néanmoins être notifiée suffisamment à l</w:t>
      </w:r>
      <w:r>
        <w:rPr>
          <w:lang w:val="fr-FR"/>
        </w:rPr>
        <w:t>’</w:t>
      </w:r>
      <w:r w:rsidRPr="00D27A64">
        <w:rPr>
          <w:lang w:val="fr-FR"/>
        </w:rPr>
        <w:t>avance</w:t>
      </w:r>
      <w:r w:rsidRPr="00F22925">
        <w:rPr>
          <w:lang w:val="fr-FR"/>
        </w:rPr>
        <w:t>.</w:t>
      </w:r>
      <w:r w:rsidRPr="00D27A64">
        <w:rPr>
          <w:lang w:val="fr-FR"/>
        </w:rPr>
        <w:t xml:space="preserve"> Dans certains cas, elle peut intervenir immédiatement après réception de la notification, comme il est indiqué au paragraphe 7 du présent commentaire</w:t>
      </w:r>
      <w:r w:rsidRPr="00F22925">
        <w:rPr>
          <w:lang w:val="fr-FR"/>
        </w:rPr>
        <w:t>.</w:t>
      </w:r>
      <w:r w:rsidRPr="00D27A64">
        <w:rPr>
          <w:lang w:val="fr-FR"/>
        </w:rPr>
        <w:t xml:space="preserve"> </w:t>
      </w:r>
    </w:p>
    <w:p w14:paraId="275EC684" w14:textId="77777777" w:rsidR="0043175D" w:rsidRDefault="0043175D" w:rsidP="0043175D">
      <w:pPr>
        <w:pStyle w:val="SingleTxtG"/>
        <w:rPr>
          <w:lang w:val="fr-FR"/>
        </w:rPr>
      </w:pPr>
      <w:r w:rsidRPr="00D27A64">
        <w:rPr>
          <w:lang w:val="fr-FR"/>
        </w:rPr>
        <w:t>10)</w:t>
      </w:r>
      <w:r w:rsidRPr="00D27A64">
        <w:rPr>
          <w:lang w:val="fr-FR"/>
        </w:rPr>
        <w:tab/>
        <w:t>Les prescriptions procédurales relatives à l</w:t>
      </w:r>
      <w:r>
        <w:rPr>
          <w:lang w:val="fr-FR"/>
        </w:rPr>
        <w:t>’</w:t>
      </w:r>
      <w:r w:rsidRPr="00D27A64">
        <w:rPr>
          <w:lang w:val="fr-FR"/>
        </w:rPr>
        <w:t>extinction des traités déjà en vigueur qui sont énoncées dans la Convention de Vienne de 1969 ne s</w:t>
      </w:r>
      <w:r>
        <w:rPr>
          <w:lang w:val="fr-FR"/>
        </w:rPr>
        <w:t>’</w:t>
      </w:r>
      <w:r w:rsidRPr="00D27A64">
        <w:rPr>
          <w:lang w:val="fr-FR"/>
        </w:rPr>
        <w:t>appliquent pas généralement à la cessation de l</w:t>
      </w:r>
      <w:r>
        <w:rPr>
          <w:lang w:val="fr-FR"/>
        </w:rPr>
        <w:t>’</w:t>
      </w:r>
      <w:r w:rsidRPr="00D27A64">
        <w:rPr>
          <w:lang w:val="fr-FR"/>
        </w:rPr>
        <w:t>application à titre provisoire</w:t>
      </w:r>
      <w:r w:rsidRPr="00F22830">
        <w:rPr>
          <w:rStyle w:val="FootnoteReference"/>
        </w:rPr>
        <w:footnoteReference w:id="44"/>
      </w:r>
      <w:r w:rsidRPr="00F22925">
        <w:rPr>
          <w:lang w:val="fr-FR"/>
        </w:rPr>
        <w:t>.</w:t>
      </w:r>
      <w:r w:rsidRPr="00D27A64">
        <w:rPr>
          <w:lang w:val="fr-FR"/>
        </w:rPr>
        <w:t xml:space="preserve"> Toutefois, à des fins de sécurité juridique, le paragraphe 4 du projet de directive contient une clause de sauvegarde dont l</w:t>
      </w:r>
      <w:r>
        <w:rPr>
          <w:lang w:val="fr-FR"/>
        </w:rPr>
        <w:t>’</w:t>
      </w:r>
      <w:r w:rsidRPr="00D27A64">
        <w:rPr>
          <w:lang w:val="fr-FR"/>
        </w:rPr>
        <w:t>objectif est de réaffirmer que, en principe, la cessation de l</w:t>
      </w:r>
      <w:r>
        <w:rPr>
          <w:lang w:val="fr-FR"/>
        </w:rPr>
        <w:t>’</w:t>
      </w:r>
      <w:r w:rsidRPr="00D27A64">
        <w:rPr>
          <w:lang w:val="fr-FR"/>
        </w:rPr>
        <w:t>application à titre provisoire d</w:t>
      </w:r>
      <w:r>
        <w:rPr>
          <w:lang w:val="fr-FR"/>
        </w:rPr>
        <w:t>’</w:t>
      </w:r>
      <w:r w:rsidRPr="00D27A64">
        <w:rPr>
          <w:lang w:val="fr-FR"/>
        </w:rPr>
        <w:t>un traité ne porte atteinte à aucun droit, aucune obligation ni aucune situation juridique créés par l</w:t>
      </w:r>
      <w:r>
        <w:rPr>
          <w:lang w:val="fr-FR"/>
        </w:rPr>
        <w:t>’</w:t>
      </w:r>
      <w:r w:rsidRPr="00D27A64">
        <w:rPr>
          <w:lang w:val="fr-FR"/>
        </w:rPr>
        <w:t>exécution de ladite application à titre provisoire avant qu</w:t>
      </w:r>
      <w:r>
        <w:rPr>
          <w:lang w:val="fr-FR"/>
        </w:rPr>
        <w:t>’</w:t>
      </w:r>
      <w:r w:rsidRPr="00D27A64">
        <w:rPr>
          <w:lang w:val="fr-FR"/>
        </w:rPr>
        <w:t>elle ait pris fin</w:t>
      </w:r>
      <w:r w:rsidRPr="00F22925">
        <w:rPr>
          <w:lang w:val="fr-FR"/>
        </w:rPr>
        <w:t>.</w:t>
      </w:r>
      <w:r w:rsidRPr="00D27A64">
        <w:rPr>
          <w:lang w:val="fr-FR"/>
        </w:rPr>
        <w:t xml:space="preserve"> Cette disposition est calquée sur le paragraphe 1 b) de l</w:t>
      </w:r>
      <w:r>
        <w:rPr>
          <w:lang w:val="fr-FR"/>
        </w:rPr>
        <w:t>’</w:t>
      </w:r>
      <w:r w:rsidRPr="00D27A64">
        <w:rPr>
          <w:lang w:val="fr-FR"/>
        </w:rPr>
        <w:t>article 70 de la Convention de Vienne de 1969</w:t>
      </w:r>
      <w:r w:rsidRPr="00F22925">
        <w:rPr>
          <w:lang w:val="fr-FR"/>
        </w:rPr>
        <w:t>.</w:t>
      </w:r>
    </w:p>
    <w:p w14:paraId="79F28B71" w14:textId="77777777" w:rsidR="0043175D" w:rsidRPr="00267E87" w:rsidRDefault="0043175D" w:rsidP="0043175D">
      <w:pPr>
        <w:pStyle w:val="SingleTxtG"/>
        <w:spacing w:line="276" w:lineRule="auto"/>
        <w:ind w:left="1701"/>
        <w:jc w:val="left"/>
        <w:rPr>
          <w:b/>
          <w:lang w:val="fr-FR"/>
        </w:rPr>
      </w:pPr>
      <w:r w:rsidRPr="00267E87">
        <w:rPr>
          <w:b/>
          <w:lang w:val="fr-FR"/>
        </w:rPr>
        <w:t>Directive 10</w:t>
      </w:r>
      <w:r w:rsidRPr="00267E87">
        <w:rPr>
          <w:b/>
          <w:lang w:val="fr-FR"/>
        </w:rPr>
        <w:br/>
        <w:t>Droit interne des États, règles des organisations internationales et respect des</w:t>
      </w:r>
      <w:r>
        <w:rPr>
          <w:b/>
          <w:lang w:val="fr-FR"/>
        </w:rPr>
        <w:t> </w:t>
      </w:r>
      <w:r w:rsidRPr="00267E87">
        <w:rPr>
          <w:b/>
          <w:lang w:val="fr-FR"/>
        </w:rPr>
        <w:t>traités appliqués à titre provisoire</w:t>
      </w:r>
    </w:p>
    <w:p w14:paraId="68DC77EB" w14:textId="77777777" w:rsidR="0043175D" w:rsidRPr="00267E87" w:rsidRDefault="0043175D" w:rsidP="0043175D">
      <w:pPr>
        <w:pStyle w:val="SingleTxtG"/>
        <w:spacing w:line="276" w:lineRule="auto"/>
        <w:ind w:left="1701"/>
        <w:rPr>
          <w:lang w:val="fr-FR"/>
        </w:rPr>
      </w:pPr>
      <w:r w:rsidRPr="00267E87">
        <w:rPr>
          <w:lang w:val="fr-FR"/>
        </w:rPr>
        <w:t>1</w:t>
      </w:r>
      <w:r w:rsidRPr="00F22925">
        <w:rPr>
          <w:lang w:val="fr-FR"/>
        </w:rPr>
        <w:t>.</w:t>
      </w:r>
      <w:r w:rsidRPr="00267E87">
        <w:rPr>
          <w:lang w:val="fr-FR"/>
        </w:rPr>
        <w:tab/>
        <w:t>Un État qui a convenu de l</w:t>
      </w:r>
      <w:r>
        <w:rPr>
          <w:lang w:val="fr-FR"/>
        </w:rPr>
        <w:t>’</w:t>
      </w:r>
      <w:r w:rsidRPr="00267E87">
        <w:rPr>
          <w:lang w:val="fr-FR"/>
        </w:rPr>
        <w:t>application à titre provisoire d</w:t>
      </w:r>
      <w:r>
        <w:rPr>
          <w:lang w:val="fr-FR"/>
        </w:rPr>
        <w:t>’</w:t>
      </w:r>
      <w:r w:rsidRPr="00267E87">
        <w:rPr>
          <w:lang w:val="fr-FR"/>
        </w:rPr>
        <w:t>un traité ou d</w:t>
      </w:r>
      <w:r>
        <w:rPr>
          <w:lang w:val="fr-FR"/>
        </w:rPr>
        <w:t>’</w:t>
      </w:r>
      <w:r w:rsidRPr="00267E87">
        <w:rPr>
          <w:lang w:val="fr-FR"/>
        </w:rPr>
        <w:t>une partie d</w:t>
      </w:r>
      <w:r>
        <w:rPr>
          <w:lang w:val="fr-FR"/>
        </w:rPr>
        <w:t>’</w:t>
      </w:r>
      <w:r w:rsidRPr="00267E87">
        <w:rPr>
          <w:lang w:val="fr-FR"/>
        </w:rPr>
        <w:t>un traité ne peut invoquer les dispositions de son droit interne comme justifiant la non‑exécution d</w:t>
      </w:r>
      <w:r>
        <w:rPr>
          <w:lang w:val="fr-FR"/>
        </w:rPr>
        <w:t>’</w:t>
      </w:r>
      <w:r w:rsidRPr="00267E87">
        <w:rPr>
          <w:lang w:val="fr-FR"/>
        </w:rPr>
        <w:t>une obligation découlant de ladite application à titre provisoire</w:t>
      </w:r>
      <w:r w:rsidRPr="00F22925">
        <w:rPr>
          <w:lang w:val="fr-FR"/>
        </w:rPr>
        <w:t>.</w:t>
      </w:r>
      <w:r w:rsidRPr="00267E87">
        <w:rPr>
          <w:lang w:val="fr-FR"/>
        </w:rPr>
        <w:t xml:space="preserve"> </w:t>
      </w:r>
    </w:p>
    <w:p w14:paraId="6CF1549A" w14:textId="77777777" w:rsidR="0043175D" w:rsidRPr="00267E87" w:rsidRDefault="0043175D" w:rsidP="0043175D">
      <w:pPr>
        <w:pStyle w:val="SingleTxtG"/>
        <w:spacing w:line="276" w:lineRule="auto"/>
        <w:ind w:left="1701"/>
        <w:rPr>
          <w:lang w:val="fr-FR"/>
        </w:rPr>
      </w:pPr>
      <w:r w:rsidRPr="00267E87">
        <w:rPr>
          <w:lang w:val="fr-FR"/>
        </w:rPr>
        <w:t>2</w:t>
      </w:r>
      <w:r w:rsidRPr="00F22925">
        <w:rPr>
          <w:lang w:val="fr-FR"/>
        </w:rPr>
        <w:t>.</w:t>
      </w:r>
      <w:r w:rsidRPr="00267E87">
        <w:rPr>
          <w:lang w:val="fr-FR"/>
        </w:rPr>
        <w:tab/>
        <w:t>Une organisation internationale qui a convenu de l</w:t>
      </w:r>
      <w:r>
        <w:rPr>
          <w:lang w:val="fr-FR"/>
        </w:rPr>
        <w:t>’</w:t>
      </w:r>
      <w:r w:rsidRPr="00267E87">
        <w:rPr>
          <w:lang w:val="fr-FR"/>
        </w:rPr>
        <w:t>application à titre provisoire d</w:t>
      </w:r>
      <w:r>
        <w:rPr>
          <w:lang w:val="fr-FR"/>
        </w:rPr>
        <w:t>’</w:t>
      </w:r>
      <w:r w:rsidRPr="00267E87">
        <w:rPr>
          <w:lang w:val="fr-FR"/>
        </w:rPr>
        <w:t>un traité ou d</w:t>
      </w:r>
      <w:r>
        <w:rPr>
          <w:lang w:val="fr-FR"/>
        </w:rPr>
        <w:t>’</w:t>
      </w:r>
      <w:r w:rsidRPr="00267E87">
        <w:rPr>
          <w:lang w:val="fr-FR"/>
        </w:rPr>
        <w:t>une partie d</w:t>
      </w:r>
      <w:r>
        <w:rPr>
          <w:lang w:val="fr-FR"/>
        </w:rPr>
        <w:t>’</w:t>
      </w:r>
      <w:r w:rsidRPr="00267E87">
        <w:rPr>
          <w:lang w:val="fr-FR"/>
        </w:rPr>
        <w:t>un traité ne peut invoquer les règles de l</w:t>
      </w:r>
      <w:r>
        <w:rPr>
          <w:lang w:val="fr-FR"/>
        </w:rPr>
        <w:t>’</w:t>
      </w:r>
      <w:r w:rsidRPr="00267E87">
        <w:rPr>
          <w:lang w:val="fr-FR"/>
        </w:rPr>
        <w:t>organisation comme justifiant la non‑exécution d</w:t>
      </w:r>
      <w:r>
        <w:rPr>
          <w:lang w:val="fr-FR"/>
        </w:rPr>
        <w:t>’</w:t>
      </w:r>
      <w:r w:rsidRPr="00267E87">
        <w:rPr>
          <w:lang w:val="fr-FR"/>
        </w:rPr>
        <w:t>une obligation découlant de ladite application à titre provisoire</w:t>
      </w:r>
      <w:r w:rsidRPr="00F22925">
        <w:rPr>
          <w:lang w:val="fr-FR"/>
        </w:rPr>
        <w:t>.</w:t>
      </w:r>
      <w:r w:rsidRPr="00267E87">
        <w:rPr>
          <w:lang w:val="fr-FR"/>
        </w:rPr>
        <w:t xml:space="preserve"> </w:t>
      </w:r>
    </w:p>
    <w:p w14:paraId="014776CF" w14:textId="77777777" w:rsidR="0043175D" w:rsidRPr="00267E87" w:rsidRDefault="0043175D" w:rsidP="0043175D">
      <w:pPr>
        <w:pStyle w:val="H23G"/>
        <w:spacing w:line="276" w:lineRule="auto"/>
        <w:rPr>
          <w:lang w:val="fr-FR"/>
        </w:rPr>
      </w:pPr>
      <w:r w:rsidRPr="00267E87">
        <w:rPr>
          <w:lang w:val="fr-FR"/>
        </w:rPr>
        <w:tab/>
      </w:r>
      <w:r w:rsidRPr="00267E87">
        <w:rPr>
          <w:lang w:val="fr-FR"/>
        </w:rPr>
        <w:tab/>
      </w:r>
      <w:bookmarkStart w:id="18" w:name="_Toc522896363"/>
      <w:bookmarkStart w:id="19" w:name="_Toc523727673"/>
      <w:r w:rsidRPr="00267E87">
        <w:rPr>
          <w:lang w:val="fr-FR"/>
        </w:rPr>
        <w:t>Commenta</w:t>
      </w:r>
      <w:bookmarkEnd w:id="18"/>
      <w:bookmarkEnd w:id="19"/>
      <w:r>
        <w:rPr>
          <w:lang w:val="fr-FR"/>
        </w:rPr>
        <w:t>ire</w:t>
      </w:r>
    </w:p>
    <w:p w14:paraId="2DA5952E" w14:textId="77777777" w:rsidR="0043175D" w:rsidRDefault="0043175D" w:rsidP="0043175D">
      <w:pPr>
        <w:pStyle w:val="SingleTxtG"/>
        <w:rPr>
          <w:lang w:val="fr-FR"/>
        </w:rPr>
      </w:pPr>
      <w:r w:rsidRPr="00267E87">
        <w:rPr>
          <w:lang w:val="fr-FR"/>
        </w:rPr>
        <w:t>1)</w:t>
      </w:r>
      <w:r w:rsidRPr="00267E87">
        <w:rPr>
          <w:lang w:val="fr-FR"/>
        </w:rPr>
        <w:tab/>
      </w:r>
      <w:r w:rsidRPr="00D057C7">
        <w:rPr>
          <w:lang w:val="fr-FR"/>
        </w:rPr>
        <w:t xml:space="preserve">Le projet de directive 10 </w:t>
      </w:r>
      <w:r>
        <w:rPr>
          <w:lang w:val="fr-FR"/>
        </w:rPr>
        <w:t>concerne le</w:t>
      </w:r>
      <w:r w:rsidRPr="00D057C7">
        <w:rPr>
          <w:lang w:val="fr-FR"/>
        </w:rPr>
        <w:t xml:space="preserve"> respect des traités appliqués à titre provisoire et leur relation avec le droit interne des États et les règles des organisations internationales</w:t>
      </w:r>
      <w:r w:rsidRPr="00F22925">
        <w:rPr>
          <w:lang w:val="fr-FR"/>
        </w:rPr>
        <w:t>.</w:t>
      </w:r>
      <w:r>
        <w:rPr>
          <w:lang w:val="fr-FR"/>
        </w:rPr>
        <w:t xml:space="preserve"> Plus</w:t>
      </w:r>
      <w:r w:rsidRPr="00D057C7">
        <w:rPr>
          <w:lang w:val="fr-FR"/>
        </w:rPr>
        <w:t xml:space="preserve"> précisément</w:t>
      </w:r>
      <w:r>
        <w:rPr>
          <w:lang w:val="fr-FR"/>
        </w:rPr>
        <w:t>, il porte</w:t>
      </w:r>
      <w:r w:rsidRPr="00D057C7">
        <w:rPr>
          <w:lang w:val="fr-FR"/>
        </w:rPr>
        <w:t xml:space="preserve"> sur l</w:t>
      </w:r>
      <w:r>
        <w:rPr>
          <w:lang w:val="fr-FR"/>
        </w:rPr>
        <w:t>’</w:t>
      </w:r>
      <w:r w:rsidRPr="00D057C7">
        <w:rPr>
          <w:lang w:val="fr-FR"/>
        </w:rPr>
        <w:t>invocation du droit interne des États ou, dans le cas des organisations internationales, des règles de l</w:t>
      </w:r>
      <w:r>
        <w:rPr>
          <w:lang w:val="fr-FR"/>
        </w:rPr>
        <w:t>’</w:t>
      </w:r>
      <w:r w:rsidRPr="00D057C7">
        <w:rPr>
          <w:lang w:val="fr-FR"/>
        </w:rPr>
        <w:t>organisation</w:t>
      </w:r>
      <w:r>
        <w:rPr>
          <w:lang w:val="fr-FR"/>
        </w:rPr>
        <w:t xml:space="preserve"> concernée</w:t>
      </w:r>
      <w:r w:rsidRPr="00D057C7">
        <w:rPr>
          <w:lang w:val="fr-FR"/>
        </w:rPr>
        <w:t xml:space="preserve">, </w:t>
      </w:r>
      <w:r>
        <w:rPr>
          <w:lang w:val="fr-FR"/>
        </w:rPr>
        <w:t>pour justifier</w:t>
      </w:r>
      <w:r w:rsidRPr="00D057C7">
        <w:rPr>
          <w:lang w:val="fr-FR"/>
        </w:rPr>
        <w:t xml:space="preserve"> la non-exécution d</w:t>
      </w:r>
      <w:r>
        <w:rPr>
          <w:lang w:val="fr-FR"/>
        </w:rPr>
        <w:t>’</w:t>
      </w:r>
      <w:r w:rsidRPr="00D057C7">
        <w:rPr>
          <w:lang w:val="fr-FR"/>
        </w:rPr>
        <w:t>une obligation découlant de l</w:t>
      </w:r>
      <w:r>
        <w:rPr>
          <w:lang w:val="fr-FR"/>
        </w:rPr>
        <w:t>’</w:t>
      </w:r>
      <w:r w:rsidRPr="00D057C7">
        <w:rPr>
          <w:lang w:val="fr-FR"/>
        </w:rPr>
        <w:t>application à titre provisoire d</w:t>
      </w:r>
      <w:r>
        <w:rPr>
          <w:lang w:val="fr-FR"/>
        </w:rPr>
        <w:t>’</w:t>
      </w:r>
      <w:r w:rsidRPr="00D057C7">
        <w:rPr>
          <w:lang w:val="fr-FR"/>
        </w:rPr>
        <w:t>un traité ou d</w:t>
      </w:r>
      <w:r>
        <w:rPr>
          <w:lang w:val="fr-FR"/>
        </w:rPr>
        <w:t>’</w:t>
      </w:r>
      <w:r w:rsidRPr="00D057C7">
        <w:rPr>
          <w:lang w:val="fr-FR"/>
        </w:rPr>
        <w:t>une partie d</w:t>
      </w:r>
      <w:r>
        <w:rPr>
          <w:lang w:val="fr-FR"/>
        </w:rPr>
        <w:t>’</w:t>
      </w:r>
      <w:r w:rsidRPr="00D057C7">
        <w:rPr>
          <w:lang w:val="fr-FR"/>
        </w:rPr>
        <w:t>un traité</w:t>
      </w:r>
      <w:r w:rsidRPr="00F22925">
        <w:rPr>
          <w:lang w:val="fr-FR"/>
        </w:rPr>
        <w:t>.</w:t>
      </w:r>
      <w:r>
        <w:rPr>
          <w:lang w:val="fr-FR"/>
        </w:rPr>
        <w:t xml:space="preserve"> Le</w:t>
      </w:r>
      <w:r w:rsidRPr="00D057C7">
        <w:rPr>
          <w:lang w:val="fr-FR"/>
        </w:rPr>
        <w:t xml:space="preserve"> premier paragraphe est consacré à la règle applicable aux États</w:t>
      </w:r>
      <w:r>
        <w:rPr>
          <w:lang w:val="fr-FR"/>
        </w:rPr>
        <w:t>,</w:t>
      </w:r>
      <w:r w:rsidRPr="00D057C7">
        <w:rPr>
          <w:lang w:val="fr-FR"/>
        </w:rPr>
        <w:t xml:space="preserve"> et le second à la règle applicable aux organisations internationales</w:t>
      </w:r>
      <w:r w:rsidRPr="00F22925">
        <w:rPr>
          <w:lang w:val="fr-FR"/>
        </w:rPr>
        <w:t>.</w:t>
      </w:r>
    </w:p>
    <w:p w14:paraId="4458BF1B" w14:textId="77777777" w:rsidR="0043175D" w:rsidRDefault="0043175D" w:rsidP="0043175D">
      <w:pPr>
        <w:pStyle w:val="SingleTxtG"/>
        <w:rPr>
          <w:lang w:val="fr-FR"/>
        </w:rPr>
      </w:pPr>
      <w:r w:rsidRPr="00267E87">
        <w:rPr>
          <w:lang w:val="fr-FR"/>
        </w:rPr>
        <w:lastRenderedPageBreak/>
        <w:t>2)</w:t>
      </w:r>
      <w:r w:rsidRPr="00267E87">
        <w:rPr>
          <w:lang w:val="fr-FR"/>
        </w:rPr>
        <w:tab/>
      </w:r>
      <w:r w:rsidRPr="00D057C7">
        <w:rPr>
          <w:lang w:val="fr-FR"/>
        </w:rPr>
        <w:t xml:space="preserve">Cette disposition </w:t>
      </w:r>
      <w:r>
        <w:rPr>
          <w:lang w:val="fr-FR"/>
        </w:rPr>
        <w:t>a été formulée suivant le</w:t>
      </w:r>
      <w:r w:rsidRPr="00D057C7">
        <w:rPr>
          <w:lang w:val="fr-FR"/>
        </w:rPr>
        <w:t xml:space="preserve"> libellé de l</w:t>
      </w:r>
      <w:r>
        <w:rPr>
          <w:lang w:val="fr-FR"/>
        </w:rPr>
        <w:t>’</w:t>
      </w:r>
      <w:r w:rsidRPr="00D057C7">
        <w:rPr>
          <w:lang w:val="fr-FR"/>
        </w:rPr>
        <w:t>article 27 des Conventions de Vienne de 1969</w:t>
      </w:r>
      <w:r w:rsidRPr="00F22830">
        <w:rPr>
          <w:rStyle w:val="FootnoteReference"/>
        </w:rPr>
        <w:footnoteReference w:id="45"/>
      </w:r>
      <w:r w:rsidRPr="00D057C7">
        <w:rPr>
          <w:lang w:val="fr-FR"/>
        </w:rPr>
        <w:t xml:space="preserve"> et 1986</w:t>
      </w:r>
      <w:r w:rsidRPr="00F22830">
        <w:rPr>
          <w:rStyle w:val="FootnoteReference"/>
        </w:rPr>
        <w:footnoteReference w:id="46"/>
      </w:r>
      <w:r w:rsidRPr="00F22925">
        <w:rPr>
          <w:lang w:val="fr-FR"/>
        </w:rPr>
        <w:t>.</w:t>
      </w:r>
      <w:r>
        <w:rPr>
          <w:lang w:val="fr-FR"/>
        </w:rPr>
        <w:t xml:space="preserve"> </w:t>
      </w:r>
      <w:r w:rsidRPr="00573721">
        <w:rPr>
          <w:lang w:val="fr-FR"/>
        </w:rPr>
        <w:t xml:space="preserve">Elle devrait donc être considérée conjointement avec ces articles ainsi </w:t>
      </w:r>
      <w:r>
        <w:rPr>
          <w:lang w:val="fr-FR"/>
        </w:rPr>
        <w:t>qu’avec</w:t>
      </w:r>
      <w:r w:rsidRPr="00573721">
        <w:rPr>
          <w:lang w:val="fr-FR"/>
        </w:rPr>
        <w:t xml:space="preserve"> les autres règles </w:t>
      </w:r>
      <w:r>
        <w:rPr>
          <w:lang w:val="fr-FR"/>
        </w:rPr>
        <w:t xml:space="preserve">de </w:t>
      </w:r>
      <w:r w:rsidRPr="00573721">
        <w:rPr>
          <w:lang w:val="fr-FR"/>
        </w:rPr>
        <w:t>droit international</w:t>
      </w:r>
      <w:r>
        <w:rPr>
          <w:lang w:val="fr-FR"/>
        </w:rPr>
        <w:t xml:space="preserve"> </w:t>
      </w:r>
      <w:r w:rsidRPr="00573721">
        <w:rPr>
          <w:lang w:val="fr-FR"/>
        </w:rPr>
        <w:t>applicables</w:t>
      </w:r>
      <w:r w:rsidRPr="00F22925">
        <w:rPr>
          <w:lang w:val="fr-FR"/>
        </w:rPr>
        <w:t>.</w:t>
      </w:r>
      <w:r>
        <w:rPr>
          <w:lang w:val="fr-FR"/>
        </w:rPr>
        <w:t xml:space="preserve"> </w:t>
      </w:r>
    </w:p>
    <w:p w14:paraId="1BA85966" w14:textId="77777777" w:rsidR="0043175D" w:rsidRDefault="0043175D" w:rsidP="0043175D">
      <w:pPr>
        <w:pStyle w:val="SingleTxtG"/>
        <w:rPr>
          <w:lang w:val="fr-FR"/>
        </w:rPr>
      </w:pPr>
      <w:r w:rsidRPr="00267E87">
        <w:rPr>
          <w:lang w:val="fr-FR"/>
        </w:rPr>
        <w:t>3)</w:t>
      </w:r>
      <w:r w:rsidRPr="00267E87">
        <w:rPr>
          <w:lang w:val="fr-FR"/>
        </w:rPr>
        <w:tab/>
      </w:r>
      <w:r w:rsidRPr="00573721">
        <w:rPr>
          <w:lang w:val="fr-FR"/>
        </w:rPr>
        <w:t>L</w:t>
      </w:r>
      <w:r>
        <w:rPr>
          <w:lang w:val="fr-FR"/>
        </w:rPr>
        <w:t>’</w:t>
      </w:r>
      <w:r w:rsidRPr="00573721">
        <w:rPr>
          <w:lang w:val="fr-FR"/>
        </w:rPr>
        <w:t>application à titre provisoire d</w:t>
      </w:r>
      <w:r>
        <w:rPr>
          <w:lang w:val="fr-FR"/>
        </w:rPr>
        <w:t>’</w:t>
      </w:r>
      <w:r w:rsidRPr="00573721">
        <w:rPr>
          <w:lang w:val="fr-FR"/>
        </w:rPr>
        <w:t>un traité ou d</w:t>
      </w:r>
      <w:r>
        <w:rPr>
          <w:lang w:val="fr-FR"/>
        </w:rPr>
        <w:t>’</w:t>
      </w:r>
      <w:r w:rsidRPr="00573721">
        <w:rPr>
          <w:lang w:val="fr-FR"/>
        </w:rPr>
        <w:t>une partie d</w:t>
      </w:r>
      <w:r>
        <w:rPr>
          <w:lang w:val="fr-FR"/>
        </w:rPr>
        <w:t>’</w:t>
      </w:r>
      <w:r w:rsidRPr="00573721">
        <w:rPr>
          <w:lang w:val="fr-FR"/>
        </w:rPr>
        <w:t>un traité est régie par le droit international</w:t>
      </w:r>
      <w:r w:rsidRPr="00F22925">
        <w:rPr>
          <w:lang w:val="fr-FR"/>
        </w:rPr>
        <w:t>.</w:t>
      </w:r>
      <w:r>
        <w:rPr>
          <w:lang w:val="fr-FR"/>
        </w:rPr>
        <w:t xml:space="preserve"> </w:t>
      </w:r>
      <w:r w:rsidRPr="00573721">
        <w:rPr>
          <w:lang w:val="fr-FR"/>
        </w:rPr>
        <w:t>Comme l</w:t>
      </w:r>
      <w:r>
        <w:rPr>
          <w:lang w:val="fr-FR"/>
        </w:rPr>
        <w:t>’</w:t>
      </w:r>
      <w:r w:rsidRPr="00573721">
        <w:rPr>
          <w:lang w:val="fr-FR"/>
        </w:rPr>
        <w:t>article 27</w:t>
      </w:r>
      <w:r w:rsidRPr="00F22830">
        <w:rPr>
          <w:rStyle w:val="FootnoteReference"/>
        </w:rPr>
        <w:footnoteReference w:id="47"/>
      </w:r>
      <w:r w:rsidRPr="00573721">
        <w:rPr>
          <w:lang w:val="fr-FR"/>
        </w:rPr>
        <w:t>, le projet de directive 10 pose comme règle générale qu</w:t>
      </w:r>
      <w:r>
        <w:rPr>
          <w:lang w:val="fr-FR"/>
        </w:rPr>
        <w:t>’</w:t>
      </w:r>
      <w:r w:rsidRPr="00573721">
        <w:rPr>
          <w:lang w:val="fr-FR"/>
        </w:rPr>
        <w:t>un État ou une organisation internationale ne peut invoquer les dispositions de son droit interne ou ses règles pour justifier la non-exécution d</w:t>
      </w:r>
      <w:r>
        <w:rPr>
          <w:lang w:val="fr-FR"/>
        </w:rPr>
        <w:t>’</w:t>
      </w:r>
      <w:r w:rsidRPr="00573721">
        <w:rPr>
          <w:lang w:val="fr-FR"/>
        </w:rPr>
        <w:t>une obligation découlant de l</w:t>
      </w:r>
      <w:r>
        <w:rPr>
          <w:lang w:val="fr-FR"/>
        </w:rPr>
        <w:t>’</w:t>
      </w:r>
      <w:r w:rsidRPr="00573721">
        <w:rPr>
          <w:lang w:val="fr-FR"/>
        </w:rPr>
        <w:t>application à titre provisoire</w:t>
      </w:r>
      <w:r w:rsidRPr="00F22925">
        <w:rPr>
          <w:lang w:val="fr-FR"/>
        </w:rPr>
        <w:t>.</w:t>
      </w:r>
      <w:r>
        <w:rPr>
          <w:lang w:val="fr-FR"/>
        </w:rPr>
        <w:t xml:space="preserve"> Les dispositions et règles en question</w:t>
      </w:r>
      <w:r w:rsidRPr="00573721">
        <w:rPr>
          <w:lang w:val="fr-FR"/>
        </w:rPr>
        <w:t xml:space="preserve"> ne sauraient </w:t>
      </w:r>
      <w:r>
        <w:rPr>
          <w:lang w:val="fr-FR"/>
        </w:rPr>
        <w:t xml:space="preserve">non plus </w:t>
      </w:r>
      <w:r w:rsidRPr="00573721">
        <w:rPr>
          <w:lang w:val="fr-FR"/>
        </w:rPr>
        <w:t>être invoqué</w:t>
      </w:r>
      <w:r>
        <w:rPr>
          <w:lang w:val="fr-FR"/>
        </w:rPr>
        <w:t>e</w:t>
      </w:r>
      <w:r w:rsidRPr="00573721">
        <w:rPr>
          <w:lang w:val="fr-FR"/>
        </w:rPr>
        <w:t xml:space="preserve">s </w:t>
      </w:r>
      <w:r>
        <w:rPr>
          <w:lang w:val="fr-FR"/>
        </w:rPr>
        <w:t xml:space="preserve">par un État ou une organisation internationale pour se dégager </w:t>
      </w:r>
      <w:r w:rsidRPr="00573721">
        <w:rPr>
          <w:lang w:val="fr-FR"/>
        </w:rPr>
        <w:t xml:space="preserve">de la responsabilité pouvant </w:t>
      </w:r>
      <w:r>
        <w:rPr>
          <w:lang w:val="fr-FR"/>
        </w:rPr>
        <w:t>découler</w:t>
      </w:r>
      <w:r w:rsidRPr="00573721">
        <w:rPr>
          <w:lang w:val="fr-FR"/>
        </w:rPr>
        <w:t xml:space="preserve"> de la </w:t>
      </w:r>
      <w:r>
        <w:rPr>
          <w:lang w:val="fr-FR"/>
        </w:rPr>
        <w:t>violation</w:t>
      </w:r>
      <w:r w:rsidRPr="00573721">
        <w:rPr>
          <w:lang w:val="fr-FR"/>
        </w:rPr>
        <w:t xml:space="preserve"> de </w:t>
      </w:r>
      <w:r>
        <w:rPr>
          <w:lang w:val="fr-FR"/>
        </w:rPr>
        <w:t>pareille obligation</w:t>
      </w:r>
      <w:r w:rsidRPr="00F22830">
        <w:rPr>
          <w:rStyle w:val="FootnoteReference"/>
        </w:rPr>
        <w:footnoteReference w:id="48"/>
      </w:r>
      <w:r w:rsidRPr="00F22925">
        <w:rPr>
          <w:lang w:val="fr-FR"/>
        </w:rPr>
        <w:t>.</w:t>
      </w:r>
      <w:r>
        <w:rPr>
          <w:lang w:val="fr-FR"/>
        </w:rPr>
        <w:t xml:space="preserve"> </w:t>
      </w:r>
      <w:r w:rsidRPr="00847BC6">
        <w:rPr>
          <w:lang w:val="fr-FR"/>
        </w:rPr>
        <w:t xml:space="preserve">Cependant, comme </w:t>
      </w:r>
      <w:r>
        <w:rPr>
          <w:lang w:val="fr-FR"/>
        </w:rPr>
        <w:t>il</w:t>
      </w:r>
      <w:r w:rsidRPr="00847BC6">
        <w:rPr>
          <w:lang w:val="fr-FR"/>
        </w:rPr>
        <w:t xml:space="preserve"> est indiqué dans le projet de directive 12, les États et organisations internationales concernés peuvent convenir de l</w:t>
      </w:r>
      <w:r>
        <w:rPr>
          <w:lang w:val="fr-FR"/>
        </w:rPr>
        <w:t>’</w:t>
      </w:r>
      <w:r w:rsidRPr="00847BC6">
        <w:rPr>
          <w:lang w:val="fr-FR"/>
        </w:rPr>
        <w:t xml:space="preserve">application à titre provisoire avec </w:t>
      </w:r>
      <w:r>
        <w:rPr>
          <w:lang w:val="fr-FR"/>
        </w:rPr>
        <w:t>des</w:t>
      </w:r>
      <w:r w:rsidRPr="00847BC6">
        <w:rPr>
          <w:lang w:val="fr-FR"/>
        </w:rPr>
        <w:t xml:space="preserve"> limites découlant </w:t>
      </w:r>
      <w:r>
        <w:rPr>
          <w:lang w:val="fr-FR"/>
        </w:rPr>
        <w:t>de leur</w:t>
      </w:r>
      <w:r w:rsidRPr="00847BC6">
        <w:rPr>
          <w:lang w:val="fr-FR"/>
        </w:rPr>
        <w:t xml:space="preserve"> droit interne ou de </w:t>
      </w:r>
      <w:r>
        <w:rPr>
          <w:lang w:val="fr-FR"/>
        </w:rPr>
        <w:t>leurs</w:t>
      </w:r>
      <w:r w:rsidRPr="00847BC6">
        <w:rPr>
          <w:lang w:val="fr-FR"/>
        </w:rPr>
        <w:t xml:space="preserve"> règles</w:t>
      </w:r>
      <w:r>
        <w:rPr>
          <w:lang w:val="fr-FR"/>
        </w:rPr>
        <w:t>, respectivement</w:t>
      </w:r>
      <w:r w:rsidRPr="00F22925">
        <w:rPr>
          <w:lang w:val="fr-FR"/>
        </w:rPr>
        <w:t>.</w:t>
      </w:r>
      <w:r>
        <w:rPr>
          <w:lang w:val="fr-FR"/>
        </w:rPr>
        <w:t xml:space="preserve"> </w:t>
      </w:r>
    </w:p>
    <w:p w14:paraId="247A4D1D" w14:textId="77777777" w:rsidR="0043175D" w:rsidRDefault="0043175D" w:rsidP="0043175D">
      <w:pPr>
        <w:pStyle w:val="SingleTxtG"/>
        <w:rPr>
          <w:lang w:val="fr-FR"/>
        </w:rPr>
      </w:pPr>
      <w:r w:rsidRPr="00267E87">
        <w:rPr>
          <w:lang w:val="fr-FR"/>
        </w:rPr>
        <w:t>4)</w:t>
      </w:r>
      <w:r w:rsidRPr="00267E87">
        <w:rPr>
          <w:lang w:val="fr-FR"/>
        </w:rPr>
        <w:tab/>
      </w:r>
      <w:r w:rsidRPr="00CB230C">
        <w:rPr>
          <w:lang w:val="fr-FR"/>
        </w:rPr>
        <w:t>S</w:t>
      </w:r>
      <w:r>
        <w:rPr>
          <w:lang w:val="fr-FR"/>
        </w:rPr>
        <w:t>i</w:t>
      </w:r>
      <w:r w:rsidRPr="00CB230C">
        <w:rPr>
          <w:lang w:val="fr-FR"/>
        </w:rPr>
        <w:t xml:space="preserve"> chaque État ou organisation internationale peut </w:t>
      </w:r>
      <w:r>
        <w:rPr>
          <w:lang w:val="fr-FR"/>
        </w:rPr>
        <w:t>s’appuyer sur</w:t>
      </w:r>
      <w:r w:rsidRPr="00CB230C">
        <w:rPr>
          <w:lang w:val="fr-FR"/>
        </w:rPr>
        <w:t xml:space="preserve"> son droit interne ou ses règles</w:t>
      </w:r>
      <w:r>
        <w:rPr>
          <w:lang w:val="fr-FR"/>
        </w:rPr>
        <w:t xml:space="preserve"> pour </w:t>
      </w:r>
      <w:r w:rsidRPr="00CB230C">
        <w:rPr>
          <w:lang w:val="fr-FR"/>
        </w:rPr>
        <w:t xml:space="preserve">convenir ou non </w:t>
      </w:r>
      <w:r>
        <w:rPr>
          <w:lang w:val="fr-FR"/>
        </w:rPr>
        <w:t xml:space="preserve">d’appliquer provisoirement </w:t>
      </w:r>
      <w:r w:rsidRPr="00CB230C">
        <w:rPr>
          <w:lang w:val="fr-FR"/>
        </w:rPr>
        <w:t>un traité ou une partie d</w:t>
      </w:r>
      <w:r>
        <w:rPr>
          <w:lang w:val="fr-FR"/>
        </w:rPr>
        <w:t>’</w:t>
      </w:r>
      <w:r w:rsidRPr="00CB230C">
        <w:rPr>
          <w:lang w:val="fr-FR"/>
        </w:rPr>
        <w:t>un traité</w:t>
      </w:r>
      <w:r w:rsidRPr="00F22830">
        <w:rPr>
          <w:rStyle w:val="FootnoteReference"/>
        </w:rPr>
        <w:footnoteReference w:id="49"/>
      </w:r>
      <w:r w:rsidRPr="00CB230C">
        <w:rPr>
          <w:lang w:val="fr-FR"/>
        </w:rPr>
        <w:t xml:space="preserve">, une fois </w:t>
      </w:r>
      <w:r>
        <w:rPr>
          <w:lang w:val="fr-FR"/>
        </w:rPr>
        <w:t>que l’application à titre provisoire a été convenue</w:t>
      </w:r>
      <w:r w:rsidRPr="00CB230C">
        <w:rPr>
          <w:lang w:val="fr-FR"/>
        </w:rPr>
        <w:t xml:space="preserve">, une incompatibilité avec le droit interne ou les règles </w:t>
      </w:r>
      <w:r>
        <w:rPr>
          <w:lang w:val="fr-FR"/>
        </w:rPr>
        <w:t xml:space="preserve">en question </w:t>
      </w:r>
      <w:r w:rsidRPr="00CB230C">
        <w:rPr>
          <w:lang w:val="fr-FR"/>
        </w:rPr>
        <w:t xml:space="preserve">ne saurait justifier </w:t>
      </w:r>
      <w:r>
        <w:rPr>
          <w:lang w:val="fr-FR"/>
        </w:rPr>
        <w:t>qu’il n’y soit pas donné effet</w:t>
      </w:r>
      <w:r w:rsidRPr="00F22925">
        <w:rPr>
          <w:lang w:val="fr-FR"/>
        </w:rPr>
        <w:t>.</w:t>
      </w:r>
      <w:r>
        <w:rPr>
          <w:lang w:val="fr-FR"/>
        </w:rPr>
        <w:t xml:space="preserve"> Le droit international ne permet donc pas d’invoquer </w:t>
      </w:r>
      <w:r w:rsidRPr="00CB230C">
        <w:rPr>
          <w:lang w:val="fr-FR"/>
        </w:rPr>
        <w:t xml:space="preserve">des dispositions internes </w:t>
      </w:r>
      <w:r>
        <w:rPr>
          <w:lang w:val="fr-FR"/>
        </w:rPr>
        <w:t>pour justifier</w:t>
      </w:r>
      <w:r w:rsidRPr="00CB230C">
        <w:rPr>
          <w:lang w:val="fr-FR"/>
        </w:rPr>
        <w:t xml:space="preserve"> la non-application provisoire d</w:t>
      </w:r>
      <w:r>
        <w:rPr>
          <w:lang w:val="fr-FR"/>
        </w:rPr>
        <w:t>’</w:t>
      </w:r>
      <w:r w:rsidRPr="00CB230C">
        <w:rPr>
          <w:lang w:val="fr-FR"/>
        </w:rPr>
        <w:t>un traité ou d</w:t>
      </w:r>
      <w:r>
        <w:rPr>
          <w:lang w:val="fr-FR"/>
        </w:rPr>
        <w:t>’</w:t>
      </w:r>
      <w:r w:rsidRPr="00CB230C">
        <w:rPr>
          <w:lang w:val="fr-FR"/>
        </w:rPr>
        <w:t>une partie d</w:t>
      </w:r>
      <w:r>
        <w:rPr>
          <w:lang w:val="fr-FR"/>
        </w:rPr>
        <w:t>’</w:t>
      </w:r>
      <w:r w:rsidRPr="00CB230C">
        <w:rPr>
          <w:lang w:val="fr-FR"/>
        </w:rPr>
        <w:t>un traité</w:t>
      </w:r>
      <w:r w:rsidRPr="00F22925">
        <w:rPr>
          <w:lang w:val="fr-FR"/>
        </w:rPr>
        <w:t>.</w:t>
      </w:r>
      <w:r>
        <w:rPr>
          <w:lang w:val="fr-FR"/>
        </w:rPr>
        <w:t xml:space="preserve"> </w:t>
      </w:r>
    </w:p>
    <w:p w14:paraId="02ED07B6" w14:textId="77777777" w:rsidR="0043175D" w:rsidRDefault="0043175D" w:rsidP="0043175D">
      <w:pPr>
        <w:pStyle w:val="SingleTxtG"/>
        <w:rPr>
          <w:lang w:val="fr-FR"/>
        </w:rPr>
      </w:pPr>
      <w:r w:rsidRPr="00267E87">
        <w:rPr>
          <w:lang w:val="fr-FR"/>
        </w:rPr>
        <w:t>5)</w:t>
      </w:r>
      <w:r w:rsidRPr="00267E87">
        <w:rPr>
          <w:lang w:val="fr-FR"/>
        </w:rPr>
        <w:tab/>
      </w:r>
      <w:r>
        <w:rPr>
          <w:lang w:val="fr-FR"/>
        </w:rPr>
        <w:t xml:space="preserve">Ainsi qu’il ressort du projet de directive 8, l’État ou l’organisation internationale qui invoque </w:t>
      </w:r>
      <w:r w:rsidRPr="001137C9">
        <w:rPr>
          <w:lang w:val="fr-FR"/>
        </w:rPr>
        <w:t>son droit interne ou ses règles</w:t>
      </w:r>
      <w:r>
        <w:rPr>
          <w:lang w:val="fr-FR"/>
        </w:rPr>
        <w:t xml:space="preserve"> pour ne pas s’acquitter</w:t>
      </w:r>
      <w:r w:rsidRPr="00F26C1E">
        <w:rPr>
          <w:lang w:val="fr-FR"/>
        </w:rPr>
        <w:t xml:space="preserve"> des obligations découlant de l</w:t>
      </w:r>
      <w:r>
        <w:rPr>
          <w:lang w:val="fr-FR"/>
        </w:rPr>
        <w:t>’</w:t>
      </w:r>
      <w:r w:rsidRPr="00F26C1E">
        <w:rPr>
          <w:lang w:val="fr-FR"/>
        </w:rPr>
        <w:t>application à titre provisoire d</w:t>
      </w:r>
      <w:r>
        <w:rPr>
          <w:lang w:val="fr-FR"/>
        </w:rPr>
        <w:t>’</w:t>
      </w:r>
      <w:r w:rsidRPr="00F26C1E">
        <w:rPr>
          <w:lang w:val="fr-FR"/>
        </w:rPr>
        <w:t>un traité ou d</w:t>
      </w:r>
      <w:r>
        <w:rPr>
          <w:lang w:val="fr-FR"/>
        </w:rPr>
        <w:t>’</w:t>
      </w:r>
      <w:r w:rsidRPr="00F26C1E">
        <w:rPr>
          <w:lang w:val="fr-FR"/>
        </w:rPr>
        <w:t>une partie d</w:t>
      </w:r>
      <w:r>
        <w:rPr>
          <w:lang w:val="fr-FR"/>
        </w:rPr>
        <w:t>’</w:t>
      </w:r>
      <w:r w:rsidRPr="00F26C1E">
        <w:rPr>
          <w:lang w:val="fr-FR"/>
        </w:rPr>
        <w:t xml:space="preserve">un traité </w:t>
      </w:r>
      <w:r>
        <w:rPr>
          <w:lang w:val="fr-FR"/>
        </w:rPr>
        <w:t xml:space="preserve">voit sa </w:t>
      </w:r>
      <w:r w:rsidRPr="00F26C1E">
        <w:rPr>
          <w:lang w:val="fr-FR"/>
        </w:rPr>
        <w:t xml:space="preserve">responsabilité internationale </w:t>
      </w:r>
      <w:r>
        <w:rPr>
          <w:lang w:val="fr-FR"/>
        </w:rPr>
        <w:t>engagée</w:t>
      </w:r>
      <w:r w:rsidRPr="00F22830">
        <w:rPr>
          <w:rStyle w:val="FootnoteReference"/>
        </w:rPr>
        <w:footnoteReference w:id="50"/>
      </w:r>
      <w:r w:rsidRPr="00F22925">
        <w:rPr>
          <w:lang w:val="fr-FR"/>
        </w:rPr>
        <w:t>.</w:t>
      </w:r>
      <w:r>
        <w:rPr>
          <w:lang w:val="fr-FR"/>
        </w:rPr>
        <w:t xml:space="preserve"> </w:t>
      </w:r>
      <w:r w:rsidRPr="00F26C1E">
        <w:rPr>
          <w:lang w:val="fr-FR"/>
        </w:rPr>
        <w:t>Toute autre interprétation serait contraire au droit de la responsabilité</w:t>
      </w:r>
      <w:r>
        <w:rPr>
          <w:lang w:val="fr-FR"/>
        </w:rPr>
        <w:t xml:space="preserve"> internationale</w:t>
      </w:r>
      <w:r w:rsidRPr="00F26C1E">
        <w:rPr>
          <w:lang w:val="fr-FR"/>
        </w:rPr>
        <w:t>, selon lequel la qualification du fait d</w:t>
      </w:r>
      <w:r>
        <w:rPr>
          <w:lang w:val="fr-FR"/>
        </w:rPr>
        <w:t>’</w:t>
      </w:r>
      <w:r w:rsidRPr="00F26C1E">
        <w:rPr>
          <w:lang w:val="fr-FR"/>
        </w:rPr>
        <w:t>un État ou d</w:t>
      </w:r>
      <w:r>
        <w:rPr>
          <w:lang w:val="fr-FR"/>
        </w:rPr>
        <w:t>’</w:t>
      </w:r>
      <w:r w:rsidRPr="00F26C1E">
        <w:rPr>
          <w:lang w:val="fr-FR"/>
        </w:rPr>
        <w:t>une organisation internationale comme internationalement illicite relève du droit international et</w:t>
      </w:r>
      <w:r>
        <w:rPr>
          <w:lang w:val="fr-FR"/>
        </w:rPr>
        <w:t xml:space="preserve"> peu importe que le fait en question soit licite au regard du</w:t>
      </w:r>
      <w:r w:rsidRPr="00F26C1E">
        <w:rPr>
          <w:lang w:val="fr-FR"/>
        </w:rPr>
        <w:t xml:space="preserve"> droit interne</w:t>
      </w:r>
      <w:r>
        <w:rPr>
          <w:lang w:val="fr-FR"/>
        </w:rPr>
        <w:t xml:space="preserve"> de l’État ou des règles de l’organisation internationale</w:t>
      </w:r>
      <w:r w:rsidRPr="00F22830">
        <w:rPr>
          <w:rStyle w:val="FootnoteReference"/>
        </w:rPr>
        <w:footnoteReference w:id="51"/>
      </w:r>
      <w:r w:rsidRPr="00F22925">
        <w:rPr>
          <w:lang w:val="fr-FR"/>
        </w:rPr>
        <w:t>.</w:t>
      </w:r>
    </w:p>
    <w:p w14:paraId="5A4D911B" w14:textId="77777777" w:rsidR="0043175D" w:rsidRDefault="0043175D" w:rsidP="0043175D">
      <w:pPr>
        <w:pStyle w:val="SingleTxtG"/>
        <w:rPr>
          <w:lang w:val="fr-FR"/>
        </w:rPr>
      </w:pPr>
      <w:r w:rsidRPr="00267E87">
        <w:rPr>
          <w:lang w:val="fr-FR"/>
        </w:rPr>
        <w:lastRenderedPageBreak/>
        <w:t>6)</w:t>
      </w:r>
      <w:r w:rsidRPr="00267E87">
        <w:rPr>
          <w:lang w:val="fr-FR"/>
        </w:rPr>
        <w:tab/>
      </w:r>
      <w:r w:rsidRPr="00B2281C">
        <w:rPr>
          <w:lang w:val="fr-FR"/>
        </w:rPr>
        <w:t>L</w:t>
      </w:r>
      <w:r>
        <w:rPr>
          <w:lang w:val="fr-FR"/>
        </w:rPr>
        <w:t>a formule</w:t>
      </w:r>
      <w:r w:rsidRPr="00B2281C">
        <w:rPr>
          <w:lang w:val="fr-FR"/>
        </w:rPr>
        <w:t xml:space="preserve"> « droit interne des États </w:t>
      </w:r>
      <w:r>
        <w:rPr>
          <w:lang w:val="fr-FR"/>
        </w:rPr>
        <w:t>[</w:t>
      </w:r>
      <w:r w:rsidRPr="00B2281C">
        <w:rPr>
          <w:lang w:val="fr-FR"/>
        </w:rPr>
        <w:t>et</w:t>
      </w:r>
      <w:r>
        <w:rPr>
          <w:lang w:val="fr-FR"/>
        </w:rPr>
        <w:t>]</w:t>
      </w:r>
      <w:r w:rsidRPr="00B2281C">
        <w:rPr>
          <w:lang w:val="fr-FR"/>
        </w:rPr>
        <w:t xml:space="preserve"> règles des organisations internationales</w:t>
      </w:r>
      <w:r>
        <w:rPr>
          <w:lang w:val="fr-FR"/>
        </w:rPr>
        <w:t> </w:t>
      </w:r>
      <w:r w:rsidRPr="00B2281C">
        <w:rPr>
          <w:lang w:val="fr-FR"/>
        </w:rPr>
        <w:t>»</w:t>
      </w:r>
      <w:r>
        <w:rPr>
          <w:lang w:val="fr-FR"/>
        </w:rPr>
        <w:t xml:space="preserve"> couvre toutes les</w:t>
      </w:r>
      <w:r w:rsidRPr="00B2281C">
        <w:rPr>
          <w:lang w:val="fr-FR"/>
        </w:rPr>
        <w:t xml:space="preserve"> disposition</w:t>
      </w:r>
      <w:r>
        <w:rPr>
          <w:lang w:val="fr-FR"/>
        </w:rPr>
        <w:t>s</w:t>
      </w:r>
      <w:r w:rsidRPr="00B2281C">
        <w:rPr>
          <w:lang w:val="fr-FR"/>
        </w:rPr>
        <w:t xml:space="preserve"> de </w:t>
      </w:r>
      <w:r>
        <w:rPr>
          <w:lang w:val="fr-FR"/>
        </w:rPr>
        <w:t xml:space="preserve">droit interne et toutes les règles des organisations internationales, et pas uniquement celles qui portent expressément </w:t>
      </w:r>
      <w:r w:rsidRPr="00B2281C">
        <w:rPr>
          <w:lang w:val="fr-FR"/>
        </w:rPr>
        <w:t>sur l</w:t>
      </w:r>
      <w:r>
        <w:rPr>
          <w:lang w:val="fr-FR"/>
        </w:rPr>
        <w:t>’</w:t>
      </w:r>
      <w:r w:rsidRPr="00B2281C">
        <w:rPr>
          <w:lang w:val="fr-FR"/>
        </w:rPr>
        <w:t>application à titre provisoire des traités</w:t>
      </w:r>
      <w:r w:rsidRPr="00F22925">
        <w:rPr>
          <w:lang w:val="fr-FR"/>
        </w:rPr>
        <w:t>.</w:t>
      </w:r>
    </w:p>
    <w:p w14:paraId="6CC4974B" w14:textId="77777777" w:rsidR="0043175D" w:rsidRDefault="0043175D" w:rsidP="0043175D">
      <w:pPr>
        <w:pStyle w:val="SingleTxtG"/>
        <w:rPr>
          <w:lang w:val="fr-FR"/>
        </w:rPr>
      </w:pPr>
      <w:r w:rsidRPr="00267E87">
        <w:rPr>
          <w:lang w:val="fr-FR"/>
        </w:rPr>
        <w:t>7)</w:t>
      </w:r>
      <w:r w:rsidRPr="00267E87">
        <w:rPr>
          <w:lang w:val="fr-FR"/>
        </w:rPr>
        <w:tab/>
      </w:r>
      <w:r w:rsidRPr="0027432D">
        <w:rPr>
          <w:lang w:val="fr-FR"/>
        </w:rPr>
        <w:t>La formule « obligation découlant de ladite application à titre provisoire », employée dans les deux paragraphes du projet de directive, est suffisamment générale pour englober les cas où l</w:t>
      </w:r>
      <w:r>
        <w:rPr>
          <w:lang w:val="fr-FR"/>
        </w:rPr>
        <w:t>’</w:t>
      </w:r>
      <w:r w:rsidRPr="0027432D">
        <w:rPr>
          <w:lang w:val="fr-FR"/>
        </w:rPr>
        <w:t>obligation naît du traité lui-même et ceux où elle découle du fait qu</w:t>
      </w:r>
      <w:r>
        <w:rPr>
          <w:lang w:val="fr-FR"/>
        </w:rPr>
        <w:t>’</w:t>
      </w:r>
      <w:r w:rsidRPr="0027432D">
        <w:rPr>
          <w:lang w:val="fr-FR"/>
        </w:rPr>
        <w:t>il a été convenu d</w:t>
      </w:r>
      <w:r>
        <w:rPr>
          <w:lang w:val="fr-FR"/>
        </w:rPr>
        <w:t>’</w:t>
      </w:r>
      <w:r w:rsidRPr="0027432D">
        <w:rPr>
          <w:lang w:val="fr-FR"/>
        </w:rPr>
        <w:t>appliquer le traité ou une partie du traité</w:t>
      </w:r>
      <w:r w:rsidRPr="00E31046">
        <w:rPr>
          <w:lang w:val="fr-FR"/>
        </w:rPr>
        <w:t xml:space="preserve"> </w:t>
      </w:r>
      <w:r w:rsidRPr="0027432D">
        <w:rPr>
          <w:lang w:val="fr-FR"/>
        </w:rPr>
        <w:t>à titre provisoire</w:t>
      </w:r>
      <w:r w:rsidRPr="00F22925">
        <w:rPr>
          <w:lang w:val="fr-FR"/>
        </w:rPr>
        <w:t>.</w:t>
      </w:r>
      <w:r>
        <w:rPr>
          <w:lang w:val="fr-FR"/>
        </w:rPr>
        <w:t xml:space="preserve"> </w:t>
      </w:r>
      <w:r w:rsidRPr="0027432D">
        <w:rPr>
          <w:lang w:val="fr-FR"/>
        </w:rPr>
        <w:t>Cela est conforme à la règle générale énoncée dans le projet de directive 6, à savoir que l</w:t>
      </w:r>
      <w:r>
        <w:rPr>
          <w:lang w:val="fr-FR"/>
        </w:rPr>
        <w:t>’</w:t>
      </w:r>
      <w:r w:rsidRPr="0027432D">
        <w:rPr>
          <w:lang w:val="fr-FR"/>
        </w:rPr>
        <w:t>application provisoire d</w:t>
      </w:r>
      <w:r>
        <w:rPr>
          <w:lang w:val="fr-FR"/>
        </w:rPr>
        <w:t>’</w:t>
      </w:r>
      <w:r w:rsidRPr="0027432D">
        <w:rPr>
          <w:lang w:val="fr-FR"/>
        </w:rPr>
        <w:t>un traité ou d</w:t>
      </w:r>
      <w:r>
        <w:rPr>
          <w:lang w:val="fr-FR"/>
        </w:rPr>
        <w:t>’</w:t>
      </w:r>
      <w:r w:rsidRPr="0027432D">
        <w:rPr>
          <w:lang w:val="fr-FR"/>
        </w:rPr>
        <w:t>une partie d</w:t>
      </w:r>
      <w:r>
        <w:rPr>
          <w:lang w:val="fr-FR"/>
        </w:rPr>
        <w:t>’</w:t>
      </w:r>
      <w:r w:rsidRPr="0027432D">
        <w:rPr>
          <w:lang w:val="fr-FR"/>
        </w:rPr>
        <w:t>un traité produit une obligation juridiquement contraignante d</w:t>
      </w:r>
      <w:r>
        <w:rPr>
          <w:lang w:val="fr-FR"/>
        </w:rPr>
        <w:t>’</w:t>
      </w:r>
      <w:r w:rsidRPr="0027432D">
        <w:rPr>
          <w:lang w:val="fr-FR"/>
        </w:rPr>
        <w:t>appliquer le traité ou une partie de celui-ci entre les États ou organisations internationales concernés</w:t>
      </w:r>
      <w:r>
        <w:rPr>
          <w:lang w:val="fr-FR"/>
        </w:rPr>
        <w:t xml:space="preserve">, </w:t>
      </w:r>
      <w:r w:rsidRPr="0027432D">
        <w:rPr>
          <w:lang w:val="fr-FR"/>
        </w:rPr>
        <w:t>sauf dans la mesure où le traité en dispose autrement ou qu</w:t>
      </w:r>
      <w:r>
        <w:rPr>
          <w:lang w:val="fr-FR"/>
        </w:rPr>
        <w:t>’</w:t>
      </w:r>
      <w:r w:rsidRPr="0027432D">
        <w:rPr>
          <w:lang w:val="fr-FR"/>
        </w:rPr>
        <w:t>il en est autrement conven</w:t>
      </w:r>
      <w:r>
        <w:rPr>
          <w:lang w:val="fr-FR"/>
        </w:rPr>
        <w:t>u</w:t>
      </w:r>
      <w:r w:rsidRPr="00F22925">
        <w:rPr>
          <w:lang w:val="fr-FR"/>
        </w:rPr>
        <w:t>.</w:t>
      </w:r>
      <w:r>
        <w:rPr>
          <w:lang w:val="fr-FR"/>
        </w:rPr>
        <w:t xml:space="preserve"> </w:t>
      </w:r>
      <w:r w:rsidRPr="0027432D">
        <w:rPr>
          <w:lang w:val="fr-FR"/>
        </w:rPr>
        <w:t>Un tel traité ou partie d</w:t>
      </w:r>
      <w:r>
        <w:rPr>
          <w:lang w:val="fr-FR"/>
        </w:rPr>
        <w:t>’</w:t>
      </w:r>
      <w:r w:rsidRPr="0027432D">
        <w:rPr>
          <w:lang w:val="fr-FR"/>
        </w:rPr>
        <w:t>un traité qui s</w:t>
      </w:r>
      <w:r>
        <w:rPr>
          <w:lang w:val="fr-FR"/>
        </w:rPr>
        <w:t>’</w:t>
      </w:r>
      <w:r w:rsidRPr="0027432D">
        <w:rPr>
          <w:lang w:val="fr-FR"/>
        </w:rPr>
        <w:t>applique à titre provisoire doit être exécuté de bonne foi</w:t>
      </w:r>
      <w:r w:rsidRPr="00F22925">
        <w:rPr>
          <w:lang w:val="fr-FR"/>
        </w:rPr>
        <w:t>.</w:t>
      </w:r>
    </w:p>
    <w:p w14:paraId="4CED0AF6" w14:textId="77777777" w:rsidR="0043175D" w:rsidRPr="00267E87" w:rsidRDefault="0043175D" w:rsidP="0043175D">
      <w:pPr>
        <w:pStyle w:val="H23G"/>
        <w:ind w:left="1701" w:firstLine="0"/>
        <w:rPr>
          <w:lang w:val="fr-FR"/>
        </w:rPr>
      </w:pPr>
      <w:r>
        <w:rPr>
          <w:lang w:val="fr-FR"/>
        </w:rPr>
        <w:tab/>
        <w:t>Directiv</w:t>
      </w:r>
      <w:r w:rsidRPr="00267E87">
        <w:rPr>
          <w:lang w:val="fr-FR"/>
        </w:rPr>
        <w:t>e 11</w:t>
      </w:r>
      <w:r w:rsidRPr="00267E87">
        <w:rPr>
          <w:lang w:val="fr-FR"/>
        </w:rPr>
        <w:br/>
        <w:t xml:space="preserve">Dispositions du droit interne des États et règles des organisations internationales concernant la compétence de convenir </w:t>
      </w:r>
      <w:r>
        <w:rPr>
          <w:lang w:val="fr-FR"/>
        </w:rPr>
        <w:br/>
      </w:r>
      <w:r w:rsidRPr="00267E87">
        <w:rPr>
          <w:lang w:val="fr-FR"/>
        </w:rPr>
        <w:t>de l</w:t>
      </w:r>
      <w:r>
        <w:rPr>
          <w:lang w:val="fr-FR"/>
        </w:rPr>
        <w:t>’</w:t>
      </w:r>
      <w:r w:rsidRPr="00267E87">
        <w:rPr>
          <w:lang w:val="fr-FR"/>
        </w:rPr>
        <w:t>application à titre provisoire des traités</w:t>
      </w:r>
    </w:p>
    <w:p w14:paraId="3CCA5CCE" w14:textId="77777777" w:rsidR="0043175D" w:rsidRPr="00267E87" w:rsidRDefault="0043175D" w:rsidP="0043175D">
      <w:pPr>
        <w:pStyle w:val="SingleTxtG"/>
        <w:ind w:left="1701"/>
        <w:rPr>
          <w:lang w:val="fr-FR"/>
        </w:rPr>
      </w:pPr>
      <w:r w:rsidRPr="00267E87">
        <w:rPr>
          <w:lang w:val="fr-FR"/>
        </w:rPr>
        <w:t>1</w:t>
      </w:r>
      <w:r w:rsidRPr="00F22925">
        <w:rPr>
          <w:lang w:val="fr-FR"/>
        </w:rPr>
        <w:t>.</w:t>
      </w:r>
      <w:r w:rsidRPr="00267E87">
        <w:rPr>
          <w:lang w:val="fr-FR"/>
        </w:rPr>
        <w:tab/>
        <w:t>Un État ne peut invoquer le fait que son consentement à l</w:t>
      </w:r>
      <w:r>
        <w:rPr>
          <w:lang w:val="fr-FR"/>
        </w:rPr>
        <w:t>’</w:t>
      </w:r>
      <w:r w:rsidRPr="00267E87">
        <w:rPr>
          <w:lang w:val="fr-FR"/>
        </w:rPr>
        <w:t>application à titre provisoire d</w:t>
      </w:r>
      <w:r>
        <w:rPr>
          <w:lang w:val="fr-FR"/>
        </w:rPr>
        <w:t>’</w:t>
      </w:r>
      <w:r w:rsidRPr="00267E87">
        <w:rPr>
          <w:lang w:val="fr-FR"/>
        </w:rPr>
        <w:t>un traité ou d</w:t>
      </w:r>
      <w:r>
        <w:rPr>
          <w:lang w:val="fr-FR"/>
        </w:rPr>
        <w:t>’</w:t>
      </w:r>
      <w:r w:rsidRPr="00267E87">
        <w:rPr>
          <w:lang w:val="fr-FR"/>
        </w:rPr>
        <w:t>une partie d</w:t>
      </w:r>
      <w:r>
        <w:rPr>
          <w:lang w:val="fr-FR"/>
        </w:rPr>
        <w:t>’</w:t>
      </w:r>
      <w:r w:rsidRPr="00267E87">
        <w:rPr>
          <w:lang w:val="fr-FR"/>
        </w:rPr>
        <w:t>un traité a été exprimé en violation d</w:t>
      </w:r>
      <w:r>
        <w:rPr>
          <w:lang w:val="fr-FR"/>
        </w:rPr>
        <w:t>’</w:t>
      </w:r>
      <w:r w:rsidRPr="00267E87">
        <w:rPr>
          <w:lang w:val="fr-FR"/>
        </w:rPr>
        <w:t>une disposition de son droit interne concernant la compétence de convenir de l</w:t>
      </w:r>
      <w:r>
        <w:rPr>
          <w:lang w:val="fr-FR"/>
        </w:rPr>
        <w:t>’</w:t>
      </w:r>
      <w:r w:rsidRPr="00267E87">
        <w:rPr>
          <w:lang w:val="fr-FR"/>
        </w:rPr>
        <w:t>application à titre provisoire des traités comme viciant son consentement, à moins que cette violation n</w:t>
      </w:r>
      <w:r>
        <w:rPr>
          <w:lang w:val="fr-FR"/>
        </w:rPr>
        <w:t>’</w:t>
      </w:r>
      <w:r w:rsidRPr="00267E87">
        <w:rPr>
          <w:lang w:val="fr-FR"/>
        </w:rPr>
        <w:t>ait été manifeste et ne concerne une règle de son droit interne d</w:t>
      </w:r>
      <w:r>
        <w:rPr>
          <w:lang w:val="fr-FR"/>
        </w:rPr>
        <w:t>’</w:t>
      </w:r>
      <w:r w:rsidRPr="00267E87">
        <w:rPr>
          <w:lang w:val="fr-FR"/>
        </w:rPr>
        <w:t>importance fondamentale</w:t>
      </w:r>
      <w:r w:rsidRPr="00F22925">
        <w:rPr>
          <w:lang w:val="fr-FR"/>
        </w:rPr>
        <w:t>.</w:t>
      </w:r>
    </w:p>
    <w:p w14:paraId="3A5711B8" w14:textId="77777777" w:rsidR="0043175D" w:rsidRPr="00267E87" w:rsidRDefault="0043175D" w:rsidP="0043175D">
      <w:pPr>
        <w:pStyle w:val="SingleTxtG"/>
        <w:ind w:left="1701"/>
        <w:rPr>
          <w:lang w:val="fr-FR"/>
        </w:rPr>
      </w:pPr>
      <w:r w:rsidRPr="00267E87">
        <w:rPr>
          <w:lang w:val="fr-FR"/>
        </w:rPr>
        <w:t>2</w:t>
      </w:r>
      <w:r w:rsidRPr="00F22925">
        <w:rPr>
          <w:lang w:val="fr-FR"/>
        </w:rPr>
        <w:t>.</w:t>
      </w:r>
      <w:r w:rsidRPr="00267E87">
        <w:rPr>
          <w:lang w:val="fr-FR"/>
        </w:rPr>
        <w:tab/>
        <w:t>Une organisation internationale ne peut invoquer le fait que son consentement à l</w:t>
      </w:r>
      <w:r>
        <w:rPr>
          <w:lang w:val="fr-FR"/>
        </w:rPr>
        <w:t>’</w:t>
      </w:r>
      <w:r w:rsidRPr="00267E87">
        <w:rPr>
          <w:lang w:val="fr-FR"/>
        </w:rPr>
        <w:t>application à titre provisoire d</w:t>
      </w:r>
      <w:r>
        <w:rPr>
          <w:lang w:val="fr-FR"/>
        </w:rPr>
        <w:t>’</w:t>
      </w:r>
      <w:r w:rsidRPr="00267E87">
        <w:rPr>
          <w:lang w:val="fr-FR"/>
        </w:rPr>
        <w:t>un traité ou d</w:t>
      </w:r>
      <w:r>
        <w:rPr>
          <w:lang w:val="fr-FR"/>
        </w:rPr>
        <w:t>’</w:t>
      </w:r>
      <w:r w:rsidRPr="00267E87">
        <w:rPr>
          <w:lang w:val="fr-FR"/>
        </w:rPr>
        <w:t>une partie d</w:t>
      </w:r>
      <w:r>
        <w:rPr>
          <w:lang w:val="fr-FR"/>
        </w:rPr>
        <w:t>’</w:t>
      </w:r>
      <w:r w:rsidRPr="00267E87">
        <w:rPr>
          <w:lang w:val="fr-FR"/>
        </w:rPr>
        <w:t>un traité a été exprimé en violation des règles de l</w:t>
      </w:r>
      <w:r>
        <w:rPr>
          <w:lang w:val="fr-FR"/>
        </w:rPr>
        <w:t>’</w:t>
      </w:r>
      <w:r w:rsidRPr="00267E87">
        <w:rPr>
          <w:lang w:val="fr-FR"/>
        </w:rPr>
        <w:t>organisation concernant la compétence de convenir de l</w:t>
      </w:r>
      <w:r>
        <w:rPr>
          <w:lang w:val="fr-FR"/>
        </w:rPr>
        <w:t>’</w:t>
      </w:r>
      <w:r w:rsidRPr="00267E87">
        <w:rPr>
          <w:lang w:val="fr-FR"/>
        </w:rPr>
        <w:t>application à titre provisoire des traités comme viciant son consentement, à moins que cette violation n</w:t>
      </w:r>
      <w:r>
        <w:rPr>
          <w:lang w:val="fr-FR"/>
        </w:rPr>
        <w:t>’</w:t>
      </w:r>
      <w:r w:rsidRPr="00267E87">
        <w:rPr>
          <w:lang w:val="fr-FR"/>
        </w:rPr>
        <w:t>ait été manifeste et ne concerne une règle d</w:t>
      </w:r>
      <w:r>
        <w:rPr>
          <w:lang w:val="fr-FR"/>
        </w:rPr>
        <w:t>’</w:t>
      </w:r>
      <w:r w:rsidRPr="00267E87">
        <w:rPr>
          <w:lang w:val="fr-FR"/>
        </w:rPr>
        <w:t>importance fondamentale</w:t>
      </w:r>
      <w:r w:rsidRPr="00F22925">
        <w:rPr>
          <w:lang w:val="fr-FR"/>
        </w:rPr>
        <w:t>.</w:t>
      </w:r>
      <w:r w:rsidRPr="00267E87">
        <w:rPr>
          <w:lang w:val="fr-FR"/>
        </w:rPr>
        <w:t xml:space="preserve"> </w:t>
      </w:r>
    </w:p>
    <w:p w14:paraId="394F933D" w14:textId="77777777" w:rsidR="0043175D" w:rsidRPr="00267E87" w:rsidRDefault="0043175D" w:rsidP="0043175D">
      <w:pPr>
        <w:pStyle w:val="H23G"/>
        <w:rPr>
          <w:lang w:val="fr-FR"/>
        </w:rPr>
      </w:pPr>
      <w:r w:rsidRPr="00267E87">
        <w:rPr>
          <w:lang w:val="fr-FR"/>
        </w:rPr>
        <w:tab/>
      </w:r>
      <w:r w:rsidRPr="00267E87">
        <w:rPr>
          <w:lang w:val="fr-FR"/>
        </w:rPr>
        <w:tab/>
      </w:r>
      <w:bookmarkStart w:id="20" w:name="_Toc522896364"/>
      <w:bookmarkStart w:id="21" w:name="_Toc523727674"/>
      <w:r w:rsidRPr="00267E87">
        <w:rPr>
          <w:lang w:val="fr-FR"/>
        </w:rPr>
        <w:t>Commenta</w:t>
      </w:r>
      <w:bookmarkEnd w:id="20"/>
      <w:bookmarkEnd w:id="21"/>
      <w:r>
        <w:rPr>
          <w:lang w:val="fr-FR"/>
        </w:rPr>
        <w:t>ire</w:t>
      </w:r>
    </w:p>
    <w:p w14:paraId="3CD06B5E" w14:textId="77777777" w:rsidR="0043175D" w:rsidRDefault="0043175D" w:rsidP="0043175D">
      <w:pPr>
        <w:pStyle w:val="SingleTxtG"/>
        <w:rPr>
          <w:lang w:val="fr-FR"/>
        </w:rPr>
      </w:pPr>
      <w:r w:rsidRPr="00267E87">
        <w:rPr>
          <w:lang w:val="fr-FR"/>
        </w:rPr>
        <w:t>1)</w:t>
      </w:r>
      <w:r w:rsidRPr="00267E87">
        <w:rPr>
          <w:lang w:val="fr-FR"/>
        </w:rPr>
        <w:tab/>
      </w:r>
      <w:r w:rsidRPr="0027432D">
        <w:rPr>
          <w:lang w:val="fr-FR"/>
        </w:rPr>
        <w:t xml:space="preserve">Le projet de directive 11 </w:t>
      </w:r>
      <w:r>
        <w:rPr>
          <w:lang w:val="fr-FR"/>
        </w:rPr>
        <w:t>concerne les</w:t>
      </w:r>
      <w:r w:rsidRPr="0027432D">
        <w:rPr>
          <w:lang w:val="fr-FR"/>
        </w:rPr>
        <w:t xml:space="preserve"> effets des dispositions du droit interne des États et des règles des organisations internationales sur la compétence des États ou des organisations de convenir de l</w:t>
      </w:r>
      <w:r>
        <w:rPr>
          <w:lang w:val="fr-FR"/>
        </w:rPr>
        <w:t>’</w:t>
      </w:r>
      <w:r w:rsidRPr="0027432D">
        <w:rPr>
          <w:lang w:val="fr-FR"/>
        </w:rPr>
        <w:t>application à titre provisoire des traités</w:t>
      </w:r>
      <w:r w:rsidRPr="00F22925">
        <w:rPr>
          <w:lang w:val="fr-FR"/>
        </w:rPr>
        <w:t>.</w:t>
      </w:r>
      <w:r>
        <w:rPr>
          <w:lang w:val="fr-FR"/>
        </w:rPr>
        <w:t xml:space="preserve"> </w:t>
      </w:r>
      <w:r w:rsidRPr="0027432D">
        <w:rPr>
          <w:lang w:val="fr-FR"/>
        </w:rPr>
        <w:t>Le premier paragraphe concerne le droit interne des États</w:t>
      </w:r>
      <w:r>
        <w:rPr>
          <w:lang w:val="fr-FR"/>
        </w:rPr>
        <w:t>,</w:t>
      </w:r>
      <w:r w:rsidRPr="0027432D">
        <w:rPr>
          <w:lang w:val="fr-FR"/>
        </w:rPr>
        <w:t xml:space="preserve"> et le second</w:t>
      </w:r>
      <w:r>
        <w:rPr>
          <w:lang w:val="fr-FR"/>
        </w:rPr>
        <w:t>,</w:t>
      </w:r>
      <w:r w:rsidRPr="0027432D">
        <w:rPr>
          <w:lang w:val="fr-FR"/>
        </w:rPr>
        <w:t xml:space="preserve"> les règles des organisations internationales</w:t>
      </w:r>
      <w:r w:rsidRPr="00F22925">
        <w:rPr>
          <w:lang w:val="fr-FR"/>
        </w:rPr>
        <w:t>.</w:t>
      </w:r>
      <w:r>
        <w:rPr>
          <w:lang w:val="fr-FR"/>
        </w:rPr>
        <w:t xml:space="preserve"> </w:t>
      </w:r>
    </w:p>
    <w:p w14:paraId="22B3D7AE" w14:textId="77777777" w:rsidR="0043175D" w:rsidRDefault="0043175D" w:rsidP="0043175D">
      <w:pPr>
        <w:pStyle w:val="SingleTxtG"/>
        <w:rPr>
          <w:lang w:val="fr-FR"/>
        </w:rPr>
      </w:pPr>
      <w:r w:rsidRPr="00267E87">
        <w:rPr>
          <w:lang w:val="fr-FR"/>
        </w:rPr>
        <w:t>2)</w:t>
      </w:r>
      <w:r w:rsidRPr="00267E87">
        <w:rPr>
          <w:lang w:val="fr-FR"/>
        </w:rPr>
        <w:tab/>
      </w:r>
      <w:r w:rsidRPr="0027432D">
        <w:rPr>
          <w:lang w:val="fr-FR"/>
        </w:rPr>
        <w:t>Le projet de directive 11 est inspiré du libellé de l</w:t>
      </w:r>
      <w:r>
        <w:rPr>
          <w:lang w:val="fr-FR"/>
        </w:rPr>
        <w:t>’</w:t>
      </w:r>
      <w:r w:rsidRPr="0027432D">
        <w:rPr>
          <w:lang w:val="fr-FR"/>
        </w:rPr>
        <w:t>article 46 des Conventions de Vienne de 1969 et de 1986</w:t>
      </w:r>
      <w:r w:rsidRPr="00F22925">
        <w:rPr>
          <w:lang w:val="fr-FR"/>
        </w:rPr>
        <w:t>.</w:t>
      </w:r>
      <w:r>
        <w:rPr>
          <w:lang w:val="fr-FR"/>
        </w:rPr>
        <w:t xml:space="preserve"> </w:t>
      </w:r>
      <w:r w:rsidRPr="0027432D">
        <w:rPr>
          <w:lang w:val="fr-FR"/>
        </w:rPr>
        <w:t xml:space="preserve">Plus précisément, </w:t>
      </w:r>
      <w:r w:rsidRPr="00D110D5">
        <w:rPr>
          <w:lang w:val="fr-FR"/>
        </w:rPr>
        <w:t xml:space="preserve">le premier paragraphe </w:t>
      </w:r>
      <w:r w:rsidRPr="0027432D">
        <w:rPr>
          <w:lang w:val="fr-FR"/>
        </w:rPr>
        <w:t>est inspiré du paragraphe</w:t>
      </w:r>
      <w:r>
        <w:rPr>
          <w:lang w:val="fr-FR"/>
        </w:rPr>
        <w:t> </w:t>
      </w:r>
      <w:r w:rsidRPr="0027432D">
        <w:rPr>
          <w:lang w:val="fr-FR"/>
        </w:rPr>
        <w:t>1 de l</w:t>
      </w:r>
      <w:r>
        <w:rPr>
          <w:lang w:val="fr-FR"/>
        </w:rPr>
        <w:t>’</w:t>
      </w:r>
      <w:r w:rsidRPr="0027432D">
        <w:rPr>
          <w:lang w:val="fr-FR"/>
        </w:rPr>
        <w:t>article 46 de la Convention de Vienne de 1969</w:t>
      </w:r>
      <w:r w:rsidRPr="00F22830">
        <w:rPr>
          <w:rStyle w:val="FootnoteReference"/>
        </w:rPr>
        <w:footnoteReference w:id="52"/>
      </w:r>
      <w:r w:rsidRPr="0027432D">
        <w:rPr>
          <w:lang w:val="fr-FR"/>
        </w:rPr>
        <w:t>, et le second</w:t>
      </w:r>
      <w:r>
        <w:rPr>
          <w:lang w:val="fr-FR"/>
        </w:rPr>
        <w:t>,</w:t>
      </w:r>
      <w:r w:rsidRPr="0027432D">
        <w:rPr>
          <w:lang w:val="fr-FR"/>
        </w:rPr>
        <w:t xml:space="preserve"> du </w:t>
      </w:r>
      <w:r w:rsidRPr="0027432D">
        <w:rPr>
          <w:lang w:val="fr-FR"/>
        </w:rPr>
        <w:lastRenderedPageBreak/>
        <w:t>paragraphe 2 de l</w:t>
      </w:r>
      <w:r>
        <w:rPr>
          <w:lang w:val="fr-FR"/>
        </w:rPr>
        <w:t>’</w:t>
      </w:r>
      <w:r w:rsidRPr="0027432D">
        <w:rPr>
          <w:lang w:val="fr-FR"/>
        </w:rPr>
        <w:t>article 46 de la Convention de Vienne de 1986</w:t>
      </w:r>
      <w:r w:rsidRPr="00F22830">
        <w:rPr>
          <w:rStyle w:val="FootnoteReference"/>
        </w:rPr>
        <w:footnoteReference w:id="53"/>
      </w:r>
      <w:r w:rsidRPr="00F22925">
        <w:rPr>
          <w:lang w:val="fr-FR"/>
        </w:rPr>
        <w:t>.</w:t>
      </w:r>
      <w:r>
        <w:rPr>
          <w:lang w:val="fr-FR"/>
        </w:rPr>
        <w:t xml:space="preserve"> </w:t>
      </w:r>
      <w:r w:rsidRPr="0093239B">
        <w:rPr>
          <w:lang w:val="fr-FR"/>
        </w:rPr>
        <w:t xml:space="preserve">Le projet de directive </w:t>
      </w:r>
      <w:r>
        <w:rPr>
          <w:lang w:val="fr-FR"/>
        </w:rPr>
        <w:t xml:space="preserve">doit </w:t>
      </w:r>
      <w:r w:rsidRPr="0093239B">
        <w:rPr>
          <w:lang w:val="fr-FR"/>
        </w:rPr>
        <w:t xml:space="preserve">donc être considéré conjointement avec ces articles ainsi que les autres règles </w:t>
      </w:r>
      <w:r>
        <w:rPr>
          <w:lang w:val="fr-FR"/>
        </w:rPr>
        <w:t xml:space="preserve">de </w:t>
      </w:r>
      <w:r w:rsidRPr="0093239B">
        <w:rPr>
          <w:lang w:val="fr-FR"/>
        </w:rPr>
        <w:t>droit international</w:t>
      </w:r>
      <w:r w:rsidRPr="006F5541">
        <w:rPr>
          <w:lang w:val="fr-FR"/>
        </w:rPr>
        <w:t xml:space="preserve"> </w:t>
      </w:r>
      <w:r w:rsidRPr="0093239B">
        <w:rPr>
          <w:lang w:val="fr-FR"/>
        </w:rPr>
        <w:t>applicables</w:t>
      </w:r>
      <w:r w:rsidRPr="00F22925">
        <w:rPr>
          <w:lang w:val="fr-FR"/>
        </w:rPr>
        <w:t>.</w:t>
      </w:r>
      <w:r>
        <w:rPr>
          <w:lang w:val="fr-FR"/>
        </w:rPr>
        <w:t xml:space="preserve"> </w:t>
      </w:r>
    </w:p>
    <w:p w14:paraId="68660294" w14:textId="77777777" w:rsidR="0043175D" w:rsidRDefault="0043175D" w:rsidP="0043175D">
      <w:pPr>
        <w:pStyle w:val="SingleTxtG"/>
        <w:rPr>
          <w:lang w:val="fr-FR"/>
        </w:rPr>
      </w:pPr>
      <w:r w:rsidRPr="00267E87">
        <w:rPr>
          <w:lang w:val="fr-FR"/>
        </w:rPr>
        <w:t>3)</w:t>
      </w:r>
      <w:r w:rsidRPr="00267E87">
        <w:rPr>
          <w:lang w:val="fr-FR"/>
        </w:rPr>
        <w:tab/>
      </w:r>
      <w:r w:rsidRPr="00BA3BB2">
        <w:rPr>
          <w:lang w:val="fr-FR"/>
        </w:rPr>
        <w:t>Le projet de directive 11 dispose que</w:t>
      </w:r>
      <w:r>
        <w:rPr>
          <w:lang w:val="fr-FR"/>
        </w:rPr>
        <w:t xml:space="preserve"> </w:t>
      </w:r>
      <w:r w:rsidRPr="00BA3BB2">
        <w:rPr>
          <w:lang w:val="fr-FR"/>
        </w:rPr>
        <w:t>la nullité du consentement à l</w:t>
      </w:r>
      <w:r>
        <w:rPr>
          <w:lang w:val="fr-FR"/>
        </w:rPr>
        <w:t>’</w:t>
      </w:r>
      <w:r w:rsidRPr="00BA3BB2">
        <w:rPr>
          <w:lang w:val="fr-FR"/>
        </w:rPr>
        <w:t>application à titre provisoire</w:t>
      </w:r>
      <w:r>
        <w:rPr>
          <w:lang w:val="fr-FR"/>
        </w:rPr>
        <w:t xml:space="preserve"> ne peut être invoquée qu’en cas de</w:t>
      </w:r>
      <w:r w:rsidRPr="00BA3BB2">
        <w:rPr>
          <w:lang w:val="fr-FR"/>
        </w:rPr>
        <w:t xml:space="preserve"> violation manifeste du droit interne de l</w:t>
      </w:r>
      <w:r>
        <w:rPr>
          <w:lang w:val="fr-FR"/>
        </w:rPr>
        <w:t>’</w:t>
      </w:r>
      <w:r w:rsidRPr="00BA3BB2">
        <w:rPr>
          <w:lang w:val="fr-FR"/>
        </w:rPr>
        <w:t>État ou des règles de l</w:t>
      </w:r>
      <w:r>
        <w:rPr>
          <w:lang w:val="fr-FR"/>
        </w:rPr>
        <w:t>’</w:t>
      </w:r>
      <w:r w:rsidRPr="00BA3BB2">
        <w:rPr>
          <w:lang w:val="fr-FR"/>
        </w:rPr>
        <w:t>organisation concernant la compétence de l</w:t>
      </w:r>
      <w:r>
        <w:rPr>
          <w:lang w:val="fr-FR"/>
        </w:rPr>
        <w:t>’</w:t>
      </w:r>
      <w:r w:rsidRPr="00BA3BB2">
        <w:rPr>
          <w:lang w:val="fr-FR"/>
        </w:rPr>
        <w:t>État ou de l</w:t>
      </w:r>
      <w:r>
        <w:rPr>
          <w:lang w:val="fr-FR"/>
        </w:rPr>
        <w:t>’</w:t>
      </w:r>
      <w:r w:rsidRPr="00BA3BB2">
        <w:rPr>
          <w:lang w:val="fr-FR"/>
        </w:rPr>
        <w:t>organisation de convenir de l</w:t>
      </w:r>
      <w:r>
        <w:rPr>
          <w:lang w:val="fr-FR"/>
        </w:rPr>
        <w:t>’</w:t>
      </w:r>
      <w:r w:rsidRPr="00BA3BB2">
        <w:rPr>
          <w:lang w:val="fr-FR"/>
        </w:rPr>
        <w:t>application à titre provisoire</w:t>
      </w:r>
      <w:r>
        <w:rPr>
          <w:lang w:val="fr-FR"/>
        </w:rPr>
        <w:t xml:space="preserve">, sachant de surcroît que la </w:t>
      </w:r>
      <w:r w:rsidRPr="00BA3BB2">
        <w:rPr>
          <w:lang w:val="fr-FR"/>
        </w:rPr>
        <w:t>violation doit concerner une règle d</w:t>
      </w:r>
      <w:r>
        <w:rPr>
          <w:lang w:val="fr-FR"/>
        </w:rPr>
        <w:t>’</w:t>
      </w:r>
      <w:r w:rsidRPr="00BA3BB2">
        <w:rPr>
          <w:lang w:val="fr-FR"/>
        </w:rPr>
        <w:t>importance fondamentale</w:t>
      </w:r>
      <w:r w:rsidRPr="00F22925">
        <w:rPr>
          <w:lang w:val="fr-FR"/>
        </w:rPr>
        <w:t>.</w:t>
      </w:r>
      <w:r>
        <w:rPr>
          <w:lang w:val="fr-FR"/>
        </w:rPr>
        <w:t xml:space="preserve"> </w:t>
      </w:r>
    </w:p>
    <w:p w14:paraId="2C7DD5D6" w14:textId="77777777" w:rsidR="0043175D" w:rsidRDefault="0043175D" w:rsidP="0043175D">
      <w:pPr>
        <w:pStyle w:val="SingleTxtG"/>
        <w:rPr>
          <w:lang w:val="fr-FR"/>
        </w:rPr>
      </w:pPr>
      <w:r w:rsidRPr="00267E87">
        <w:rPr>
          <w:lang w:val="fr-FR"/>
        </w:rPr>
        <w:t>4)</w:t>
      </w:r>
      <w:r w:rsidRPr="00267E87">
        <w:rPr>
          <w:lang w:val="fr-FR"/>
        </w:rPr>
        <w:tab/>
      </w:r>
      <w:r w:rsidRPr="00BA3BB2">
        <w:rPr>
          <w:lang w:val="fr-FR"/>
        </w:rPr>
        <w:t xml:space="preserve">Une violation est « manifeste » si elle est objectivement évidente pour tout État ou toute organisation internationale se comportant en la matière conformément à la pratique habituelle des États ou des organisations internationales, </w:t>
      </w:r>
      <w:r>
        <w:rPr>
          <w:lang w:val="fr-FR"/>
        </w:rPr>
        <w:t xml:space="preserve">selon le cas, </w:t>
      </w:r>
      <w:r w:rsidRPr="00BA3BB2">
        <w:rPr>
          <w:lang w:val="fr-FR"/>
        </w:rPr>
        <w:t>et de bonne foi</w:t>
      </w:r>
      <w:r w:rsidRPr="00F22830">
        <w:rPr>
          <w:rStyle w:val="FootnoteReference"/>
        </w:rPr>
        <w:footnoteReference w:id="54"/>
      </w:r>
      <w:r w:rsidRPr="00F22925">
        <w:rPr>
          <w:lang w:val="fr-FR"/>
        </w:rPr>
        <w:t>.</w:t>
      </w:r>
    </w:p>
    <w:p w14:paraId="7281460F" w14:textId="77777777" w:rsidR="0043175D" w:rsidRPr="00267E87" w:rsidRDefault="0043175D" w:rsidP="0043175D">
      <w:pPr>
        <w:pStyle w:val="H23G"/>
        <w:ind w:left="1701" w:firstLine="0"/>
        <w:rPr>
          <w:lang w:val="fr-FR"/>
        </w:rPr>
      </w:pPr>
      <w:r>
        <w:rPr>
          <w:lang w:val="fr-FR"/>
        </w:rPr>
        <w:t>Directiv</w:t>
      </w:r>
      <w:r w:rsidRPr="00267E87">
        <w:rPr>
          <w:lang w:val="fr-FR"/>
        </w:rPr>
        <w:t>e 12</w:t>
      </w:r>
      <w:r w:rsidRPr="00267E87">
        <w:rPr>
          <w:lang w:val="fr-FR"/>
        </w:rPr>
        <w:br/>
        <w:t>Accord relatif à l</w:t>
      </w:r>
      <w:r>
        <w:rPr>
          <w:lang w:val="fr-FR"/>
        </w:rPr>
        <w:t>’</w:t>
      </w:r>
      <w:r w:rsidRPr="00267E87">
        <w:rPr>
          <w:lang w:val="fr-FR"/>
        </w:rPr>
        <w:t xml:space="preserve">application à titre provisoire avec des limites découlant </w:t>
      </w:r>
      <w:r>
        <w:rPr>
          <w:lang w:val="fr-FR"/>
        </w:rPr>
        <w:br/>
      </w:r>
      <w:r w:rsidRPr="00267E87">
        <w:rPr>
          <w:lang w:val="fr-FR"/>
        </w:rPr>
        <w:t>du droit interne des États ou des règles des organisations internationales</w:t>
      </w:r>
    </w:p>
    <w:p w14:paraId="6469AD0D" w14:textId="77777777" w:rsidR="0043175D" w:rsidRPr="00267E87" w:rsidRDefault="0043175D" w:rsidP="0043175D">
      <w:pPr>
        <w:pStyle w:val="SingleTxtG"/>
        <w:ind w:left="1701"/>
        <w:rPr>
          <w:lang w:val="fr-FR"/>
        </w:rPr>
      </w:pPr>
      <w:r w:rsidRPr="00267E87">
        <w:rPr>
          <w:lang w:val="fr-FR"/>
        </w:rPr>
        <w:tab/>
      </w:r>
      <w:r w:rsidRPr="00F316A3">
        <w:rPr>
          <w:lang w:val="fr-FR"/>
        </w:rPr>
        <w:t>Les présents projets de directive sont sans préjudice du droit des États ou des organisations internationales de convenir, dans le traité lui-même ou autrement, de l</w:t>
      </w:r>
      <w:r>
        <w:rPr>
          <w:lang w:val="fr-FR"/>
        </w:rPr>
        <w:t>’</w:t>
      </w:r>
      <w:r w:rsidRPr="00F316A3">
        <w:rPr>
          <w:lang w:val="fr-FR"/>
        </w:rPr>
        <w:t>application à titre provisoire du traité ou d</w:t>
      </w:r>
      <w:r>
        <w:rPr>
          <w:lang w:val="fr-FR"/>
        </w:rPr>
        <w:t>’</w:t>
      </w:r>
      <w:r w:rsidRPr="00F316A3">
        <w:rPr>
          <w:lang w:val="fr-FR"/>
        </w:rPr>
        <w:t>une partie du traité avec des limites découlant du droit interne des États ou des règles des organisations internationales</w:t>
      </w:r>
      <w:r w:rsidRPr="00F22925">
        <w:rPr>
          <w:lang w:val="fr-FR"/>
        </w:rPr>
        <w:t>.</w:t>
      </w:r>
    </w:p>
    <w:p w14:paraId="4520B273" w14:textId="77777777" w:rsidR="0043175D" w:rsidRPr="00267E87" w:rsidRDefault="0043175D" w:rsidP="0043175D">
      <w:pPr>
        <w:pStyle w:val="H23G"/>
        <w:rPr>
          <w:lang w:val="fr-FR"/>
        </w:rPr>
      </w:pPr>
      <w:r w:rsidRPr="00267E87">
        <w:rPr>
          <w:lang w:val="fr-FR"/>
        </w:rPr>
        <w:tab/>
      </w:r>
      <w:r w:rsidRPr="00267E87">
        <w:rPr>
          <w:lang w:val="fr-FR"/>
        </w:rPr>
        <w:tab/>
      </w:r>
      <w:bookmarkStart w:id="22" w:name="_Toc522896365"/>
      <w:bookmarkStart w:id="23" w:name="_Toc523727675"/>
      <w:r w:rsidRPr="00267E87">
        <w:rPr>
          <w:lang w:val="fr-FR"/>
        </w:rPr>
        <w:t>Commenta</w:t>
      </w:r>
      <w:bookmarkEnd w:id="22"/>
      <w:bookmarkEnd w:id="23"/>
      <w:r>
        <w:rPr>
          <w:lang w:val="fr-FR"/>
        </w:rPr>
        <w:t>ire</w:t>
      </w:r>
    </w:p>
    <w:p w14:paraId="126AC0BE" w14:textId="77777777" w:rsidR="0043175D" w:rsidRDefault="0043175D" w:rsidP="0043175D">
      <w:pPr>
        <w:pStyle w:val="SingleTxtG"/>
        <w:rPr>
          <w:lang w:val="fr-FR"/>
        </w:rPr>
      </w:pPr>
      <w:r w:rsidRPr="00267E87">
        <w:rPr>
          <w:lang w:val="fr-FR"/>
        </w:rPr>
        <w:t>1)</w:t>
      </w:r>
      <w:r w:rsidRPr="00267E87">
        <w:rPr>
          <w:lang w:val="fr-FR"/>
        </w:rPr>
        <w:tab/>
      </w:r>
      <w:r w:rsidRPr="00C2694A">
        <w:rPr>
          <w:lang w:val="fr-FR"/>
        </w:rPr>
        <w:t xml:space="preserve">Le projet de directive 12 </w:t>
      </w:r>
      <w:r>
        <w:rPr>
          <w:lang w:val="fr-FR"/>
        </w:rPr>
        <w:t xml:space="preserve">concerne les </w:t>
      </w:r>
      <w:r w:rsidRPr="00C2694A">
        <w:rPr>
          <w:lang w:val="fr-FR"/>
        </w:rPr>
        <w:t xml:space="preserve">limites </w:t>
      </w:r>
      <w:r>
        <w:rPr>
          <w:lang w:val="fr-FR"/>
        </w:rPr>
        <w:t>auxquelles le</w:t>
      </w:r>
      <w:r w:rsidRPr="00C2694A">
        <w:rPr>
          <w:lang w:val="fr-FR"/>
        </w:rPr>
        <w:t xml:space="preserve"> droit interne d</w:t>
      </w:r>
      <w:r>
        <w:rPr>
          <w:lang w:val="fr-FR"/>
        </w:rPr>
        <w:t>’</w:t>
      </w:r>
      <w:r w:rsidRPr="00C2694A">
        <w:rPr>
          <w:lang w:val="fr-FR"/>
        </w:rPr>
        <w:t xml:space="preserve">un État ou </w:t>
      </w:r>
      <w:r>
        <w:rPr>
          <w:lang w:val="fr-FR"/>
        </w:rPr>
        <w:t>les</w:t>
      </w:r>
      <w:r w:rsidRPr="00C2694A">
        <w:rPr>
          <w:lang w:val="fr-FR"/>
        </w:rPr>
        <w:t xml:space="preserve"> règles d</w:t>
      </w:r>
      <w:r>
        <w:rPr>
          <w:lang w:val="fr-FR"/>
        </w:rPr>
        <w:t>’</w:t>
      </w:r>
      <w:r w:rsidRPr="00C2694A">
        <w:rPr>
          <w:lang w:val="fr-FR"/>
        </w:rPr>
        <w:t>une organisation internationale</w:t>
      </w:r>
      <w:r>
        <w:rPr>
          <w:lang w:val="fr-FR"/>
        </w:rPr>
        <w:t xml:space="preserve"> peuvent assujettir </w:t>
      </w:r>
      <w:r w:rsidRPr="00C2694A">
        <w:rPr>
          <w:lang w:val="fr-FR"/>
        </w:rPr>
        <w:t>l</w:t>
      </w:r>
      <w:r>
        <w:rPr>
          <w:lang w:val="fr-FR"/>
        </w:rPr>
        <w:t>’</w:t>
      </w:r>
      <w:r w:rsidRPr="00C2694A">
        <w:rPr>
          <w:lang w:val="fr-FR"/>
        </w:rPr>
        <w:t>application à titre provisoire d</w:t>
      </w:r>
      <w:r>
        <w:rPr>
          <w:lang w:val="fr-FR"/>
        </w:rPr>
        <w:t>’</w:t>
      </w:r>
      <w:r w:rsidRPr="00C2694A">
        <w:rPr>
          <w:lang w:val="fr-FR"/>
        </w:rPr>
        <w:t>un traité ou d</w:t>
      </w:r>
      <w:r>
        <w:rPr>
          <w:lang w:val="fr-FR"/>
        </w:rPr>
        <w:t>’</w:t>
      </w:r>
      <w:r w:rsidRPr="00C2694A">
        <w:rPr>
          <w:lang w:val="fr-FR"/>
        </w:rPr>
        <w:t>une partie d</w:t>
      </w:r>
      <w:r>
        <w:rPr>
          <w:lang w:val="fr-FR"/>
        </w:rPr>
        <w:t>’</w:t>
      </w:r>
      <w:r w:rsidRPr="00C2694A">
        <w:rPr>
          <w:lang w:val="fr-FR"/>
        </w:rPr>
        <w:t>un traité</w:t>
      </w:r>
      <w:r w:rsidRPr="00F22925">
        <w:rPr>
          <w:lang w:val="fr-FR"/>
        </w:rPr>
        <w:t>.</w:t>
      </w:r>
      <w:r>
        <w:rPr>
          <w:lang w:val="fr-FR"/>
        </w:rPr>
        <w:t xml:space="preserve"> Les limites en question peuvent concerner le fond du droit ou la procédure, par exemple la procédure d’expression du consentement à être lié par un traité, ou une combinaison des deux</w:t>
      </w:r>
      <w:r w:rsidRPr="00F22925">
        <w:rPr>
          <w:lang w:val="fr-FR"/>
        </w:rPr>
        <w:t>.</w:t>
      </w:r>
      <w:r>
        <w:rPr>
          <w:lang w:val="fr-FR"/>
        </w:rPr>
        <w:t xml:space="preserve"> Les</w:t>
      </w:r>
      <w:r w:rsidRPr="00C2694A">
        <w:rPr>
          <w:lang w:val="fr-FR"/>
        </w:rPr>
        <w:t xml:space="preserve"> États et </w:t>
      </w:r>
      <w:r>
        <w:rPr>
          <w:lang w:val="fr-FR"/>
        </w:rPr>
        <w:t>les</w:t>
      </w:r>
      <w:r w:rsidRPr="00C2694A">
        <w:rPr>
          <w:lang w:val="fr-FR"/>
        </w:rPr>
        <w:t xml:space="preserve"> organisations internationales </w:t>
      </w:r>
      <w:r>
        <w:rPr>
          <w:lang w:val="fr-FR"/>
        </w:rPr>
        <w:t>peuvent</w:t>
      </w:r>
      <w:r w:rsidRPr="00C2694A">
        <w:rPr>
          <w:lang w:val="fr-FR"/>
        </w:rPr>
        <w:t xml:space="preserve"> convenir de l</w:t>
      </w:r>
      <w:r>
        <w:rPr>
          <w:lang w:val="fr-FR"/>
        </w:rPr>
        <w:t>’</w:t>
      </w:r>
      <w:r w:rsidRPr="00C2694A">
        <w:rPr>
          <w:lang w:val="fr-FR"/>
        </w:rPr>
        <w:t>application à titre provisoire d</w:t>
      </w:r>
      <w:r>
        <w:rPr>
          <w:lang w:val="fr-FR"/>
        </w:rPr>
        <w:t>’</w:t>
      </w:r>
      <w:r w:rsidRPr="00C2694A">
        <w:rPr>
          <w:lang w:val="fr-FR"/>
        </w:rPr>
        <w:t>un traité ou d</w:t>
      </w:r>
      <w:r>
        <w:rPr>
          <w:lang w:val="fr-FR"/>
        </w:rPr>
        <w:t>’</w:t>
      </w:r>
      <w:r w:rsidRPr="00C2694A">
        <w:rPr>
          <w:lang w:val="fr-FR"/>
        </w:rPr>
        <w:t>une partie d</w:t>
      </w:r>
      <w:r>
        <w:rPr>
          <w:lang w:val="fr-FR"/>
        </w:rPr>
        <w:t>’</w:t>
      </w:r>
      <w:r w:rsidRPr="00C2694A">
        <w:rPr>
          <w:lang w:val="fr-FR"/>
        </w:rPr>
        <w:t xml:space="preserve">un traité sous réserve </w:t>
      </w:r>
      <w:r>
        <w:rPr>
          <w:lang w:val="fr-FR"/>
        </w:rPr>
        <w:t>des</w:t>
      </w:r>
      <w:r w:rsidRPr="00C2694A">
        <w:rPr>
          <w:lang w:val="fr-FR"/>
        </w:rPr>
        <w:t xml:space="preserve"> limites</w:t>
      </w:r>
      <w:r>
        <w:rPr>
          <w:lang w:val="fr-FR"/>
        </w:rPr>
        <w:t xml:space="preserve"> découlant de leur droit interne ou de </w:t>
      </w:r>
      <w:proofErr w:type="gramStart"/>
      <w:r>
        <w:rPr>
          <w:lang w:val="fr-FR"/>
        </w:rPr>
        <w:t>leur règles</w:t>
      </w:r>
      <w:proofErr w:type="gramEnd"/>
      <w:r>
        <w:rPr>
          <w:lang w:val="fr-FR"/>
        </w:rPr>
        <w:t>, ce qui peut se refléter dans leur expression du</w:t>
      </w:r>
      <w:r w:rsidRPr="00C2694A">
        <w:rPr>
          <w:lang w:val="fr-FR"/>
        </w:rPr>
        <w:t xml:space="preserve"> consentement à l</w:t>
      </w:r>
      <w:r>
        <w:rPr>
          <w:lang w:val="fr-FR"/>
        </w:rPr>
        <w:t>’</w:t>
      </w:r>
      <w:r w:rsidRPr="00C2694A">
        <w:rPr>
          <w:lang w:val="fr-FR"/>
        </w:rPr>
        <w:t>application provisoire</w:t>
      </w:r>
      <w:r w:rsidRPr="00F22925">
        <w:rPr>
          <w:lang w:val="fr-FR"/>
        </w:rPr>
        <w:t>.</w:t>
      </w:r>
    </w:p>
    <w:p w14:paraId="24710022" w14:textId="77777777" w:rsidR="0043175D" w:rsidRDefault="0043175D" w:rsidP="0043175D">
      <w:pPr>
        <w:pStyle w:val="SingleTxtG"/>
        <w:rPr>
          <w:lang w:val="fr-FR"/>
        </w:rPr>
      </w:pPr>
      <w:r w:rsidRPr="00267E87">
        <w:rPr>
          <w:lang w:val="fr-FR"/>
        </w:rPr>
        <w:t>2)</w:t>
      </w:r>
      <w:r w:rsidRPr="00267E87">
        <w:rPr>
          <w:lang w:val="fr-FR"/>
        </w:rPr>
        <w:tab/>
      </w:r>
      <w:r>
        <w:rPr>
          <w:lang w:val="fr-FR"/>
        </w:rPr>
        <w:t xml:space="preserve">Le </w:t>
      </w:r>
      <w:r w:rsidRPr="00C2694A">
        <w:rPr>
          <w:lang w:val="fr-FR"/>
        </w:rPr>
        <w:t xml:space="preserve">projet de directive </w:t>
      </w:r>
      <w:r>
        <w:rPr>
          <w:lang w:val="fr-FR"/>
        </w:rPr>
        <w:t xml:space="preserve">consacre le droit qu’ont les </w:t>
      </w:r>
      <w:r w:rsidRPr="00C2694A">
        <w:rPr>
          <w:lang w:val="fr-FR"/>
        </w:rPr>
        <w:t xml:space="preserve">États et </w:t>
      </w:r>
      <w:r>
        <w:rPr>
          <w:lang w:val="fr-FR"/>
        </w:rPr>
        <w:t>les</w:t>
      </w:r>
      <w:r w:rsidRPr="00C2694A">
        <w:rPr>
          <w:lang w:val="fr-FR"/>
        </w:rPr>
        <w:t xml:space="preserve"> organisations internationales </w:t>
      </w:r>
      <w:r>
        <w:rPr>
          <w:lang w:val="fr-FR"/>
        </w:rPr>
        <w:t>de</w:t>
      </w:r>
      <w:r w:rsidRPr="00C2694A">
        <w:rPr>
          <w:lang w:val="fr-FR"/>
        </w:rPr>
        <w:t xml:space="preserve"> convenir </w:t>
      </w:r>
      <w:r>
        <w:rPr>
          <w:lang w:val="fr-FR"/>
        </w:rPr>
        <w:t xml:space="preserve">d’appliquer </w:t>
      </w:r>
      <w:r w:rsidRPr="00C2694A">
        <w:rPr>
          <w:lang w:val="fr-FR"/>
        </w:rPr>
        <w:t>provisoire</w:t>
      </w:r>
      <w:r>
        <w:rPr>
          <w:lang w:val="fr-FR"/>
        </w:rPr>
        <w:t xml:space="preserve">ment </w:t>
      </w:r>
      <w:r w:rsidRPr="00C2694A">
        <w:rPr>
          <w:lang w:val="fr-FR"/>
        </w:rPr>
        <w:t>un traité ou une partie d</w:t>
      </w:r>
      <w:r>
        <w:rPr>
          <w:lang w:val="fr-FR"/>
        </w:rPr>
        <w:t>’</w:t>
      </w:r>
      <w:r w:rsidRPr="00C2694A">
        <w:rPr>
          <w:lang w:val="fr-FR"/>
        </w:rPr>
        <w:t xml:space="preserve">un traité </w:t>
      </w:r>
      <w:r>
        <w:rPr>
          <w:lang w:val="fr-FR"/>
        </w:rPr>
        <w:t>dans le respect de ces limites</w:t>
      </w:r>
      <w:r w:rsidRPr="00F22925">
        <w:rPr>
          <w:lang w:val="fr-FR"/>
        </w:rPr>
        <w:t>.</w:t>
      </w:r>
      <w:r>
        <w:rPr>
          <w:lang w:val="fr-FR"/>
        </w:rPr>
        <w:t xml:space="preserve"> </w:t>
      </w:r>
      <w:r w:rsidRPr="00C2694A">
        <w:rPr>
          <w:lang w:val="fr-FR"/>
        </w:rPr>
        <w:t xml:space="preserve">Ainsi, le projet de directive prévoit la possibilité que le </w:t>
      </w:r>
      <w:r w:rsidRPr="00C2694A">
        <w:rPr>
          <w:lang w:val="fr-FR"/>
        </w:rPr>
        <w:lastRenderedPageBreak/>
        <w:t>traité renvoie expressément au droit interne de l</w:t>
      </w:r>
      <w:r>
        <w:rPr>
          <w:lang w:val="fr-FR"/>
        </w:rPr>
        <w:t>’</w:t>
      </w:r>
      <w:r w:rsidRPr="00C2694A">
        <w:rPr>
          <w:lang w:val="fr-FR"/>
        </w:rPr>
        <w:t>État ou aux règles de l</w:t>
      </w:r>
      <w:r>
        <w:rPr>
          <w:lang w:val="fr-FR"/>
        </w:rPr>
        <w:t>’</w:t>
      </w:r>
      <w:r w:rsidRPr="00C2694A">
        <w:rPr>
          <w:lang w:val="fr-FR"/>
        </w:rPr>
        <w:t>organisation internationale et subordonne l</w:t>
      </w:r>
      <w:r>
        <w:rPr>
          <w:lang w:val="fr-FR"/>
        </w:rPr>
        <w:t>’</w:t>
      </w:r>
      <w:r w:rsidRPr="00C2694A">
        <w:rPr>
          <w:lang w:val="fr-FR"/>
        </w:rPr>
        <w:t xml:space="preserve">application à titre provisoire à </w:t>
      </w:r>
      <w:r>
        <w:rPr>
          <w:lang w:val="fr-FR"/>
        </w:rPr>
        <w:t>la non-</w:t>
      </w:r>
      <w:r w:rsidRPr="00C2694A">
        <w:rPr>
          <w:lang w:val="fr-FR"/>
        </w:rPr>
        <w:t>violation du droit interne de l</w:t>
      </w:r>
      <w:r>
        <w:rPr>
          <w:lang w:val="fr-FR"/>
        </w:rPr>
        <w:t>’</w:t>
      </w:r>
      <w:r w:rsidRPr="00C2694A">
        <w:rPr>
          <w:lang w:val="fr-FR"/>
        </w:rPr>
        <w:t>État ou des règles de l</w:t>
      </w:r>
      <w:r>
        <w:rPr>
          <w:lang w:val="fr-FR"/>
        </w:rPr>
        <w:t>’</w:t>
      </w:r>
      <w:r w:rsidRPr="00C2694A">
        <w:rPr>
          <w:lang w:val="fr-FR"/>
        </w:rPr>
        <w:t>organisation</w:t>
      </w:r>
      <w:r w:rsidRPr="00F22830">
        <w:rPr>
          <w:rStyle w:val="FootnoteReference"/>
        </w:rPr>
        <w:footnoteReference w:id="55"/>
      </w:r>
      <w:r w:rsidRPr="00F22925">
        <w:rPr>
          <w:lang w:val="fr-FR"/>
        </w:rPr>
        <w:t>.</w:t>
      </w:r>
    </w:p>
    <w:p w14:paraId="1E1EDA4A" w14:textId="77777777" w:rsidR="0043175D" w:rsidRDefault="0043175D" w:rsidP="0043175D">
      <w:pPr>
        <w:pStyle w:val="SingleTxtG"/>
        <w:rPr>
          <w:lang w:val="fr-FR"/>
        </w:rPr>
      </w:pPr>
      <w:r w:rsidRPr="00267E87">
        <w:rPr>
          <w:lang w:val="fr-FR"/>
        </w:rPr>
        <w:t>3)</w:t>
      </w:r>
      <w:r w:rsidRPr="00267E87">
        <w:rPr>
          <w:lang w:val="fr-FR"/>
        </w:rPr>
        <w:tab/>
      </w:r>
      <w:r>
        <w:rPr>
          <w:lang w:val="fr-FR"/>
        </w:rPr>
        <w:t xml:space="preserve">L’intitulé </w:t>
      </w:r>
      <w:r w:rsidRPr="00C2694A">
        <w:rPr>
          <w:lang w:val="fr-FR"/>
        </w:rPr>
        <w:t>du projet de directive traduit le fait que l</w:t>
      </w:r>
      <w:r>
        <w:rPr>
          <w:lang w:val="fr-FR"/>
        </w:rPr>
        <w:t>’</w:t>
      </w:r>
      <w:r w:rsidRPr="00C2694A">
        <w:rPr>
          <w:lang w:val="fr-FR"/>
        </w:rPr>
        <w:t xml:space="preserve">application à titre provisoire des traités </w:t>
      </w:r>
      <w:r>
        <w:rPr>
          <w:lang w:val="fr-FR"/>
        </w:rPr>
        <w:t>est de nature consensuelle et que, de surcroît, elle</w:t>
      </w:r>
      <w:r w:rsidRPr="00C2694A">
        <w:rPr>
          <w:lang w:val="fr-FR"/>
        </w:rPr>
        <w:t xml:space="preserve"> peut ne pas être possible du tout au regard du droit interne des États ou des règles des organisations internationales</w:t>
      </w:r>
      <w:r w:rsidRPr="00F22830">
        <w:rPr>
          <w:rStyle w:val="FootnoteReference"/>
        </w:rPr>
        <w:footnoteReference w:id="56"/>
      </w:r>
      <w:r w:rsidRPr="00F22925">
        <w:rPr>
          <w:lang w:val="fr-FR"/>
        </w:rPr>
        <w:t>.</w:t>
      </w:r>
    </w:p>
    <w:p w14:paraId="20A91CBB" w14:textId="77777777" w:rsidR="0043175D" w:rsidRDefault="0043175D" w:rsidP="0043175D">
      <w:pPr>
        <w:pStyle w:val="SingleTxtG"/>
        <w:rPr>
          <w:lang w:val="fr-FR"/>
        </w:rPr>
      </w:pPr>
      <w:r w:rsidRPr="00267E87">
        <w:rPr>
          <w:lang w:val="fr-FR"/>
        </w:rPr>
        <w:t>4)</w:t>
      </w:r>
      <w:r w:rsidRPr="00267E87">
        <w:rPr>
          <w:lang w:val="fr-FR"/>
        </w:rPr>
        <w:tab/>
      </w:r>
      <w:r w:rsidRPr="00C2694A">
        <w:rPr>
          <w:lang w:val="fr-FR"/>
        </w:rPr>
        <w:t xml:space="preserve">Le projet de directive ne </w:t>
      </w:r>
      <w:r>
        <w:rPr>
          <w:lang w:val="fr-FR"/>
        </w:rPr>
        <w:t>saurait</w:t>
      </w:r>
      <w:r w:rsidRPr="00C2694A">
        <w:rPr>
          <w:lang w:val="fr-FR"/>
        </w:rPr>
        <w:t xml:space="preserve"> être interprété comme impliquant </w:t>
      </w:r>
      <w:r>
        <w:rPr>
          <w:lang w:val="fr-FR"/>
        </w:rPr>
        <w:t xml:space="preserve">qu’il est nécessaire de conclure </w:t>
      </w:r>
      <w:r w:rsidRPr="00C2694A">
        <w:rPr>
          <w:lang w:val="fr-FR"/>
        </w:rPr>
        <w:t>un accord distinct sur l</w:t>
      </w:r>
      <w:r>
        <w:rPr>
          <w:lang w:val="fr-FR"/>
        </w:rPr>
        <w:t>’</w:t>
      </w:r>
      <w:r w:rsidRPr="00C2694A">
        <w:rPr>
          <w:lang w:val="fr-FR"/>
        </w:rPr>
        <w:t>applicabilité des limites découlant du droit interne des États ou des règles des organisations internationales concernés</w:t>
      </w:r>
      <w:r w:rsidRPr="00F22925">
        <w:rPr>
          <w:lang w:val="fr-FR"/>
        </w:rPr>
        <w:t>.</w:t>
      </w:r>
      <w:r>
        <w:rPr>
          <w:lang w:val="fr-FR"/>
        </w:rPr>
        <w:t xml:space="preserve"> Simplement, l’</w:t>
      </w:r>
      <w:r w:rsidRPr="00C2694A">
        <w:rPr>
          <w:lang w:val="fr-FR"/>
        </w:rPr>
        <w:t>existence de ces limites doit être suffisamment claire dans le traité lui-même, dans l</w:t>
      </w:r>
      <w:r>
        <w:rPr>
          <w:lang w:val="fr-FR"/>
        </w:rPr>
        <w:t>’</w:t>
      </w:r>
      <w:r w:rsidRPr="00C2694A">
        <w:rPr>
          <w:lang w:val="fr-FR"/>
        </w:rPr>
        <w:t xml:space="preserve">accord distinct ou dans </w:t>
      </w:r>
      <w:r>
        <w:rPr>
          <w:lang w:val="fr-FR"/>
        </w:rPr>
        <w:t xml:space="preserve">tout </w:t>
      </w:r>
      <w:r w:rsidRPr="00C2694A">
        <w:rPr>
          <w:lang w:val="fr-FR"/>
        </w:rPr>
        <w:t>autre forme d</w:t>
      </w:r>
      <w:r>
        <w:rPr>
          <w:lang w:val="fr-FR"/>
        </w:rPr>
        <w:t>’</w:t>
      </w:r>
      <w:r w:rsidRPr="00C2694A">
        <w:rPr>
          <w:lang w:val="fr-FR"/>
        </w:rPr>
        <w:t>accord par lequel il est convenu d</w:t>
      </w:r>
      <w:r>
        <w:rPr>
          <w:lang w:val="fr-FR"/>
        </w:rPr>
        <w:t>’</w:t>
      </w:r>
      <w:r w:rsidRPr="00C2694A">
        <w:rPr>
          <w:lang w:val="fr-FR"/>
        </w:rPr>
        <w:t>appliquer à titre provisoire un traité ou une partie d</w:t>
      </w:r>
      <w:r>
        <w:rPr>
          <w:lang w:val="fr-FR"/>
        </w:rPr>
        <w:t>’</w:t>
      </w:r>
      <w:r w:rsidRPr="00C2694A">
        <w:rPr>
          <w:lang w:val="fr-FR"/>
        </w:rPr>
        <w:t>un traité</w:t>
      </w:r>
      <w:r w:rsidRPr="00F22925">
        <w:rPr>
          <w:lang w:val="fr-FR"/>
        </w:rPr>
        <w:t>.</w:t>
      </w:r>
    </w:p>
    <w:p w14:paraId="12BFEF3A" w14:textId="28C9EE2C" w:rsidR="0043175D" w:rsidRDefault="0043175D" w:rsidP="0043175D">
      <w:pPr>
        <w:suppressAutoHyphens w:val="0"/>
        <w:kinsoku/>
        <w:overflowPunct/>
        <w:autoSpaceDE/>
        <w:autoSpaceDN/>
        <w:adjustRightInd/>
        <w:snapToGrid/>
        <w:spacing w:line="240" w:lineRule="auto"/>
        <w:rPr>
          <w:lang w:val="fr-CA"/>
        </w:rPr>
      </w:pPr>
      <w:r>
        <w:rPr>
          <w:lang w:val="fr-CA"/>
        </w:rPr>
        <w:br w:type="page"/>
      </w:r>
    </w:p>
    <w:p w14:paraId="7DF46179" w14:textId="77777777" w:rsidR="00014CBC" w:rsidRDefault="00014CBC" w:rsidP="00014CBC">
      <w:pPr>
        <w:suppressAutoHyphens w:val="0"/>
        <w:kinsoku/>
        <w:overflowPunct/>
        <w:autoSpaceDE/>
        <w:autoSpaceDN/>
        <w:adjustRightInd/>
        <w:snapToGrid/>
        <w:spacing w:line="240" w:lineRule="auto"/>
        <w:rPr>
          <w:b/>
          <w:sz w:val="28"/>
          <w:lang w:val="fr-CA"/>
        </w:rPr>
      </w:pPr>
    </w:p>
    <w:p w14:paraId="234C52CC" w14:textId="546B5892" w:rsidR="00014CBC" w:rsidRPr="004724A9" w:rsidRDefault="0036584B" w:rsidP="00014CBC">
      <w:pPr>
        <w:pStyle w:val="HChG"/>
        <w:rPr>
          <w:lang w:val="fr-CA"/>
        </w:rPr>
      </w:pPr>
      <w:r>
        <w:rPr>
          <w:lang w:val="fr-CA"/>
        </w:rPr>
        <w:tab/>
      </w:r>
      <w:r>
        <w:rPr>
          <w:lang w:val="fr-CA"/>
        </w:rPr>
        <w:tab/>
      </w:r>
      <w:r w:rsidR="00014CBC" w:rsidRPr="004724A9">
        <w:rPr>
          <w:lang w:val="fr-CA"/>
        </w:rPr>
        <w:t>Annexe du chapitre V</w:t>
      </w:r>
    </w:p>
    <w:p w14:paraId="42112F0E" w14:textId="77777777" w:rsidR="00014CBC" w:rsidRPr="00C17AA1" w:rsidRDefault="00014CBC" w:rsidP="00014CBC">
      <w:pPr>
        <w:pStyle w:val="HChG"/>
        <w:rPr>
          <w:lang w:val="fr-FR"/>
        </w:rPr>
      </w:pPr>
      <w:r w:rsidRPr="005F6DD7">
        <w:rPr>
          <w:szCs w:val="24"/>
          <w:lang w:val="fr-CA"/>
        </w:rPr>
        <w:tab/>
      </w:r>
      <w:r w:rsidRPr="005F6DD7">
        <w:rPr>
          <w:szCs w:val="24"/>
          <w:lang w:val="fr-CA"/>
        </w:rPr>
        <w:tab/>
      </w:r>
      <w:r w:rsidRPr="00C17AA1">
        <w:rPr>
          <w:lang w:val="fr-FR"/>
        </w:rPr>
        <w:t>Bibliographie sélective</w:t>
      </w:r>
      <w:r>
        <w:rPr>
          <w:lang w:val="fr-FR"/>
        </w:rPr>
        <w:t xml:space="preserve"> concernant l’application </w:t>
      </w:r>
      <w:r>
        <w:rPr>
          <w:lang w:val="fr-FR"/>
        </w:rPr>
        <w:br/>
        <w:t>à titre provisoire des traités</w:t>
      </w:r>
    </w:p>
    <w:p w14:paraId="284708D9" w14:textId="77777777" w:rsidR="00014CBC" w:rsidRPr="0083304B" w:rsidRDefault="00014CBC" w:rsidP="00014CBC">
      <w:pPr>
        <w:pStyle w:val="H1G"/>
        <w:rPr>
          <w:lang w:val="en-US"/>
        </w:rPr>
      </w:pPr>
      <w:r w:rsidRPr="00C17AA1">
        <w:rPr>
          <w:lang w:val="fr-FR"/>
        </w:rPr>
        <w:tab/>
      </w:r>
      <w:r w:rsidRPr="0083304B">
        <w:rPr>
          <w:lang w:val="en-US"/>
        </w:rPr>
        <w:t>A</w:t>
      </w:r>
      <w:r w:rsidRPr="00F22925">
        <w:rPr>
          <w:lang w:val="en-US"/>
        </w:rPr>
        <w:t>.</w:t>
      </w:r>
      <w:r w:rsidRPr="0083304B">
        <w:rPr>
          <w:lang w:val="en-US"/>
        </w:rPr>
        <w:tab/>
      </w:r>
      <w:proofErr w:type="spellStart"/>
      <w:r w:rsidRPr="0083304B">
        <w:rPr>
          <w:lang w:val="en-US"/>
        </w:rPr>
        <w:t>Ouvrages</w:t>
      </w:r>
      <w:proofErr w:type="spellEnd"/>
    </w:p>
    <w:p w14:paraId="482B41BA" w14:textId="77777777" w:rsidR="00014CBC" w:rsidRPr="00C17AA1" w:rsidRDefault="00014CBC" w:rsidP="00014CBC">
      <w:pPr>
        <w:pStyle w:val="SingleTxtG"/>
        <w:ind w:left="1701" w:hanging="567"/>
        <w:rPr>
          <w:lang w:val="en-US"/>
        </w:rPr>
      </w:pPr>
      <w:r w:rsidRPr="0083304B">
        <w:rPr>
          <w:lang w:val="en-US"/>
        </w:rPr>
        <w:t>Aust, Anthony</w:t>
      </w:r>
      <w:r w:rsidRPr="00F22925">
        <w:rPr>
          <w:lang w:val="en-US"/>
        </w:rPr>
        <w:t>.</w:t>
      </w:r>
      <w:r w:rsidRPr="0083304B">
        <w:rPr>
          <w:lang w:val="en-US"/>
        </w:rPr>
        <w:t xml:space="preserve"> </w:t>
      </w:r>
      <w:r w:rsidRPr="00C17AA1">
        <w:rPr>
          <w:i/>
          <w:iCs/>
          <w:lang w:val="en-US"/>
        </w:rPr>
        <w:t>Modern Treaty Law and Practice</w:t>
      </w:r>
      <w:r w:rsidRPr="00C17AA1">
        <w:rPr>
          <w:lang w:val="en-US"/>
        </w:rPr>
        <w:t xml:space="preserve">, </w:t>
      </w:r>
      <w:r>
        <w:rPr>
          <w:lang w:val="en-US"/>
        </w:rPr>
        <w:t>3rd</w:t>
      </w:r>
      <w:r w:rsidRPr="00C17AA1">
        <w:rPr>
          <w:lang w:val="en-US"/>
        </w:rPr>
        <w:t xml:space="preserve"> ed</w:t>
      </w:r>
      <w:r w:rsidRPr="00F22925">
        <w:rPr>
          <w:lang w:val="en-US"/>
        </w:rPr>
        <w:t>.</w:t>
      </w:r>
      <w:r w:rsidRPr="00C17AA1">
        <w:rPr>
          <w:lang w:val="en-US"/>
        </w:rPr>
        <w:t xml:space="preserve"> Cambridge: Cambridge University Press, 20</w:t>
      </w:r>
      <w:r>
        <w:rPr>
          <w:lang w:val="en-US"/>
        </w:rPr>
        <w:t>13</w:t>
      </w:r>
      <w:r w:rsidRPr="00F22925">
        <w:rPr>
          <w:lang w:val="en-US"/>
        </w:rPr>
        <w:t>.</w:t>
      </w:r>
      <w:r w:rsidRPr="00C17AA1">
        <w:rPr>
          <w:lang w:val="en-US"/>
        </w:rPr>
        <w:t xml:space="preserve"> </w:t>
      </w:r>
    </w:p>
    <w:p w14:paraId="3E854EB1"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Azaria, </w:t>
      </w:r>
      <w:r w:rsidRPr="00C17AA1">
        <w:rPr>
          <w:lang w:val="en-US"/>
        </w:rPr>
        <w:t>Danae</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Treaties on Transit of Energy via Pipelines and Countermeasures</w:t>
      </w:r>
      <w:r w:rsidRPr="00F22925">
        <w:rPr>
          <w:rFonts w:eastAsia="Calibri"/>
          <w:kern w:val="14"/>
          <w:lang w:val="en-US"/>
        </w:rPr>
        <w:t>.</w:t>
      </w:r>
      <w:r w:rsidRPr="00C17AA1">
        <w:rPr>
          <w:rFonts w:eastAsia="Calibri"/>
          <w:kern w:val="14"/>
          <w:lang w:val="en-US"/>
        </w:rPr>
        <w:t xml:space="preserve"> Oxford: Oxford University Press, 2015</w:t>
      </w:r>
      <w:r w:rsidRPr="00F22925">
        <w:rPr>
          <w:rFonts w:eastAsia="Calibri"/>
          <w:kern w:val="14"/>
          <w:lang w:val="en-US"/>
        </w:rPr>
        <w:t>.</w:t>
      </w:r>
      <w:r w:rsidRPr="00C17AA1">
        <w:rPr>
          <w:rFonts w:eastAsia="Calibri"/>
          <w:kern w:val="14"/>
          <w:lang w:val="en-US"/>
        </w:rPr>
        <w:t xml:space="preserve"> </w:t>
      </w:r>
    </w:p>
    <w:p w14:paraId="1B28B924" w14:textId="77777777" w:rsidR="00014CBC" w:rsidRPr="0083304B" w:rsidRDefault="00014CBC" w:rsidP="00014CBC">
      <w:pPr>
        <w:pStyle w:val="SingleTxtG"/>
        <w:ind w:left="1701" w:hanging="567"/>
        <w:rPr>
          <w:rFonts w:eastAsia="Calibri"/>
          <w:kern w:val="14"/>
          <w:lang w:val="en-US"/>
        </w:rPr>
      </w:pPr>
      <w:proofErr w:type="spellStart"/>
      <w:r w:rsidRPr="00C17AA1">
        <w:rPr>
          <w:rFonts w:eastAsia="Calibri"/>
          <w:kern w:val="14"/>
          <w:lang w:val="en-US"/>
        </w:rPr>
        <w:t>Bjorge</w:t>
      </w:r>
      <w:proofErr w:type="spellEnd"/>
      <w:r w:rsidRPr="00C17AA1">
        <w:rPr>
          <w:rFonts w:eastAsia="Calibri"/>
          <w:kern w:val="14"/>
          <w:lang w:val="en-US"/>
        </w:rPr>
        <w:t xml:space="preserve">, </w:t>
      </w:r>
      <w:proofErr w:type="spellStart"/>
      <w:r w:rsidRPr="00C17AA1">
        <w:rPr>
          <w:lang w:val="en-US"/>
        </w:rPr>
        <w:t>Eirik</w:t>
      </w:r>
      <w:proofErr w:type="spellEnd"/>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Evolutionary Interpretation of Treaties</w:t>
      </w:r>
      <w:r w:rsidRPr="00F22925">
        <w:rPr>
          <w:rFonts w:eastAsia="Calibri"/>
          <w:kern w:val="14"/>
          <w:lang w:val="en-US"/>
        </w:rPr>
        <w:t>.</w:t>
      </w:r>
      <w:r w:rsidRPr="00C17AA1">
        <w:rPr>
          <w:rFonts w:eastAsia="Calibri"/>
          <w:kern w:val="14"/>
          <w:lang w:val="en-US"/>
        </w:rPr>
        <w:t xml:space="preserve"> Oxford: Oxford University Press, 2014</w:t>
      </w:r>
      <w:r w:rsidRPr="00F22925">
        <w:rPr>
          <w:rFonts w:eastAsia="Calibri"/>
          <w:kern w:val="14"/>
          <w:lang w:val="en-US"/>
        </w:rPr>
        <w:t>.</w:t>
      </w:r>
      <w:r w:rsidRPr="00C17AA1">
        <w:rPr>
          <w:rFonts w:eastAsia="Calibri"/>
          <w:kern w:val="14"/>
          <w:lang w:val="en-US"/>
        </w:rPr>
        <w:t xml:space="preserve"> </w:t>
      </w:r>
    </w:p>
    <w:p w14:paraId="04534F95" w14:textId="77777777" w:rsidR="00014CBC" w:rsidRPr="00C17AA1" w:rsidRDefault="00014CBC" w:rsidP="00014CBC">
      <w:pPr>
        <w:pStyle w:val="SingleTxtG"/>
        <w:ind w:left="1701" w:hanging="567"/>
        <w:rPr>
          <w:rFonts w:eastAsia="Calibri"/>
          <w:kern w:val="14"/>
          <w:lang w:val="en-US"/>
        </w:rPr>
      </w:pPr>
      <w:proofErr w:type="spellStart"/>
      <w:r w:rsidRPr="0083304B">
        <w:rPr>
          <w:rFonts w:eastAsia="Calibri"/>
          <w:kern w:val="14"/>
          <w:lang w:val="en-US"/>
        </w:rPr>
        <w:t>Geslin</w:t>
      </w:r>
      <w:proofErr w:type="spellEnd"/>
      <w:r w:rsidRPr="0083304B">
        <w:rPr>
          <w:rFonts w:eastAsia="Calibri"/>
          <w:kern w:val="14"/>
          <w:lang w:val="en-US"/>
        </w:rPr>
        <w:t xml:space="preserve">, </w:t>
      </w:r>
      <w:r w:rsidRPr="0083304B">
        <w:rPr>
          <w:lang w:val="en-US"/>
        </w:rPr>
        <w:t>Albane</w:t>
      </w:r>
      <w:r w:rsidRPr="00F22925">
        <w:rPr>
          <w:rFonts w:eastAsia="Calibri"/>
          <w:kern w:val="14"/>
          <w:lang w:val="en-US"/>
        </w:rPr>
        <w:t>.</w:t>
      </w:r>
      <w:r w:rsidRPr="0083304B">
        <w:rPr>
          <w:rFonts w:eastAsia="Calibri"/>
          <w:kern w:val="14"/>
          <w:lang w:val="en-US"/>
        </w:rPr>
        <w:t xml:space="preserve"> </w:t>
      </w:r>
      <w:r w:rsidRPr="00C17AA1">
        <w:rPr>
          <w:rFonts w:eastAsia="Calibri"/>
          <w:i/>
          <w:iCs/>
          <w:kern w:val="14"/>
          <w:lang w:val="fr-FR"/>
        </w:rPr>
        <w:t>La mise en application provisoire des traités</w:t>
      </w:r>
      <w:r w:rsidRPr="00F22925">
        <w:rPr>
          <w:rFonts w:eastAsia="Calibri"/>
          <w:kern w:val="14"/>
          <w:lang w:val="fr-FR"/>
        </w:rPr>
        <w:t>.</w:t>
      </w:r>
      <w:r w:rsidRPr="00C17AA1">
        <w:rPr>
          <w:rFonts w:eastAsia="Calibri"/>
          <w:kern w:val="14"/>
          <w:lang w:val="fr-FR"/>
        </w:rPr>
        <w:t xml:space="preserve"> </w:t>
      </w:r>
      <w:r w:rsidRPr="00C17AA1">
        <w:rPr>
          <w:rFonts w:eastAsia="Calibri"/>
          <w:kern w:val="14"/>
          <w:lang w:val="en-US"/>
        </w:rPr>
        <w:t>Paris: Editions A</w:t>
      </w:r>
      <w:r w:rsidRPr="00F22925">
        <w:rPr>
          <w:rFonts w:eastAsia="Calibri"/>
          <w:kern w:val="14"/>
          <w:lang w:val="en-US"/>
        </w:rPr>
        <w:t>.</w:t>
      </w:r>
      <w:r w:rsidRPr="00C17AA1">
        <w:rPr>
          <w:rFonts w:eastAsia="Calibri"/>
          <w:kern w:val="14"/>
          <w:lang w:val="en-US"/>
        </w:rPr>
        <w:t> </w:t>
      </w:r>
      <w:proofErr w:type="spellStart"/>
      <w:r w:rsidRPr="00C17AA1">
        <w:rPr>
          <w:rFonts w:eastAsia="Calibri"/>
          <w:kern w:val="14"/>
          <w:lang w:val="en-US"/>
        </w:rPr>
        <w:t>Pedone</w:t>
      </w:r>
      <w:proofErr w:type="spellEnd"/>
      <w:r w:rsidRPr="00C17AA1">
        <w:rPr>
          <w:rFonts w:eastAsia="Calibri"/>
          <w:kern w:val="14"/>
          <w:lang w:val="en-US"/>
        </w:rPr>
        <w:t>, 2005</w:t>
      </w:r>
      <w:r w:rsidRPr="00F22925">
        <w:rPr>
          <w:rFonts w:eastAsia="Calibri"/>
          <w:kern w:val="14"/>
          <w:lang w:val="en-US"/>
        </w:rPr>
        <w:t>.</w:t>
      </w:r>
      <w:r w:rsidRPr="00C17AA1">
        <w:rPr>
          <w:rFonts w:eastAsia="Calibri"/>
          <w:kern w:val="14"/>
          <w:lang w:val="en-US"/>
        </w:rPr>
        <w:t xml:space="preserve"> </w:t>
      </w:r>
    </w:p>
    <w:p w14:paraId="0B20AEC5" w14:textId="77777777" w:rsidR="00014CBC" w:rsidRPr="00C17AA1" w:rsidRDefault="00014CBC" w:rsidP="00014CBC">
      <w:pPr>
        <w:pStyle w:val="SingleTxtG"/>
        <w:ind w:left="1701" w:hanging="567"/>
        <w:rPr>
          <w:rFonts w:eastAsia="Calibri"/>
          <w:kern w:val="14"/>
          <w:lang w:val="en-US"/>
        </w:rPr>
      </w:pPr>
      <w:r w:rsidRPr="00C17AA1">
        <w:rPr>
          <w:lang w:val="en-US"/>
        </w:rPr>
        <w:t>Gomaa</w:t>
      </w:r>
      <w:r w:rsidRPr="00C17AA1">
        <w:rPr>
          <w:rFonts w:eastAsia="Calibri"/>
          <w:kern w:val="14"/>
          <w:lang w:val="en-US"/>
        </w:rPr>
        <w:t>, Mohammed M</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Suspension or Termination of Treaties on Grounds of Breach</w:t>
      </w:r>
      <w:r w:rsidRPr="00F22925">
        <w:rPr>
          <w:rFonts w:eastAsia="Calibri"/>
          <w:kern w:val="14"/>
          <w:lang w:val="en-US"/>
        </w:rPr>
        <w:t>.</w:t>
      </w:r>
      <w:r w:rsidRPr="00C17AA1">
        <w:rPr>
          <w:rFonts w:eastAsia="Calibri"/>
          <w:kern w:val="14"/>
          <w:lang w:val="en-US"/>
        </w:rPr>
        <w:t xml:space="preserve"> The</w:t>
      </w:r>
      <w:r>
        <w:rPr>
          <w:rFonts w:eastAsia="Calibri"/>
          <w:kern w:val="14"/>
          <w:lang w:val="en-US"/>
        </w:rPr>
        <w:t> </w:t>
      </w:r>
      <w:r w:rsidRPr="00C17AA1">
        <w:rPr>
          <w:rFonts w:eastAsia="Calibri"/>
          <w:kern w:val="14"/>
          <w:lang w:val="en-US"/>
        </w:rPr>
        <w:t>Hague: Kluwer Law International, 1996</w:t>
      </w:r>
      <w:r w:rsidRPr="00F22925">
        <w:rPr>
          <w:rFonts w:eastAsia="Calibri"/>
          <w:kern w:val="14"/>
          <w:lang w:val="en-US"/>
        </w:rPr>
        <w:t>.</w:t>
      </w:r>
      <w:r w:rsidRPr="00C17AA1">
        <w:rPr>
          <w:rFonts w:eastAsia="Calibri"/>
          <w:kern w:val="14"/>
          <w:lang w:val="en-US"/>
        </w:rPr>
        <w:t xml:space="preserve"> </w:t>
      </w:r>
    </w:p>
    <w:p w14:paraId="7FDD7269"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t>Grignon</w:t>
      </w:r>
      <w:proofErr w:type="spellEnd"/>
      <w:r w:rsidRPr="00C17AA1">
        <w:rPr>
          <w:rFonts w:eastAsia="Calibri"/>
          <w:kern w:val="14"/>
          <w:lang w:val="en-US"/>
        </w:rPr>
        <w:t>, Julia</w:t>
      </w:r>
      <w:r w:rsidRPr="00F22925">
        <w:rPr>
          <w:rFonts w:eastAsia="Calibri"/>
          <w:kern w:val="14"/>
          <w:lang w:val="en-US"/>
        </w:rPr>
        <w:t>.</w:t>
      </w:r>
      <w:r w:rsidRPr="00C17AA1">
        <w:rPr>
          <w:rFonts w:eastAsia="Calibri"/>
          <w:kern w:val="14"/>
          <w:lang w:val="en-US"/>
        </w:rPr>
        <w:t xml:space="preserve"> </w:t>
      </w:r>
      <w:proofErr w:type="spellStart"/>
      <w:r w:rsidRPr="00C17AA1">
        <w:rPr>
          <w:rFonts w:eastAsia="Calibri"/>
          <w:i/>
          <w:iCs/>
          <w:kern w:val="14"/>
          <w:lang w:val="en-US"/>
        </w:rPr>
        <w:t>L</w:t>
      </w:r>
      <w:r>
        <w:rPr>
          <w:rFonts w:eastAsia="Calibri"/>
          <w:i/>
          <w:iCs/>
          <w:kern w:val="14"/>
          <w:lang w:val="en-US"/>
        </w:rPr>
        <w:t>’</w:t>
      </w:r>
      <w:r w:rsidRPr="00C17AA1">
        <w:rPr>
          <w:rFonts w:eastAsia="Calibri"/>
          <w:i/>
          <w:iCs/>
          <w:kern w:val="14"/>
          <w:lang w:val="en-US"/>
        </w:rPr>
        <w:t>applicabilite</w:t>
      </w:r>
      <w:proofErr w:type="spellEnd"/>
      <w:r w:rsidRPr="00C17AA1">
        <w:rPr>
          <w:rFonts w:eastAsia="Calibri"/>
          <w:i/>
          <w:iCs/>
          <w:kern w:val="14"/>
          <w:lang w:val="en-US"/>
        </w:rPr>
        <w:t xml:space="preserve">́ </w:t>
      </w:r>
      <w:proofErr w:type="spellStart"/>
      <w:r w:rsidRPr="00C17AA1">
        <w:rPr>
          <w:rFonts w:eastAsia="Calibri"/>
          <w:i/>
          <w:iCs/>
          <w:kern w:val="14"/>
          <w:lang w:val="en-US"/>
        </w:rPr>
        <w:t>temporelle</w:t>
      </w:r>
      <w:proofErr w:type="spellEnd"/>
      <w:r w:rsidRPr="00C17AA1">
        <w:rPr>
          <w:rFonts w:eastAsia="Calibri"/>
          <w:i/>
          <w:iCs/>
          <w:kern w:val="14"/>
          <w:lang w:val="en-US"/>
        </w:rPr>
        <w:t xml:space="preserve"> du droit international </w:t>
      </w:r>
      <w:proofErr w:type="spellStart"/>
      <w:r w:rsidRPr="00C17AA1">
        <w:rPr>
          <w:rFonts w:eastAsia="Calibri"/>
          <w:i/>
          <w:iCs/>
          <w:kern w:val="14"/>
          <w:lang w:val="en-US"/>
        </w:rPr>
        <w:t>humanitaire</w:t>
      </w:r>
      <w:proofErr w:type="spellEnd"/>
      <w:r w:rsidRPr="00C17AA1">
        <w:rPr>
          <w:rFonts w:eastAsia="Calibri"/>
          <w:kern w:val="14"/>
          <w:lang w:val="en-US"/>
        </w:rPr>
        <w:t xml:space="preserve">, Geneva, </w:t>
      </w:r>
      <w:proofErr w:type="spellStart"/>
      <w:r w:rsidRPr="00C17AA1">
        <w:rPr>
          <w:rFonts w:eastAsia="Calibri"/>
          <w:kern w:val="14"/>
          <w:lang w:val="en-US"/>
        </w:rPr>
        <w:t>Schulthess</w:t>
      </w:r>
      <w:proofErr w:type="spellEnd"/>
      <w:r w:rsidRPr="00C17AA1">
        <w:rPr>
          <w:rFonts w:eastAsia="Calibri"/>
          <w:kern w:val="14"/>
          <w:lang w:val="en-US"/>
        </w:rPr>
        <w:t>, 2014</w:t>
      </w:r>
      <w:r w:rsidRPr="00F22925">
        <w:rPr>
          <w:rFonts w:eastAsia="Calibri"/>
          <w:kern w:val="14"/>
          <w:lang w:val="en-US"/>
        </w:rPr>
        <w:t>.</w:t>
      </w:r>
      <w:r w:rsidRPr="00C17AA1">
        <w:rPr>
          <w:rFonts w:eastAsia="Calibri"/>
          <w:kern w:val="14"/>
          <w:lang w:val="en-US"/>
        </w:rPr>
        <w:t xml:space="preserve"> </w:t>
      </w:r>
    </w:p>
    <w:p w14:paraId="6D7B24D9" w14:textId="77777777" w:rsidR="00014CBC" w:rsidRPr="00C17AA1" w:rsidRDefault="00014CBC" w:rsidP="00014CBC">
      <w:pPr>
        <w:pStyle w:val="SingleTxtG"/>
        <w:ind w:left="1701" w:hanging="567"/>
        <w:rPr>
          <w:rFonts w:eastAsia="Calibri"/>
          <w:kern w:val="14"/>
          <w:lang w:val="es-ES"/>
        </w:rPr>
      </w:pPr>
      <w:r w:rsidRPr="00C17AA1">
        <w:rPr>
          <w:lang w:val="en-US"/>
        </w:rPr>
        <w:t>Gutiérrez</w:t>
      </w:r>
      <w:r w:rsidRPr="00C17AA1">
        <w:rPr>
          <w:rFonts w:eastAsia="Calibri"/>
          <w:kern w:val="14"/>
          <w:lang w:val="en-US"/>
        </w:rPr>
        <w:t xml:space="preserve"> </w:t>
      </w:r>
      <w:proofErr w:type="spellStart"/>
      <w:r w:rsidRPr="00C17AA1">
        <w:rPr>
          <w:rFonts w:eastAsia="Calibri"/>
          <w:kern w:val="14"/>
          <w:lang w:val="en-US"/>
        </w:rPr>
        <w:t>Baylón</w:t>
      </w:r>
      <w:proofErr w:type="spellEnd"/>
      <w:r w:rsidRPr="00C17AA1">
        <w:rPr>
          <w:rFonts w:eastAsia="Calibri"/>
          <w:kern w:val="14"/>
          <w:lang w:val="en-US"/>
        </w:rPr>
        <w:t>, Juan de Dios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s-ES"/>
        </w:rPr>
        <w:t>Derecho de los Tratados</w:t>
      </w:r>
      <w:r w:rsidRPr="00F22925">
        <w:rPr>
          <w:rFonts w:eastAsia="Calibri"/>
          <w:kern w:val="14"/>
          <w:lang w:val="es-ES"/>
        </w:rPr>
        <w:t>.</w:t>
      </w:r>
      <w:r w:rsidRPr="00C17AA1">
        <w:rPr>
          <w:rFonts w:eastAsia="Calibri"/>
          <w:kern w:val="14"/>
          <w:lang w:val="es-ES"/>
        </w:rPr>
        <w:t xml:space="preserve"> </w:t>
      </w:r>
      <w:proofErr w:type="spellStart"/>
      <w:r w:rsidRPr="00C17AA1">
        <w:rPr>
          <w:rFonts w:eastAsia="Calibri"/>
          <w:kern w:val="14"/>
          <w:lang w:val="es-ES"/>
        </w:rPr>
        <w:t>Mexico</w:t>
      </w:r>
      <w:proofErr w:type="spellEnd"/>
      <w:r w:rsidRPr="00C17AA1">
        <w:rPr>
          <w:rFonts w:eastAsia="Calibri"/>
          <w:kern w:val="14"/>
          <w:lang w:val="es-ES"/>
        </w:rPr>
        <w:t xml:space="preserve"> City: Editorial Porrúa, 2010</w:t>
      </w:r>
      <w:r w:rsidRPr="00F22925">
        <w:rPr>
          <w:rFonts w:eastAsia="Calibri"/>
          <w:kern w:val="14"/>
          <w:lang w:val="es-ES"/>
        </w:rPr>
        <w:t>.</w:t>
      </w:r>
      <w:r w:rsidRPr="00C17AA1">
        <w:rPr>
          <w:rFonts w:eastAsia="Calibri"/>
          <w:kern w:val="14"/>
          <w:lang w:val="es-ES"/>
        </w:rPr>
        <w:t xml:space="preserve"> </w:t>
      </w:r>
    </w:p>
    <w:p w14:paraId="284178AB"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t>Klabbers</w:t>
      </w:r>
      <w:proofErr w:type="spellEnd"/>
      <w:r w:rsidRPr="00C17AA1">
        <w:rPr>
          <w:rFonts w:eastAsia="Calibri"/>
          <w:kern w:val="14"/>
          <w:lang w:val="en-US"/>
        </w:rPr>
        <w:t xml:space="preserve">, Jan, and René </w:t>
      </w:r>
      <w:proofErr w:type="spellStart"/>
      <w:r w:rsidRPr="00C17AA1">
        <w:rPr>
          <w:rFonts w:eastAsia="Calibri"/>
          <w:kern w:val="14"/>
          <w:lang w:val="en-US"/>
        </w:rPr>
        <w:t>Lefeber</w:t>
      </w:r>
      <w:proofErr w:type="spellEnd"/>
      <w:r w:rsidRPr="00C17AA1">
        <w:rPr>
          <w:rFonts w:eastAsia="Calibri"/>
          <w:kern w:val="14"/>
          <w:lang w:val="en-US"/>
        </w:rPr>
        <w:t>,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 xml:space="preserve">Essays on the Law of Treaties: A Collection of Essays in </w:t>
      </w:r>
      <w:proofErr w:type="spellStart"/>
      <w:r w:rsidRPr="00C17AA1">
        <w:rPr>
          <w:rFonts w:eastAsia="Calibri"/>
          <w:i/>
          <w:iCs/>
          <w:kern w:val="14"/>
          <w:lang w:val="en-US"/>
        </w:rPr>
        <w:t>Honour</w:t>
      </w:r>
      <w:proofErr w:type="spellEnd"/>
      <w:r w:rsidRPr="00C17AA1">
        <w:rPr>
          <w:rFonts w:eastAsia="Calibri"/>
          <w:i/>
          <w:iCs/>
          <w:kern w:val="14"/>
          <w:lang w:val="en-US"/>
        </w:rPr>
        <w:t xml:space="preserve"> of Bert </w:t>
      </w:r>
      <w:proofErr w:type="spellStart"/>
      <w:r w:rsidRPr="00C17AA1">
        <w:rPr>
          <w:rFonts w:eastAsia="Calibri"/>
          <w:i/>
          <w:iCs/>
          <w:kern w:val="14"/>
          <w:lang w:val="en-US"/>
        </w:rPr>
        <w:t>Vierdag</w:t>
      </w:r>
      <w:proofErr w:type="spellEnd"/>
      <w:r w:rsidRPr="00C17AA1">
        <w:rPr>
          <w:rFonts w:eastAsia="Calibri"/>
          <w:kern w:val="14"/>
          <w:lang w:val="en-US"/>
        </w:rPr>
        <w:t>, The Hague: Kluwer Law International, 1998</w:t>
      </w:r>
      <w:r w:rsidRPr="00F22925">
        <w:rPr>
          <w:rFonts w:eastAsia="Calibri"/>
          <w:kern w:val="14"/>
          <w:lang w:val="en-US"/>
        </w:rPr>
        <w:t>.</w:t>
      </w:r>
    </w:p>
    <w:p w14:paraId="72BEF7E2"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t>Osminin</w:t>
      </w:r>
      <w:proofErr w:type="spellEnd"/>
      <w:r w:rsidRPr="00C17AA1">
        <w:rPr>
          <w:rFonts w:eastAsia="Calibri"/>
          <w:kern w:val="14"/>
          <w:lang w:val="en-US"/>
        </w:rPr>
        <w:t>, B</w:t>
      </w:r>
      <w:r w:rsidRPr="00F22925">
        <w:rPr>
          <w:rFonts w:eastAsia="Calibri"/>
          <w:kern w:val="14"/>
          <w:lang w:val="en-US"/>
        </w:rPr>
        <w:t>.</w:t>
      </w:r>
      <w:r w:rsidRPr="00C17AA1">
        <w:rPr>
          <w:rFonts w:eastAsia="Calibri"/>
          <w:kern w:val="14"/>
          <w:lang w:val="en-US"/>
        </w:rPr>
        <w:t xml:space="preserve"> I</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Adoption and Implementation by States of International Treaty Obligations</w:t>
      </w:r>
      <w:r w:rsidRPr="00F22925">
        <w:rPr>
          <w:rFonts w:eastAsia="Calibri"/>
          <w:kern w:val="14"/>
          <w:lang w:val="en-US"/>
        </w:rPr>
        <w:t>.</w:t>
      </w:r>
      <w:r w:rsidRPr="00C17AA1">
        <w:rPr>
          <w:rFonts w:eastAsia="Calibri"/>
          <w:kern w:val="14"/>
          <w:lang w:val="en-US"/>
        </w:rPr>
        <w:t xml:space="preserve"> Wolters Kluwer, 2006</w:t>
      </w:r>
      <w:r w:rsidRPr="00F22925">
        <w:rPr>
          <w:rFonts w:eastAsia="Calibri"/>
          <w:kern w:val="14"/>
          <w:lang w:val="en-US"/>
        </w:rPr>
        <w:t>.</w:t>
      </w:r>
    </w:p>
    <w:p w14:paraId="2338890C" w14:textId="77777777" w:rsidR="00014CBC" w:rsidRPr="00C17AA1" w:rsidRDefault="00014CBC" w:rsidP="00014CBC">
      <w:pPr>
        <w:pStyle w:val="SingleTxtG"/>
        <w:ind w:left="1701" w:hanging="567"/>
        <w:rPr>
          <w:rFonts w:eastAsia="Calibri"/>
          <w:kern w:val="14"/>
          <w:lang w:val="en-US"/>
        </w:rPr>
      </w:pPr>
      <w:r w:rsidRPr="00C17AA1">
        <w:rPr>
          <w:lang w:val="en-US"/>
        </w:rPr>
        <w:t>Quast</w:t>
      </w:r>
      <w:r w:rsidRPr="00C17AA1">
        <w:rPr>
          <w:rFonts w:eastAsia="Calibri"/>
          <w:kern w:val="14"/>
          <w:lang w:val="en-US"/>
        </w:rPr>
        <w:t xml:space="preserve"> </w:t>
      </w:r>
      <w:proofErr w:type="spellStart"/>
      <w:r w:rsidRPr="00C17AA1">
        <w:rPr>
          <w:rFonts w:eastAsia="Calibri"/>
          <w:kern w:val="14"/>
          <w:lang w:val="en-US"/>
        </w:rPr>
        <w:t>Mertsch</w:t>
      </w:r>
      <w:proofErr w:type="spellEnd"/>
      <w:r w:rsidRPr="00C17AA1">
        <w:rPr>
          <w:rFonts w:eastAsia="Calibri"/>
          <w:kern w:val="14"/>
          <w:lang w:val="en-US"/>
        </w:rPr>
        <w:t>, Anneliese</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Provisionally Applied Treaties: Their Binding Force and Legal Nature</w:t>
      </w:r>
      <w:r w:rsidRPr="00F22925">
        <w:rPr>
          <w:rFonts w:eastAsia="Calibri"/>
          <w:kern w:val="14"/>
          <w:lang w:val="en-US"/>
        </w:rPr>
        <w:t>.</w:t>
      </w:r>
      <w:r w:rsidRPr="00C17AA1">
        <w:rPr>
          <w:rFonts w:eastAsia="Calibri"/>
          <w:kern w:val="14"/>
          <w:lang w:val="en-US"/>
        </w:rPr>
        <w:t xml:space="preserve"> Queen Mary Studies in International Law, vol</w:t>
      </w:r>
      <w:r w:rsidRPr="00F22925">
        <w:rPr>
          <w:rFonts w:eastAsia="Calibri"/>
          <w:kern w:val="14"/>
          <w:lang w:val="en-US"/>
        </w:rPr>
        <w:t>.</w:t>
      </w:r>
      <w:r w:rsidRPr="00C17AA1">
        <w:rPr>
          <w:rFonts w:eastAsia="Calibri"/>
          <w:kern w:val="14"/>
          <w:lang w:val="en-US"/>
        </w:rPr>
        <w:t xml:space="preserve"> 9</w:t>
      </w:r>
      <w:r w:rsidRPr="00F22925">
        <w:rPr>
          <w:rFonts w:eastAsia="Calibri"/>
          <w:kern w:val="14"/>
          <w:lang w:val="en-US"/>
        </w:rPr>
        <w:t>.</w:t>
      </w:r>
      <w:r w:rsidRPr="00C17AA1">
        <w:rPr>
          <w:rFonts w:eastAsia="Calibri"/>
          <w:kern w:val="14"/>
          <w:lang w:val="en-US"/>
        </w:rPr>
        <w:t xml:space="preserve"> Leiden: </w:t>
      </w:r>
      <w:proofErr w:type="spellStart"/>
      <w:r w:rsidRPr="00C17AA1">
        <w:rPr>
          <w:rFonts w:eastAsia="Calibri"/>
          <w:kern w:val="14"/>
          <w:lang w:val="en-US"/>
        </w:rPr>
        <w:t>Martinus</w:t>
      </w:r>
      <w:proofErr w:type="spellEnd"/>
      <w:r w:rsidRPr="00C17AA1">
        <w:rPr>
          <w:rFonts w:eastAsia="Calibri"/>
          <w:kern w:val="14"/>
          <w:lang w:val="en-US"/>
        </w:rPr>
        <w:t xml:space="preserve"> </w:t>
      </w:r>
      <w:proofErr w:type="spellStart"/>
      <w:r w:rsidRPr="00C17AA1">
        <w:rPr>
          <w:rFonts w:eastAsia="Calibri"/>
          <w:kern w:val="14"/>
          <w:lang w:val="en-US"/>
        </w:rPr>
        <w:t>Nijhoff</w:t>
      </w:r>
      <w:proofErr w:type="spellEnd"/>
      <w:r w:rsidRPr="00C17AA1">
        <w:rPr>
          <w:rFonts w:eastAsia="Calibri"/>
          <w:kern w:val="14"/>
          <w:lang w:val="en-US"/>
        </w:rPr>
        <w:t>, 2012</w:t>
      </w:r>
      <w:r w:rsidRPr="00F22925">
        <w:rPr>
          <w:rFonts w:eastAsia="Calibri"/>
          <w:kern w:val="14"/>
          <w:lang w:val="en-US"/>
        </w:rPr>
        <w:t>.</w:t>
      </w:r>
      <w:r w:rsidRPr="00C17AA1">
        <w:rPr>
          <w:rFonts w:eastAsia="Calibri"/>
          <w:kern w:val="14"/>
          <w:lang w:val="en-US"/>
        </w:rPr>
        <w:t xml:space="preserve"> </w:t>
      </w:r>
    </w:p>
    <w:p w14:paraId="4AEE5339" w14:textId="77777777" w:rsidR="00014CBC" w:rsidRPr="00C17AA1" w:rsidRDefault="00014CBC" w:rsidP="00014CBC">
      <w:pPr>
        <w:pStyle w:val="SingleTxtG"/>
        <w:ind w:left="1701" w:hanging="567"/>
        <w:rPr>
          <w:rFonts w:eastAsia="Calibri"/>
          <w:kern w:val="14"/>
          <w:lang w:val="en-US"/>
        </w:rPr>
      </w:pPr>
      <w:r w:rsidRPr="00C17AA1">
        <w:rPr>
          <w:lang w:val="en-US"/>
        </w:rPr>
        <w:t>Reuter</w:t>
      </w:r>
      <w:r w:rsidRPr="00C17AA1">
        <w:rPr>
          <w:rFonts w:eastAsia="Calibri"/>
          <w:kern w:val="14"/>
          <w:lang w:val="en-US"/>
        </w:rPr>
        <w:t>, Paul</w:t>
      </w:r>
      <w:r w:rsidRPr="00F22925">
        <w:rPr>
          <w:rFonts w:eastAsia="Calibri"/>
          <w:kern w:val="14"/>
          <w:lang w:val="en-US"/>
        </w:rPr>
        <w:t>.</w:t>
      </w:r>
      <w:r w:rsidRPr="00C17AA1">
        <w:rPr>
          <w:rFonts w:eastAsia="Calibri"/>
          <w:kern w:val="14"/>
          <w:lang w:val="en-US"/>
        </w:rPr>
        <w:t xml:space="preserve"> </w:t>
      </w:r>
      <w:r w:rsidRPr="00B35309">
        <w:rPr>
          <w:rFonts w:eastAsia="Calibri"/>
          <w:i/>
          <w:iCs/>
          <w:kern w:val="14"/>
          <w:lang w:val="en-US"/>
        </w:rPr>
        <w:t xml:space="preserve">Introduction au droit des </w:t>
      </w:r>
      <w:proofErr w:type="spellStart"/>
      <w:r w:rsidRPr="00B35309">
        <w:rPr>
          <w:rFonts w:eastAsia="Calibri"/>
          <w:i/>
          <w:iCs/>
          <w:kern w:val="14"/>
          <w:lang w:val="en-US"/>
        </w:rPr>
        <w:t>traités</w:t>
      </w:r>
      <w:proofErr w:type="spellEnd"/>
      <w:r w:rsidRPr="00B35309">
        <w:rPr>
          <w:rFonts w:eastAsia="Calibri"/>
          <w:kern w:val="14"/>
          <w:lang w:val="en-US"/>
        </w:rPr>
        <w:t>, 3</w:t>
      </w:r>
      <w:r w:rsidRPr="00133F8C">
        <w:rPr>
          <w:rFonts w:eastAsia="Calibri"/>
          <w:kern w:val="14"/>
          <w:vertAlign w:val="superscript"/>
          <w:lang w:val="en-US"/>
        </w:rPr>
        <w:t>e</w:t>
      </w:r>
      <w:r w:rsidRPr="00B35309">
        <w:rPr>
          <w:rFonts w:eastAsia="Calibri"/>
          <w:kern w:val="14"/>
          <w:lang w:val="en-US"/>
        </w:rPr>
        <w:t xml:space="preserve"> </w:t>
      </w:r>
      <w:proofErr w:type="spellStart"/>
      <w:r w:rsidRPr="00B35309">
        <w:rPr>
          <w:rFonts w:eastAsia="Calibri"/>
          <w:kern w:val="14"/>
          <w:lang w:val="en-US"/>
        </w:rPr>
        <w:t>éd</w:t>
      </w:r>
      <w:proofErr w:type="spellEnd"/>
      <w:r w:rsidRPr="00F22925">
        <w:rPr>
          <w:rFonts w:eastAsia="Calibri"/>
          <w:kern w:val="14"/>
          <w:lang w:val="en-US"/>
        </w:rPr>
        <w:t>.</w:t>
      </w:r>
      <w:r w:rsidRPr="00B35309">
        <w:rPr>
          <w:rFonts w:eastAsia="Calibri"/>
          <w:kern w:val="14"/>
          <w:lang w:val="en-US"/>
        </w:rPr>
        <w:t xml:space="preserve">, </w:t>
      </w:r>
      <w:proofErr w:type="gramStart"/>
      <w:r w:rsidRPr="00B35309">
        <w:rPr>
          <w:rFonts w:eastAsia="Calibri"/>
          <w:kern w:val="14"/>
          <w:lang w:val="en-US"/>
        </w:rPr>
        <w:t>Genève :</w:t>
      </w:r>
      <w:proofErr w:type="gramEnd"/>
      <w:r w:rsidRPr="00B35309">
        <w:rPr>
          <w:rFonts w:eastAsia="Calibri"/>
          <w:kern w:val="14"/>
          <w:lang w:val="en-US"/>
        </w:rPr>
        <w:t xml:space="preserve"> Graduate Institute Publications, 1995/</w:t>
      </w:r>
      <w:r w:rsidRPr="00B35309">
        <w:rPr>
          <w:rFonts w:eastAsia="Calibri"/>
          <w:i/>
          <w:iCs/>
          <w:kern w:val="14"/>
          <w:lang w:val="en-US"/>
        </w:rPr>
        <w:t>Introduction to the Law of Treaties</w:t>
      </w:r>
      <w:r w:rsidRPr="00F22925">
        <w:rPr>
          <w:rFonts w:eastAsia="Calibri"/>
          <w:kern w:val="14"/>
          <w:lang w:val="en-US"/>
        </w:rPr>
        <w:t>.</w:t>
      </w:r>
      <w:r w:rsidRPr="00B35309">
        <w:rPr>
          <w:rFonts w:eastAsia="Calibri"/>
          <w:kern w:val="14"/>
          <w:lang w:val="en-US"/>
        </w:rPr>
        <w:t xml:space="preserve"> </w:t>
      </w:r>
      <w:r w:rsidRPr="00C17AA1">
        <w:rPr>
          <w:rFonts w:eastAsia="Calibri"/>
          <w:kern w:val="14"/>
          <w:lang w:val="en-US"/>
        </w:rPr>
        <w:t>London and New York: Kegan Paul International, 1995</w:t>
      </w:r>
      <w:r w:rsidRPr="00F22925">
        <w:rPr>
          <w:rFonts w:eastAsia="Calibri"/>
          <w:kern w:val="14"/>
          <w:lang w:val="en-US"/>
        </w:rPr>
        <w:t>.</w:t>
      </w:r>
      <w:r w:rsidRPr="00C17AA1">
        <w:rPr>
          <w:rFonts w:eastAsia="Calibri"/>
          <w:kern w:val="14"/>
          <w:lang w:val="en-US"/>
        </w:rPr>
        <w:t xml:space="preserve"> </w:t>
      </w:r>
    </w:p>
    <w:p w14:paraId="33FB7E96" w14:textId="77777777" w:rsidR="00014CBC" w:rsidRPr="00C17AA1" w:rsidRDefault="00014CBC" w:rsidP="00014CBC">
      <w:pPr>
        <w:pStyle w:val="SingleTxtG"/>
        <w:ind w:left="1701" w:hanging="567"/>
        <w:rPr>
          <w:rFonts w:eastAsia="Calibri"/>
          <w:kern w:val="14"/>
          <w:lang w:val="fr-FR"/>
        </w:rPr>
      </w:pPr>
      <w:proofErr w:type="spellStart"/>
      <w:r w:rsidRPr="00C17AA1">
        <w:rPr>
          <w:lang w:val="en-US"/>
        </w:rPr>
        <w:t>Sarooshi</w:t>
      </w:r>
      <w:proofErr w:type="spellEnd"/>
      <w:r w:rsidRPr="00C17AA1">
        <w:rPr>
          <w:rFonts w:eastAsia="Calibri"/>
          <w:kern w:val="14"/>
          <w:lang w:val="en-US"/>
        </w:rPr>
        <w:t>, Dan</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International Organizations and Their Exercise of Sovereign Powers</w:t>
      </w:r>
      <w:r w:rsidRPr="00F22925">
        <w:rPr>
          <w:rFonts w:eastAsia="Calibri"/>
          <w:kern w:val="14"/>
          <w:lang w:val="en-US"/>
        </w:rPr>
        <w:t>.</w:t>
      </w:r>
      <w:r w:rsidRPr="00C17AA1">
        <w:rPr>
          <w:rFonts w:eastAsia="Calibri"/>
          <w:kern w:val="14"/>
          <w:lang w:val="en-US"/>
        </w:rPr>
        <w:t xml:space="preserve"> </w:t>
      </w:r>
      <w:r w:rsidRPr="00C17AA1">
        <w:rPr>
          <w:rFonts w:eastAsia="Calibri"/>
          <w:kern w:val="14"/>
          <w:lang w:val="fr-FR"/>
        </w:rPr>
        <w:t xml:space="preserve">Oxford, Oxford </w:t>
      </w:r>
      <w:proofErr w:type="spellStart"/>
      <w:r w:rsidRPr="00C17AA1">
        <w:rPr>
          <w:rFonts w:eastAsia="Calibri"/>
          <w:kern w:val="14"/>
          <w:lang w:val="fr-FR"/>
        </w:rPr>
        <w:t>University</w:t>
      </w:r>
      <w:proofErr w:type="spellEnd"/>
      <w:r w:rsidRPr="00C17AA1">
        <w:rPr>
          <w:rFonts w:eastAsia="Calibri"/>
          <w:kern w:val="14"/>
          <w:lang w:val="fr-FR"/>
        </w:rPr>
        <w:t xml:space="preserve"> </w:t>
      </w:r>
      <w:proofErr w:type="spellStart"/>
      <w:r w:rsidRPr="00C17AA1">
        <w:rPr>
          <w:rFonts w:eastAsia="Calibri"/>
          <w:kern w:val="14"/>
          <w:lang w:val="fr-FR"/>
        </w:rPr>
        <w:t>Press</w:t>
      </w:r>
      <w:proofErr w:type="spellEnd"/>
      <w:r w:rsidRPr="00C17AA1">
        <w:rPr>
          <w:rFonts w:eastAsia="Calibri"/>
          <w:kern w:val="14"/>
          <w:lang w:val="fr-FR"/>
        </w:rPr>
        <w:t>, 2005</w:t>
      </w:r>
      <w:r w:rsidRPr="00F22925">
        <w:rPr>
          <w:rFonts w:eastAsia="Calibri"/>
          <w:kern w:val="14"/>
          <w:lang w:val="fr-FR"/>
        </w:rPr>
        <w:t>.</w:t>
      </w:r>
      <w:r w:rsidRPr="00C17AA1">
        <w:rPr>
          <w:rFonts w:eastAsia="Calibri"/>
          <w:kern w:val="14"/>
          <w:lang w:val="fr-FR"/>
        </w:rPr>
        <w:t xml:space="preserve"> </w:t>
      </w:r>
    </w:p>
    <w:p w14:paraId="523401E7" w14:textId="77777777" w:rsidR="00014CBC" w:rsidRPr="00C17AA1" w:rsidRDefault="00014CBC" w:rsidP="00014CBC">
      <w:pPr>
        <w:pStyle w:val="SingleTxtG"/>
        <w:ind w:left="1701" w:hanging="567"/>
        <w:rPr>
          <w:rFonts w:eastAsia="Calibri"/>
          <w:kern w:val="14"/>
          <w:lang w:val="en-US"/>
        </w:rPr>
      </w:pPr>
      <w:r w:rsidRPr="00E91727">
        <w:rPr>
          <w:lang w:val="fr-FR"/>
        </w:rPr>
        <w:t>Simonet</w:t>
      </w:r>
      <w:r w:rsidRPr="00C17AA1">
        <w:rPr>
          <w:rFonts w:eastAsia="Calibri"/>
          <w:kern w:val="14"/>
          <w:lang w:val="fr-FR"/>
        </w:rPr>
        <w:t>, Loïc</w:t>
      </w:r>
      <w:r w:rsidRPr="00F22925">
        <w:rPr>
          <w:rFonts w:eastAsia="Calibri"/>
          <w:kern w:val="14"/>
          <w:lang w:val="fr-FR"/>
        </w:rPr>
        <w:t>.</w:t>
      </w:r>
      <w:r w:rsidRPr="00C17AA1">
        <w:rPr>
          <w:rFonts w:eastAsia="Calibri"/>
          <w:kern w:val="14"/>
          <w:lang w:val="fr-FR"/>
        </w:rPr>
        <w:t xml:space="preserve"> </w:t>
      </w:r>
      <w:r w:rsidRPr="00C17AA1">
        <w:rPr>
          <w:rFonts w:eastAsia="Calibri"/>
          <w:i/>
          <w:iCs/>
          <w:kern w:val="14"/>
          <w:lang w:val="fr-FR"/>
        </w:rPr>
        <w:t xml:space="preserve">Le traité sur le commerce des armes : </w:t>
      </w:r>
      <w:r w:rsidRPr="00C6687F">
        <w:rPr>
          <w:rFonts w:eastAsia="Calibri"/>
          <w:i/>
          <w:iCs/>
          <w:color w:val="1E3024"/>
          <w:kern w:val="14"/>
          <w:shd w:val="clear" w:color="auto" w:fill="FFFFFF"/>
          <w:lang w:val="fr-CA"/>
        </w:rPr>
        <w:t>du premier instrument juridique consacré à la réglementation des transferts internationaux d</w:t>
      </w:r>
      <w:r>
        <w:rPr>
          <w:rFonts w:eastAsia="Calibri"/>
          <w:i/>
          <w:iCs/>
          <w:color w:val="1E3024"/>
          <w:kern w:val="14"/>
          <w:shd w:val="clear" w:color="auto" w:fill="FFFFFF"/>
          <w:lang w:val="fr-CA"/>
        </w:rPr>
        <w:t>’</w:t>
      </w:r>
      <w:r w:rsidRPr="00C6687F">
        <w:rPr>
          <w:rFonts w:eastAsia="Calibri"/>
          <w:i/>
          <w:iCs/>
          <w:color w:val="1E3024"/>
          <w:kern w:val="14"/>
          <w:shd w:val="clear" w:color="auto" w:fill="FFFFFF"/>
          <w:lang w:val="fr-CA"/>
        </w:rPr>
        <w:t>armes conventionnelle</w:t>
      </w:r>
      <w:r w:rsidRPr="00F22925">
        <w:rPr>
          <w:rFonts w:eastAsia="Calibri"/>
          <w:kern w:val="14"/>
          <w:lang w:val="fr-FR"/>
        </w:rPr>
        <w:t>.</w:t>
      </w:r>
      <w:r w:rsidRPr="00C17AA1">
        <w:rPr>
          <w:rFonts w:eastAsia="Calibri"/>
          <w:kern w:val="14"/>
          <w:lang w:val="fr-FR"/>
        </w:rPr>
        <w:t xml:space="preserve"> </w:t>
      </w:r>
      <w:r w:rsidRPr="00C17AA1">
        <w:rPr>
          <w:rFonts w:eastAsia="Calibri"/>
          <w:kern w:val="14"/>
          <w:lang w:val="en-US"/>
        </w:rPr>
        <w:t>Paris: Editions A</w:t>
      </w:r>
      <w:r w:rsidRPr="00F22925">
        <w:rPr>
          <w:rFonts w:eastAsia="Calibri"/>
          <w:kern w:val="14"/>
          <w:lang w:val="en-US"/>
        </w:rPr>
        <w:t>.</w:t>
      </w:r>
      <w:r w:rsidRPr="00C17AA1">
        <w:rPr>
          <w:rFonts w:eastAsia="Calibri"/>
          <w:kern w:val="14"/>
          <w:lang w:val="en-US"/>
        </w:rPr>
        <w:t> </w:t>
      </w:r>
      <w:proofErr w:type="spellStart"/>
      <w:r w:rsidRPr="00C17AA1">
        <w:rPr>
          <w:rFonts w:eastAsia="Calibri"/>
          <w:kern w:val="14"/>
          <w:lang w:val="en-US"/>
        </w:rPr>
        <w:t>Pedone</w:t>
      </w:r>
      <w:proofErr w:type="spellEnd"/>
      <w:r w:rsidRPr="00C17AA1">
        <w:rPr>
          <w:rFonts w:eastAsia="Calibri"/>
          <w:kern w:val="14"/>
          <w:lang w:val="en-US"/>
        </w:rPr>
        <w:t>, 2015</w:t>
      </w:r>
      <w:r w:rsidRPr="00F22925">
        <w:rPr>
          <w:rFonts w:eastAsia="Calibri"/>
          <w:kern w:val="14"/>
          <w:lang w:val="en-US"/>
        </w:rPr>
        <w:t>.</w:t>
      </w:r>
      <w:r w:rsidRPr="00C17AA1">
        <w:rPr>
          <w:rFonts w:eastAsia="Calibri"/>
          <w:kern w:val="14"/>
          <w:lang w:val="en-US"/>
        </w:rPr>
        <w:t xml:space="preserve"> </w:t>
      </w:r>
    </w:p>
    <w:p w14:paraId="3039EAB6" w14:textId="77777777" w:rsidR="00014CBC" w:rsidRPr="00C6687F" w:rsidRDefault="00014CBC" w:rsidP="00014CBC">
      <w:pPr>
        <w:pStyle w:val="SingleTxtG"/>
        <w:ind w:left="1701" w:hanging="567"/>
        <w:rPr>
          <w:rFonts w:eastAsia="Calibri"/>
          <w:spacing w:val="4"/>
          <w:kern w:val="14"/>
          <w:lang w:val="fr-CA"/>
        </w:rPr>
      </w:pPr>
      <w:r w:rsidRPr="00C17AA1">
        <w:rPr>
          <w:lang w:val="en-US"/>
        </w:rPr>
        <w:t>Villager</w:t>
      </w:r>
      <w:r w:rsidRPr="00C17AA1">
        <w:rPr>
          <w:rFonts w:eastAsia="Calibri"/>
          <w:kern w:val="14"/>
          <w:lang w:val="en-US"/>
        </w:rPr>
        <w:t>, Mark E</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Commentary on the 1969 Vienna Convention on the Law of Treaties</w:t>
      </w:r>
      <w:r w:rsidRPr="00F22925">
        <w:rPr>
          <w:rFonts w:eastAsia="Calibri"/>
          <w:kern w:val="14"/>
          <w:lang w:val="en-US"/>
        </w:rPr>
        <w:t>.</w:t>
      </w:r>
      <w:r w:rsidRPr="00C17AA1">
        <w:rPr>
          <w:rFonts w:eastAsia="Calibri"/>
          <w:kern w:val="14"/>
          <w:lang w:val="en-US"/>
        </w:rPr>
        <w:t xml:space="preserve"> </w:t>
      </w:r>
      <w:proofErr w:type="spellStart"/>
      <w:r w:rsidRPr="00C6687F">
        <w:rPr>
          <w:rFonts w:eastAsia="Calibri"/>
          <w:kern w:val="14"/>
          <w:lang w:val="fr-CA"/>
        </w:rPr>
        <w:t>Leiden</w:t>
      </w:r>
      <w:proofErr w:type="spellEnd"/>
      <w:r w:rsidRPr="00C6687F">
        <w:rPr>
          <w:rFonts w:eastAsia="Calibri"/>
          <w:kern w:val="14"/>
          <w:lang w:val="fr-CA"/>
        </w:rPr>
        <w:t xml:space="preserve">: </w:t>
      </w:r>
      <w:proofErr w:type="spellStart"/>
      <w:r w:rsidRPr="00C6687F">
        <w:rPr>
          <w:rFonts w:eastAsia="Calibri"/>
          <w:kern w:val="14"/>
          <w:lang w:val="fr-CA"/>
        </w:rPr>
        <w:t>Martinus</w:t>
      </w:r>
      <w:proofErr w:type="spellEnd"/>
      <w:r w:rsidRPr="00C6687F">
        <w:rPr>
          <w:rFonts w:eastAsia="Calibri"/>
          <w:kern w:val="14"/>
          <w:lang w:val="fr-CA"/>
        </w:rPr>
        <w:t xml:space="preserve"> </w:t>
      </w:r>
      <w:proofErr w:type="spellStart"/>
      <w:r w:rsidRPr="00C6687F">
        <w:rPr>
          <w:rFonts w:eastAsia="Calibri"/>
          <w:kern w:val="14"/>
          <w:lang w:val="fr-CA"/>
        </w:rPr>
        <w:t>Nijhoff</w:t>
      </w:r>
      <w:proofErr w:type="spellEnd"/>
      <w:r w:rsidRPr="00C6687F">
        <w:rPr>
          <w:rFonts w:eastAsia="Calibri"/>
          <w:kern w:val="14"/>
          <w:lang w:val="fr-CA"/>
        </w:rPr>
        <w:t>, 2009</w:t>
      </w:r>
      <w:r w:rsidRPr="00F22925">
        <w:rPr>
          <w:rFonts w:eastAsia="Calibri"/>
          <w:kern w:val="14"/>
          <w:lang w:val="fr-CA"/>
        </w:rPr>
        <w:t>.</w:t>
      </w:r>
      <w:r w:rsidRPr="00C6687F">
        <w:rPr>
          <w:rFonts w:eastAsia="Calibri"/>
          <w:spacing w:val="4"/>
          <w:kern w:val="14"/>
          <w:lang w:val="fr-CA"/>
        </w:rPr>
        <w:t xml:space="preserve"> </w:t>
      </w:r>
    </w:p>
    <w:p w14:paraId="38EE2242" w14:textId="77777777" w:rsidR="00014CBC" w:rsidRPr="00C17AA1" w:rsidRDefault="00014CBC" w:rsidP="00014CBC">
      <w:pPr>
        <w:pStyle w:val="H1G"/>
        <w:rPr>
          <w:lang w:val="fr-FR"/>
        </w:rPr>
      </w:pPr>
      <w:r w:rsidRPr="00C17AA1">
        <w:rPr>
          <w:lang w:val="fr-FR"/>
        </w:rPr>
        <w:lastRenderedPageBreak/>
        <w:tab/>
        <w:t>B</w:t>
      </w:r>
      <w:r w:rsidRPr="00F22925">
        <w:rPr>
          <w:lang w:val="fr-FR"/>
        </w:rPr>
        <w:t>.</w:t>
      </w:r>
      <w:r w:rsidRPr="00C17AA1">
        <w:rPr>
          <w:lang w:val="fr-FR"/>
        </w:rPr>
        <w:tab/>
        <w:t>Articles et chapitres d</w:t>
      </w:r>
      <w:r>
        <w:rPr>
          <w:lang w:val="fr-FR"/>
        </w:rPr>
        <w:t>’</w:t>
      </w:r>
      <w:r w:rsidRPr="00C17AA1">
        <w:rPr>
          <w:lang w:val="fr-FR"/>
        </w:rPr>
        <w:t>ouvrages</w:t>
      </w:r>
    </w:p>
    <w:p w14:paraId="22A50529" w14:textId="77777777" w:rsidR="00014CBC" w:rsidRPr="00C17AA1" w:rsidRDefault="00014CBC" w:rsidP="00014CBC">
      <w:pPr>
        <w:pStyle w:val="SingleTxtG"/>
        <w:ind w:left="1701" w:hanging="567"/>
        <w:rPr>
          <w:rFonts w:eastAsia="Calibri"/>
          <w:kern w:val="14"/>
          <w:lang w:val="es-ES"/>
        </w:rPr>
      </w:pPr>
      <w:proofErr w:type="spellStart"/>
      <w:r w:rsidRPr="00E91727">
        <w:rPr>
          <w:lang w:val="fr-FR"/>
        </w:rPr>
        <w:t>Andrés</w:t>
      </w:r>
      <w:proofErr w:type="spellEnd"/>
      <w:r w:rsidRPr="00C17AA1">
        <w:rPr>
          <w:rFonts w:eastAsia="Calibri"/>
          <w:kern w:val="14"/>
          <w:lang w:val="pt-BR"/>
        </w:rPr>
        <w:t xml:space="preserve"> </w:t>
      </w:r>
      <w:proofErr w:type="spellStart"/>
      <w:r w:rsidRPr="00C17AA1">
        <w:rPr>
          <w:rFonts w:eastAsia="Calibri"/>
          <w:kern w:val="14"/>
          <w:lang w:val="pt-BR"/>
        </w:rPr>
        <w:t>Sáenz</w:t>
      </w:r>
      <w:proofErr w:type="spellEnd"/>
      <w:r w:rsidRPr="00C17AA1">
        <w:rPr>
          <w:rFonts w:eastAsia="Calibri"/>
          <w:kern w:val="14"/>
          <w:lang w:val="pt-BR"/>
        </w:rPr>
        <w:t xml:space="preserve"> de Santa </w:t>
      </w:r>
      <w:proofErr w:type="spellStart"/>
      <w:r w:rsidRPr="00C17AA1">
        <w:rPr>
          <w:rFonts w:eastAsia="Calibri"/>
          <w:kern w:val="14"/>
          <w:lang w:val="pt-BR"/>
        </w:rPr>
        <w:t>María</w:t>
      </w:r>
      <w:proofErr w:type="spellEnd"/>
      <w:r w:rsidRPr="00C17AA1">
        <w:rPr>
          <w:rFonts w:eastAsia="Calibri"/>
          <w:kern w:val="14"/>
          <w:lang w:val="pt-BR"/>
        </w:rPr>
        <w:t xml:space="preserve">, </w:t>
      </w:r>
      <w:proofErr w:type="spellStart"/>
      <w:r w:rsidRPr="00C17AA1">
        <w:rPr>
          <w:rFonts w:eastAsia="Calibri"/>
          <w:kern w:val="14"/>
          <w:lang w:val="pt-BR"/>
        </w:rPr>
        <w:t>María</w:t>
      </w:r>
      <w:proofErr w:type="spellEnd"/>
      <w:r w:rsidRPr="00C17AA1">
        <w:rPr>
          <w:rFonts w:eastAsia="Calibri"/>
          <w:kern w:val="14"/>
          <w:lang w:val="pt-BR"/>
        </w:rPr>
        <w:t xml:space="preserve"> Paz</w:t>
      </w:r>
      <w:r w:rsidRPr="00F22925">
        <w:rPr>
          <w:rFonts w:eastAsia="Calibri"/>
          <w:kern w:val="14"/>
          <w:lang w:val="pt-BR"/>
        </w:rPr>
        <w:t>.</w:t>
      </w:r>
      <w:r w:rsidRPr="00C17AA1">
        <w:rPr>
          <w:rFonts w:eastAsia="Calibri"/>
          <w:kern w:val="14"/>
          <w:lang w:val="pt-BR"/>
        </w:rPr>
        <w:t xml:space="preserve"> </w:t>
      </w:r>
      <w:r w:rsidRPr="00C17AA1">
        <w:rPr>
          <w:rFonts w:eastAsia="Calibri"/>
          <w:kern w:val="14"/>
          <w:lang w:val="es-ES"/>
        </w:rPr>
        <w:t xml:space="preserve">“La aplicación provisional de los tratados internacionales en el derecho español”, </w:t>
      </w:r>
      <w:r w:rsidRPr="00C17AA1">
        <w:rPr>
          <w:rFonts w:eastAsia="Calibri"/>
          <w:i/>
          <w:iCs/>
          <w:kern w:val="14"/>
          <w:lang w:val="es-ES"/>
        </w:rPr>
        <w:t>Revista española de derecho internacional</w:t>
      </w:r>
      <w:r w:rsidRPr="00C17AA1">
        <w:rPr>
          <w:rFonts w:eastAsia="Calibri"/>
          <w:kern w:val="14"/>
          <w:lang w:val="es-ES"/>
        </w:rPr>
        <w:t>, vol</w:t>
      </w:r>
      <w:r w:rsidRPr="00F22925">
        <w:rPr>
          <w:rFonts w:eastAsia="Calibri"/>
          <w:kern w:val="14"/>
          <w:lang w:val="es-ES"/>
        </w:rPr>
        <w:t>.</w:t>
      </w:r>
      <w:r w:rsidRPr="00C17AA1">
        <w:rPr>
          <w:rFonts w:eastAsia="Calibri"/>
          <w:kern w:val="14"/>
          <w:lang w:val="es-ES"/>
        </w:rPr>
        <w:t xml:space="preserve"> 34, No</w:t>
      </w:r>
      <w:r w:rsidRPr="00F22925">
        <w:rPr>
          <w:rFonts w:eastAsia="Calibri"/>
          <w:kern w:val="14"/>
          <w:lang w:val="es-ES"/>
        </w:rPr>
        <w:t>.</w:t>
      </w:r>
      <w:r w:rsidRPr="00C17AA1">
        <w:rPr>
          <w:rFonts w:eastAsia="Calibri"/>
          <w:kern w:val="14"/>
          <w:lang w:val="es-ES"/>
        </w:rPr>
        <w:t xml:space="preserve"> 1 (1982)</w:t>
      </w:r>
      <w:r w:rsidRPr="00F22925">
        <w:rPr>
          <w:rFonts w:eastAsia="Calibri"/>
          <w:kern w:val="14"/>
          <w:lang w:val="es-ES"/>
        </w:rPr>
        <w:t>.</w:t>
      </w:r>
      <w:r w:rsidRPr="00C17AA1">
        <w:rPr>
          <w:rFonts w:eastAsia="Calibri"/>
          <w:kern w:val="14"/>
          <w:lang w:val="es-ES"/>
        </w:rPr>
        <w:t xml:space="preserve"> </w:t>
      </w:r>
    </w:p>
    <w:p w14:paraId="2FC3BECD" w14:textId="77777777" w:rsidR="00014CBC" w:rsidRPr="00C17AA1" w:rsidRDefault="00014CBC" w:rsidP="00014CBC">
      <w:pPr>
        <w:pStyle w:val="SingleTxtG"/>
        <w:ind w:left="1701" w:hanging="567"/>
        <w:rPr>
          <w:rFonts w:eastAsia="Calibri"/>
          <w:kern w:val="14"/>
          <w:lang w:val="es-ES"/>
        </w:rPr>
      </w:pPr>
      <w:r w:rsidRPr="00C17AA1">
        <w:rPr>
          <w:rFonts w:eastAsia="Calibri"/>
          <w:kern w:val="14"/>
          <w:lang w:val="es-ES"/>
        </w:rPr>
        <w:t>________</w:t>
      </w:r>
      <w:r w:rsidRPr="00F22925">
        <w:rPr>
          <w:rFonts w:eastAsia="Calibri"/>
          <w:kern w:val="14"/>
          <w:lang w:val="es-ES"/>
        </w:rPr>
        <w:t>.</w:t>
      </w:r>
      <w:r w:rsidRPr="00C17AA1">
        <w:rPr>
          <w:rFonts w:eastAsia="Calibri"/>
          <w:kern w:val="14"/>
          <w:lang w:val="es-ES"/>
        </w:rPr>
        <w:t xml:space="preserve"> La </w:t>
      </w:r>
      <w:r w:rsidRPr="00E91727">
        <w:rPr>
          <w:lang w:val="es-ES"/>
        </w:rPr>
        <w:t>Unión</w:t>
      </w:r>
      <w:r w:rsidRPr="00C17AA1">
        <w:rPr>
          <w:rFonts w:eastAsia="Calibri"/>
          <w:kern w:val="14"/>
          <w:lang w:val="es-ES"/>
        </w:rPr>
        <w:t xml:space="preserve"> Europea y el derecho de los tratados: una relación compleja</w:t>
      </w:r>
      <w:r w:rsidRPr="00F22925">
        <w:rPr>
          <w:rFonts w:eastAsia="Calibri"/>
          <w:kern w:val="14"/>
          <w:lang w:val="es-ES"/>
        </w:rPr>
        <w:t>.</w:t>
      </w:r>
      <w:r w:rsidRPr="00C17AA1">
        <w:rPr>
          <w:rFonts w:eastAsia="Calibri"/>
          <w:kern w:val="14"/>
          <w:lang w:val="es-ES"/>
        </w:rPr>
        <w:t xml:space="preserve"> </w:t>
      </w:r>
      <w:r w:rsidRPr="00C17AA1">
        <w:rPr>
          <w:rFonts w:eastAsia="Calibri"/>
          <w:i/>
          <w:iCs/>
          <w:kern w:val="14"/>
          <w:lang w:val="es-ES"/>
        </w:rPr>
        <w:t>Revista española de derecho internacional</w:t>
      </w:r>
      <w:r w:rsidRPr="00C17AA1">
        <w:rPr>
          <w:rFonts w:eastAsia="Calibri"/>
          <w:kern w:val="14"/>
          <w:lang w:val="es-ES"/>
        </w:rPr>
        <w:t>, vol</w:t>
      </w:r>
      <w:r w:rsidRPr="00F22925">
        <w:rPr>
          <w:rFonts w:eastAsia="Calibri"/>
          <w:kern w:val="14"/>
          <w:lang w:val="es-ES"/>
        </w:rPr>
        <w:t>.</w:t>
      </w:r>
      <w:r w:rsidRPr="00C17AA1">
        <w:rPr>
          <w:rFonts w:eastAsia="Calibri"/>
          <w:kern w:val="14"/>
          <w:lang w:val="es-ES"/>
        </w:rPr>
        <w:t xml:space="preserve"> 68/2 (</w:t>
      </w:r>
      <w:proofErr w:type="spellStart"/>
      <w:r w:rsidRPr="00C17AA1">
        <w:rPr>
          <w:rFonts w:eastAsia="Calibri"/>
          <w:kern w:val="14"/>
          <w:lang w:val="es-ES"/>
        </w:rPr>
        <w:t>July-December</w:t>
      </w:r>
      <w:proofErr w:type="spellEnd"/>
      <w:r w:rsidRPr="00C17AA1">
        <w:rPr>
          <w:rFonts w:eastAsia="Calibri"/>
          <w:kern w:val="14"/>
          <w:lang w:val="es-ES"/>
        </w:rPr>
        <w:t xml:space="preserve"> 2016)</w:t>
      </w:r>
      <w:r w:rsidRPr="00F22925">
        <w:rPr>
          <w:rFonts w:eastAsia="Calibri"/>
          <w:kern w:val="14"/>
          <w:lang w:val="es-ES"/>
        </w:rPr>
        <w:t>.</w:t>
      </w:r>
      <w:r w:rsidRPr="00C17AA1">
        <w:rPr>
          <w:rFonts w:eastAsia="Calibri"/>
          <w:kern w:val="14"/>
          <w:lang w:val="es-ES"/>
        </w:rPr>
        <w:t xml:space="preserve"> </w:t>
      </w:r>
    </w:p>
    <w:p w14:paraId="037B8E33" w14:textId="77777777" w:rsidR="00014CBC" w:rsidRPr="00C17AA1" w:rsidRDefault="00014CBC" w:rsidP="00014CBC">
      <w:pPr>
        <w:pStyle w:val="SingleTxtG"/>
        <w:ind w:left="1701" w:hanging="567"/>
        <w:rPr>
          <w:rFonts w:eastAsia="Calibri"/>
          <w:kern w:val="14"/>
          <w:lang w:val="en-US"/>
        </w:rPr>
      </w:pPr>
      <w:proofErr w:type="spellStart"/>
      <w:r w:rsidRPr="00C17AA1">
        <w:rPr>
          <w:rFonts w:eastAsia="Calibri"/>
          <w:kern w:val="14"/>
          <w:lang w:val="es-ES"/>
        </w:rPr>
        <w:t>Arsanjani</w:t>
      </w:r>
      <w:proofErr w:type="spellEnd"/>
      <w:r w:rsidRPr="00C17AA1">
        <w:rPr>
          <w:rFonts w:eastAsia="Calibri"/>
          <w:kern w:val="14"/>
          <w:lang w:val="es-ES"/>
        </w:rPr>
        <w:t xml:space="preserve">, </w:t>
      </w:r>
      <w:proofErr w:type="spellStart"/>
      <w:r w:rsidRPr="00E91727">
        <w:rPr>
          <w:lang w:val="es-ES"/>
        </w:rPr>
        <w:t>Mahnoush</w:t>
      </w:r>
      <w:proofErr w:type="spellEnd"/>
      <w:r w:rsidRPr="00C17AA1">
        <w:rPr>
          <w:rFonts w:eastAsia="Calibri"/>
          <w:kern w:val="14"/>
          <w:lang w:val="es-ES"/>
        </w:rPr>
        <w:t xml:space="preserve"> H</w:t>
      </w:r>
      <w:r w:rsidRPr="00F22925">
        <w:rPr>
          <w:rFonts w:eastAsia="Calibri"/>
          <w:kern w:val="14"/>
          <w:lang w:val="es-ES"/>
        </w:rPr>
        <w:t>.</w:t>
      </w:r>
      <w:r w:rsidRPr="00C17AA1">
        <w:rPr>
          <w:rFonts w:eastAsia="Calibri"/>
          <w:kern w:val="14"/>
          <w:lang w:val="es-ES"/>
        </w:rPr>
        <w:t>, and W</w:t>
      </w:r>
      <w:r w:rsidRPr="00F22925">
        <w:rPr>
          <w:rFonts w:eastAsia="Calibri"/>
          <w:kern w:val="14"/>
          <w:lang w:val="es-ES"/>
        </w:rPr>
        <w:t>.</w:t>
      </w:r>
      <w:r w:rsidRPr="00C17AA1">
        <w:rPr>
          <w:rFonts w:eastAsia="Calibri"/>
          <w:kern w:val="14"/>
          <w:lang w:val="es-ES"/>
        </w:rPr>
        <w:t xml:space="preserve"> Michael </w:t>
      </w:r>
      <w:proofErr w:type="spellStart"/>
      <w:r w:rsidRPr="00C17AA1">
        <w:rPr>
          <w:rFonts w:eastAsia="Calibri"/>
          <w:kern w:val="14"/>
          <w:lang w:val="es-ES"/>
        </w:rPr>
        <w:t>Reisman</w:t>
      </w:r>
      <w:proofErr w:type="spellEnd"/>
      <w:r w:rsidRPr="00F22925">
        <w:rPr>
          <w:rFonts w:eastAsia="Calibri"/>
          <w:kern w:val="14"/>
          <w:lang w:val="es-ES"/>
        </w:rPr>
        <w:t>.</w:t>
      </w:r>
      <w:r w:rsidRPr="00C17AA1">
        <w:rPr>
          <w:rFonts w:eastAsia="Calibri"/>
          <w:kern w:val="14"/>
          <w:lang w:val="es-ES"/>
        </w:rPr>
        <w:t xml:space="preserve"> </w:t>
      </w:r>
      <w:r w:rsidRPr="00C17AA1">
        <w:rPr>
          <w:rFonts w:eastAsia="Calibri"/>
          <w:kern w:val="14"/>
          <w:lang w:val="en-US"/>
        </w:rPr>
        <w:t>Provisional application of treaties in international law: the Energy Charter Treaty awards</w:t>
      </w:r>
      <w:r w:rsidRPr="00F22925">
        <w:rPr>
          <w:rFonts w:eastAsia="Calibri"/>
          <w:kern w:val="14"/>
          <w:lang w:val="en-US"/>
        </w:rPr>
        <w:t>.</w:t>
      </w:r>
      <w:r w:rsidRPr="00C17AA1">
        <w:rPr>
          <w:rFonts w:eastAsia="Calibri"/>
          <w:kern w:val="14"/>
          <w:lang w:val="en-US"/>
        </w:rPr>
        <w:t xml:space="preserve"> In Enzo Cannizzaro, ed</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Law of Treaties Beyond the Vienna Convention</w:t>
      </w:r>
      <w:r w:rsidRPr="00F22925">
        <w:rPr>
          <w:rFonts w:eastAsia="Calibri"/>
          <w:kern w:val="14"/>
          <w:lang w:val="en-US"/>
        </w:rPr>
        <w:t>.</w:t>
      </w:r>
      <w:r w:rsidRPr="00C17AA1">
        <w:rPr>
          <w:rFonts w:eastAsia="Calibri"/>
          <w:kern w:val="14"/>
          <w:lang w:val="en-US"/>
        </w:rPr>
        <w:t xml:space="preserve"> Oxford: Oxford University Press, 2011</w:t>
      </w:r>
      <w:r w:rsidRPr="00F22925">
        <w:rPr>
          <w:rFonts w:eastAsia="Calibri"/>
          <w:kern w:val="14"/>
          <w:lang w:val="en-US"/>
        </w:rPr>
        <w:t>.</w:t>
      </w:r>
      <w:r w:rsidRPr="00C17AA1">
        <w:rPr>
          <w:rFonts w:eastAsia="Calibri"/>
          <w:kern w:val="14"/>
          <w:lang w:val="en-US"/>
        </w:rPr>
        <w:t xml:space="preserve"> </w:t>
      </w:r>
    </w:p>
    <w:p w14:paraId="360AF832"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t>Ascensio</w:t>
      </w:r>
      <w:proofErr w:type="spellEnd"/>
      <w:r w:rsidRPr="00C17AA1">
        <w:rPr>
          <w:rFonts w:eastAsia="Calibri"/>
          <w:kern w:val="14"/>
          <w:lang w:val="en-US"/>
        </w:rPr>
        <w:t xml:space="preserve">, </w:t>
      </w:r>
      <w:proofErr w:type="spellStart"/>
      <w:r w:rsidRPr="00C17AA1">
        <w:rPr>
          <w:rFonts w:eastAsia="Calibri"/>
          <w:kern w:val="14"/>
          <w:lang w:val="en-US"/>
        </w:rPr>
        <w:t>Hervé</w:t>
      </w:r>
      <w:proofErr w:type="spellEnd"/>
      <w:r w:rsidRPr="00F22925">
        <w:rPr>
          <w:rFonts w:eastAsia="Calibri"/>
          <w:kern w:val="14"/>
          <w:lang w:val="en-US"/>
        </w:rPr>
        <w:t>.</w:t>
      </w:r>
      <w:r w:rsidRPr="00C17AA1">
        <w:rPr>
          <w:rFonts w:eastAsia="Calibri"/>
          <w:kern w:val="14"/>
          <w:lang w:val="en-US"/>
        </w:rPr>
        <w:t xml:space="preserve"> Article 70</w:t>
      </w:r>
      <w:r w:rsidRPr="00F22925">
        <w:rPr>
          <w:rFonts w:eastAsia="Calibri"/>
          <w:kern w:val="14"/>
          <w:lang w:val="en-US"/>
        </w:rPr>
        <w:t>.</w:t>
      </w:r>
      <w:r w:rsidRPr="00C17AA1">
        <w:rPr>
          <w:rFonts w:eastAsia="Calibri"/>
          <w:kern w:val="14"/>
          <w:lang w:val="en-US"/>
        </w:rPr>
        <w:t xml:space="preserve"> In </w:t>
      </w:r>
      <w:r w:rsidRPr="00C17AA1">
        <w:rPr>
          <w:lang w:val="en-US"/>
        </w:rPr>
        <w:t>Olivier C</w:t>
      </w:r>
      <w:r w:rsidRPr="00C17AA1">
        <w:rPr>
          <w:rFonts w:eastAsia="Calibri"/>
          <w:kern w:val="14"/>
          <w:lang w:val="en-US"/>
        </w:rPr>
        <w:t>orten and Pierre Klein,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Vienna Conventions on the Law of Treaties: A Commentary</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II</w:t>
      </w:r>
      <w:r w:rsidRPr="00F22925">
        <w:rPr>
          <w:rFonts w:eastAsia="Calibri"/>
          <w:kern w:val="14"/>
          <w:lang w:val="en-US"/>
        </w:rPr>
        <w:t>.</w:t>
      </w:r>
      <w:r w:rsidRPr="00C17AA1">
        <w:rPr>
          <w:rFonts w:eastAsia="Calibri"/>
          <w:kern w:val="14"/>
          <w:lang w:val="en-US"/>
        </w:rPr>
        <w:t xml:space="preserve"> Oxford: Oxford University Press, 2011</w:t>
      </w:r>
      <w:r w:rsidRPr="00F22925">
        <w:rPr>
          <w:rFonts w:eastAsia="Calibri"/>
          <w:kern w:val="14"/>
          <w:lang w:val="en-US"/>
        </w:rPr>
        <w:t>.</w:t>
      </w:r>
      <w:r w:rsidRPr="00C17AA1">
        <w:rPr>
          <w:rFonts w:eastAsia="Calibri"/>
          <w:kern w:val="14"/>
          <w:lang w:val="en-US"/>
        </w:rPr>
        <w:t xml:space="preserve"> </w:t>
      </w:r>
    </w:p>
    <w:p w14:paraId="5DE05C72"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Aust, </w:t>
      </w:r>
      <w:r w:rsidRPr="00C17AA1">
        <w:rPr>
          <w:lang w:val="en-US"/>
        </w:rPr>
        <w:t>Anthony</w:t>
      </w:r>
      <w:r w:rsidRPr="00F22925">
        <w:rPr>
          <w:rFonts w:eastAsia="Calibri"/>
          <w:kern w:val="14"/>
          <w:lang w:val="en-US"/>
        </w:rPr>
        <w:t>.</w:t>
      </w:r>
      <w:r w:rsidRPr="00C17AA1">
        <w:rPr>
          <w:rFonts w:eastAsia="Calibri"/>
          <w:kern w:val="14"/>
          <w:lang w:val="en-US"/>
        </w:rPr>
        <w:t xml:space="preserve"> Article 24</w:t>
      </w:r>
      <w:r w:rsidRPr="00F22925">
        <w:rPr>
          <w:rFonts w:eastAsia="Calibri"/>
          <w:kern w:val="14"/>
          <w:lang w:val="en-US"/>
        </w:rPr>
        <w:t>.</w:t>
      </w:r>
      <w:r w:rsidRPr="00C17AA1">
        <w:rPr>
          <w:rFonts w:eastAsia="Calibri"/>
          <w:kern w:val="14"/>
          <w:lang w:val="en-US"/>
        </w:rPr>
        <w:t xml:space="preserve"> In Olivier Corten and Pierre Klein,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Vienna Conventions on the Law of Treaties: A Commentary</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w:t>
      </w:r>
      <w:r w:rsidRPr="00F22925">
        <w:rPr>
          <w:rFonts w:eastAsia="Calibri"/>
          <w:kern w:val="14"/>
          <w:lang w:val="en-US"/>
        </w:rPr>
        <w:t>.</w:t>
      </w:r>
      <w:r w:rsidRPr="00C17AA1">
        <w:rPr>
          <w:rFonts w:eastAsia="Calibri"/>
          <w:kern w:val="14"/>
          <w:lang w:val="en-US"/>
        </w:rPr>
        <w:t xml:space="preserve"> Oxford: Oxford University Press, 2011</w:t>
      </w:r>
      <w:r w:rsidRPr="00F22925">
        <w:rPr>
          <w:rFonts w:eastAsia="Calibri"/>
          <w:kern w:val="14"/>
          <w:lang w:val="en-US"/>
        </w:rPr>
        <w:t>.</w:t>
      </w:r>
      <w:r w:rsidRPr="00C17AA1">
        <w:rPr>
          <w:rFonts w:eastAsia="Calibri"/>
          <w:kern w:val="14"/>
          <w:lang w:val="en-US"/>
        </w:rPr>
        <w:t xml:space="preserve"> </w:t>
      </w:r>
    </w:p>
    <w:p w14:paraId="034769CB"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Azaria, Danae</w:t>
      </w:r>
      <w:r w:rsidRPr="00F22925">
        <w:rPr>
          <w:rFonts w:eastAsia="Calibri"/>
          <w:kern w:val="14"/>
          <w:lang w:val="en-US"/>
        </w:rPr>
        <w:t>.</w:t>
      </w:r>
      <w:r w:rsidRPr="00C17AA1">
        <w:rPr>
          <w:rFonts w:eastAsia="Calibri"/>
          <w:kern w:val="14"/>
          <w:lang w:val="en-US"/>
        </w:rPr>
        <w:t xml:space="preserve"> </w:t>
      </w:r>
      <w:r w:rsidRPr="00C17AA1">
        <w:rPr>
          <w:lang w:val="en-US"/>
        </w:rPr>
        <w:t>Exception</w:t>
      </w:r>
      <w:r w:rsidRPr="00C17AA1">
        <w:rPr>
          <w:rFonts w:eastAsia="Calibri"/>
          <w:kern w:val="14"/>
          <w:lang w:val="en-US"/>
        </w:rPr>
        <w:t xml:space="preserve"> of non-performance</w:t>
      </w:r>
      <w:r w:rsidRPr="00F22925">
        <w:rPr>
          <w:rFonts w:eastAsia="Calibri"/>
          <w:kern w:val="14"/>
          <w:lang w:val="en-US"/>
        </w:rPr>
        <w:t>.</w:t>
      </w:r>
      <w:r w:rsidRPr="00C17AA1">
        <w:rPr>
          <w:rFonts w:eastAsia="Calibri"/>
          <w:kern w:val="14"/>
          <w:lang w:val="en-US"/>
        </w:rPr>
        <w:t xml:space="preserve"> In </w:t>
      </w:r>
      <w:r w:rsidRPr="00C17AA1">
        <w:rPr>
          <w:rFonts w:eastAsia="Calibri"/>
          <w:i/>
          <w:iCs/>
          <w:kern w:val="14"/>
          <w:lang w:val="en-US"/>
        </w:rPr>
        <w:t>Max Planck Encyclopedia of Public International Law</w:t>
      </w:r>
      <w:r w:rsidRPr="00C17AA1">
        <w:rPr>
          <w:rFonts w:eastAsia="Calibri"/>
          <w:kern w:val="14"/>
          <w:lang w:val="en-US"/>
        </w:rPr>
        <w:t>, 2015</w:t>
      </w:r>
      <w:r w:rsidRPr="00F22925">
        <w:rPr>
          <w:rFonts w:eastAsia="Calibri"/>
          <w:kern w:val="14"/>
          <w:lang w:val="en-US"/>
        </w:rPr>
        <w:t>.</w:t>
      </w:r>
      <w:r w:rsidRPr="00C17AA1">
        <w:rPr>
          <w:rFonts w:eastAsia="Calibri"/>
          <w:kern w:val="14"/>
          <w:lang w:val="en-US"/>
        </w:rPr>
        <w:t xml:space="preserve"> </w:t>
      </w:r>
    </w:p>
    <w:p w14:paraId="65B24532"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________</w:t>
      </w:r>
      <w:r w:rsidRPr="00F22925">
        <w:rPr>
          <w:rFonts w:eastAsia="Calibri"/>
          <w:kern w:val="14"/>
          <w:lang w:val="en-US"/>
        </w:rPr>
        <w:t>.</w:t>
      </w:r>
      <w:r w:rsidRPr="00C17AA1">
        <w:rPr>
          <w:rFonts w:eastAsia="Calibri"/>
          <w:kern w:val="14"/>
          <w:lang w:val="en-US"/>
        </w:rPr>
        <w:t xml:space="preserve"> Provisional </w:t>
      </w:r>
      <w:r w:rsidRPr="00C17AA1">
        <w:rPr>
          <w:lang w:val="en-US"/>
        </w:rPr>
        <w:t>application</w:t>
      </w:r>
      <w:r w:rsidRPr="00C17AA1">
        <w:rPr>
          <w:rFonts w:eastAsia="Calibri"/>
          <w:kern w:val="14"/>
          <w:lang w:val="en-US"/>
        </w:rPr>
        <w:t xml:space="preserve"> of treaties</w:t>
      </w:r>
      <w:r w:rsidRPr="00F22925">
        <w:rPr>
          <w:rFonts w:eastAsia="Calibri"/>
          <w:kern w:val="14"/>
          <w:lang w:val="en-US"/>
        </w:rPr>
        <w:t>.</w:t>
      </w:r>
      <w:r w:rsidRPr="00C17AA1">
        <w:rPr>
          <w:rFonts w:eastAsia="Calibri"/>
          <w:kern w:val="14"/>
          <w:lang w:val="en-US"/>
        </w:rPr>
        <w:t xml:space="preserve"> In Duncan B</w:t>
      </w:r>
      <w:r w:rsidRPr="00F22925">
        <w:rPr>
          <w:rFonts w:eastAsia="Calibri"/>
          <w:kern w:val="14"/>
          <w:lang w:val="en-US"/>
        </w:rPr>
        <w:t>.</w:t>
      </w:r>
      <w:r w:rsidRPr="00C17AA1">
        <w:rPr>
          <w:rFonts w:eastAsia="Calibri"/>
          <w:kern w:val="14"/>
          <w:lang w:val="en-US"/>
        </w:rPr>
        <w:t xml:space="preserve"> Hollis, ed</w:t>
      </w:r>
      <w:r w:rsidRPr="00F22925">
        <w:rPr>
          <w:rFonts w:eastAsia="Calibri"/>
          <w:kern w:val="14"/>
          <w:lang w:val="en-US"/>
        </w:rPr>
        <w:t>.</w:t>
      </w:r>
      <w:r w:rsidRPr="00C17AA1">
        <w:rPr>
          <w:rFonts w:eastAsia="Calibri"/>
          <w:kern w:val="14"/>
          <w:lang w:val="en-US"/>
        </w:rPr>
        <w:t xml:space="preserve"> </w:t>
      </w:r>
      <w:r w:rsidRPr="00C17AA1">
        <w:rPr>
          <w:rFonts w:eastAsia="Calibri"/>
          <w:i/>
          <w:kern w:val="14"/>
          <w:lang w:val="en-US"/>
        </w:rPr>
        <w:t xml:space="preserve">The Oxford Guide to Treaties, </w:t>
      </w:r>
      <w:r w:rsidRPr="00C17AA1">
        <w:rPr>
          <w:rFonts w:eastAsia="Calibri"/>
          <w:kern w:val="14"/>
          <w:lang w:val="en-US"/>
        </w:rPr>
        <w:t>2nd ed</w:t>
      </w:r>
      <w:r w:rsidRPr="00F22925">
        <w:rPr>
          <w:rFonts w:eastAsia="Calibri"/>
          <w:kern w:val="14"/>
          <w:lang w:val="en-US"/>
        </w:rPr>
        <w:t>.</w:t>
      </w:r>
      <w:r w:rsidRPr="00C17AA1">
        <w:rPr>
          <w:rFonts w:eastAsia="Calibri"/>
          <w:kern w:val="14"/>
          <w:lang w:val="en-US"/>
        </w:rPr>
        <w:t xml:space="preserve"> Oxford: Oxford University Press, 2020</w:t>
      </w:r>
      <w:r w:rsidRPr="00F22925">
        <w:rPr>
          <w:rFonts w:eastAsia="Calibri"/>
          <w:kern w:val="14"/>
          <w:lang w:val="en-US"/>
        </w:rPr>
        <w:t>.</w:t>
      </w:r>
    </w:p>
    <w:p w14:paraId="03156EB4"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Bartels, </w:t>
      </w:r>
      <w:proofErr w:type="spellStart"/>
      <w:r w:rsidRPr="00C17AA1">
        <w:rPr>
          <w:rFonts w:eastAsia="Calibri"/>
          <w:kern w:val="14"/>
          <w:lang w:val="en-US"/>
        </w:rPr>
        <w:t>Lorand</w:t>
      </w:r>
      <w:proofErr w:type="spellEnd"/>
      <w:r w:rsidRPr="00F22925">
        <w:rPr>
          <w:rFonts w:eastAsia="Calibri"/>
          <w:kern w:val="14"/>
          <w:lang w:val="en-US"/>
        </w:rPr>
        <w:t>.</w:t>
      </w:r>
      <w:r w:rsidRPr="00C17AA1">
        <w:rPr>
          <w:rFonts w:eastAsia="Calibri"/>
          <w:kern w:val="14"/>
          <w:lang w:val="en-US"/>
        </w:rPr>
        <w:t xml:space="preserve"> </w:t>
      </w:r>
      <w:r w:rsidRPr="00C17AA1">
        <w:rPr>
          <w:lang w:val="en-US"/>
        </w:rPr>
        <w:t>Withdrawing</w:t>
      </w:r>
      <w:r w:rsidRPr="00C17AA1">
        <w:rPr>
          <w:rFonts w:eastAsia="Calibri"/>
          <w:kern w:val="14"/>
          <w:lang w:val="en-US"/>
        </w:rPr>
        <w:t xml:space="preserve"> provisional application of treaties: has the EU made a mistake? </w:t>
      </w:r>
      <w:r w:rsidRPr="00C17AA1">
        <w:rPr>
          <w:rFonts w:eastAsia="Calibri"/>
          <w:i/>
          <w:iCs/>
          <w:kern w:val="14"/>
          <w:lang w:val="en-US"/>
        </w:rPr>
        <w:t>Cambridge Journal of International and Comparative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1, No</w:t>
      </w:r>
      <w:r w:rsidRPr="00F22925">
        <w:rPr>
          <w:rFonts w:eastAsia="Calibri"/>
          <w:kern w:val="14"/>
          <w:lang w:val="en-US"/>
        </w:rPr>
        <w:t>.</w:t>
      </w:r>
      <w:r w:rsidRPr="00C17AA1">
        <w:rPr>
          <w:rFonts w:eastAsia="Calibri"/>
          <w:kern w:val="14"/>
          <w:lang w:val="en-US"/>
        </w:rPr>
        <w:t> 1 (2012)</w:t>
      </w:r>
      <w:r w:rsidRPr="00F22925">
        <w:rPr>
          <w:rFonts w:eastAsia="Calibri"/>
          <w:kern w:val="14"/>
          <w:lang w:val="en-US"/>
        </w:rPr>
        <w:t>.</w:t>
      </w:r>
      <w:r w:rsidRPr="00C17AA1">
        <w:rPr>
          <w:rFonts w:eastAsia="Calibri"/>
          <w:kern w:val="14"/>
          <w:lang w:val="en-US"/>
        </w:rPr>
        <w:t xml:space="preserve"> </w:t>
      </w:r>
    </w:p>
    <w:p w14:paraId="6844AA35" w14:textId="77777777" w:rsidR="00014CBC" w:rsidRPr="00C17AA1" w:rsidRDefault="00014CBC" w:rsidP="00014CBC">
      <w:pPr>
        <w:pStyle w:val="SingleTxtG"/>
        <w:ind w:left="1701" w:hanging="567"/>
        <w:rPr>
          <w:rFonts w:eastAsia="Calibri"/>
          <w:kern w:val="14"/>
          <w:lang w:val="en-US"/>
        </w:rPr>
      </w:pPr>
      <w:proofErr w:type="spellStart"/>
      <w:r w:rsidRPr="00C17AA1">
        <w:rPr>
          <w:rFonts w:eastAsia="Calibri"/>
          <w:kern w:val="14"/>
          <w:lang w:val="en-US"/>
        </w:rPr>
        <w:t>Belz</w:t>
      </w:r>
      <w:proofErr w:type="spellEnd"/>
      <w:r w:rsidRPr="00C17AA1">
        <w:rPr>
          <w:rFonts w:eastAsia="Calibri"/>
          <w:kern w:val="14"/>
          <w:lang w:val="en-US"/>
        </w:rPr>
        <w:t>, Matthew</w:t>
      </w:r>
      <w:r w:rsidRPr="00F22925">
        <w:rPr>
          <w:rFonts w:eastAsia="Calibri"/>
          <w:kern w:val="14"/>
          <w:lang w:val="en-US"/>
        </w:rPr>
        <w:t>.</w:t>
      </w:r>
      <w:r w:rsidRPr="00C17AA1">
        <w:rPr>
          <w:rFonts w:eastAsia="Calibri"/>
          <w:kern w:val="14"/>
          <w:lang w:val="en-US"/>
        </w:rPr>
        <w:t xml:space="preserve"> </w:t>
      </w:r>
      <w:r w:rsidRPr="00C17AA1">
        <w:rPr>
          <w:lang w:val="en-US"/>
        </w:rPr>
        <w:t>Provisional</w:t>
      </w:r>
      <w:r w:rsidRPr="00C17AA1">
        <w:rPr>
          <w:rFonts w:eastAsia="Calibri"/>
          <w:kern w:val="14"/>
          <w:lang w:val="en-US"/>
        </w:rPr>
        <w:t xml:space="preserve"> application of the Energy Charter Treaty: </w:t>
      </w:r>
      <w:proofErr w:type="spellStart"/>
      <w:r w:rsidRPr="00C17AA1">
        <w:rPr>
          <w:rFonts w:eastAsia="Calibri"/>
          <w:i/>
          <w:iCs/>
          <w:kern w:val="14"/>
          <w:lang w:val="en-US"/>
        </w:rPr>
        <w:t>Kardassopoulos</w:t>
      </w:r>
      <w:proofErr w:type="spellEnd"/>
      <w:r w:rsidRPr="00C17AA1">
        <w:rPr>
          <w:rFonts w:eastAsia="Calibri"/>
          <w:i/>
          <w:iCs/>
          <w:kern w:val="14"/>
          <w:lang w:val="en-US"/>
        </w:rPr>
        <w:t xml:space="preserve"> v</w:t>
      </w:r>
      <w:r w:rsidRPr="00F22925">
        <w:rPr>
          <w:rFonts w:eastAsia="Calibri"/>
          <w:i/>
          <w:iCs/>
          <w:kern w:val="14"/>
          <w:lang w:val="en-US"/>
        </w:rPr>
        <w:t>.</w:t>
      </w:r>
      <w:r w:rsidRPr="00C17AA1">
        <w:rPr>
          <w:rFonts w:eastAsia="Calibri"/>
          <w:i/>
          <w:iCs/>
          <w:kern w:val="14"/>
          <w:lang w:val="en-US"/>
        </w:rPr>
        <w:t xml:space="preserve"> Georgia</w:t>
      </w:r>
      <w:r w:rsidRPr="00C17AA1">
        <w:rPr>
          <w:rFonts w:eastAsia="Calibri"/>
          <w:kern w:val="14"/>
          <w:lang w:val="en-US"/>
        </w:rPr>
        <w:t xml:space="preserve"> and improving provisional application in multilateral treaties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Emory International Law Review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22, No</w:t>
      </w:r>
      <w:r w:rsidRPr="00F22925">
        <w:rPr>
          <w:rFonts w:eastAsia="Calibri"/>
          <w:kern w:val="14"/>
          <w:lang w:val="en-US"/>
        </w:rPr>
        <w:t>.</w:t>
      </w:r>
      <w:r w:rsidRPr="00C17AA1">
        <w:rPr>
          <w:rFonts w:eastAsia="Calibri"/>
          <w:kern w:val="14"/>
          <w:lang w:val="en-US"/>
        </w:rPr>
        <w:t xml:space="preserve"> 2 (fall 2008)</w:t>
      </w:r>
      <w:r w:rsidRPr="00F22925">
        <w:rPr>
          <w:rFonts w:eastAsia="Calibri"/>
          <w:kern w:val="14"/>
          <w:lang w:val="en-US"/>
        </w:rPr>
        <w:t>.</w:t>
      </w:r>
      <w:r w:rsidRPr="00C17AA1">
        <w:rPr>
          <w:rFonts w:eastAsia="Calibri"/>
          <w:kern w:val="14"/>
          <w:lang w:val="en-US"/>
        </w:rPr>
        <w:t xml:space="preserve"> </w:t>
      </w:r>
    </w:p>
    <w:p w14:paraId="2D42A3A6" w14:textId="77777777" w:rsidR="00014CBC" w:rsidRPr="0083304B" w:rsidRDefault="00014CBC" w:rsidP="00014CBC">
      <w:pPr>
        <w:pStyle w:val="SingleTxtG"/>
        <w:ind w:left="1701" w:hanging="567"/>
        <w:rPr>
          <w:rFonts w:eastAsia="Calibri"/>
          <w:kern w:val="14"/>
          <w:lang w:val="en-US"/>
        </w:rPr>
      </w:pPr>
      <w:r w:rsidRPr="00C17AA1">
        <w:rPr>
          <w:rFonts w:eastAsia="Calibri"/>
          <w:kern w:val="14"/>
          <w:lang w:val="en-US"/>
        </w:rPr>
        <w:t>Bothe, Michael</w:t>
      </w:r>
      <w:r w:rsidRPr="00F22925">
        <w:rPr>
          <w:rFonts w:eastAsia="Calibri"/>
          <w:kern w:val="14"/>
          <w:lang w:val="en-US"/>
        </w:rPr>
        <w:t>.</w:t>
      </w:r>
      <w:r w:rsidRPr="00C17AA1">
        <w:rPr>
          <w:rFonts w:eastAsia="Calibri"/>
          <w:kern w:val="14"/>
          <w:lang w:val="en-US"/>
        </w:rPr>
        <w:t xml:space="preserve"> Article </w:t>
      </w:r>
      <w:r w:rsidRPr="00C17AA1">
        <w:rPr>
          <w:lang w:val="en-US"/>
        </w:rPr>
        <w:t>46</w:t>
      </w:r>
      <w:r w:rsidRPr="00F22925">
        <w:rPr>
          <w:rFonts w:eastAsia="Calibri"/>
          <w:kern w:val="14"/>
          <w:lang w:val="en-US"/>
        </w:rPr>
        <w:t>.</w:t>
      </w:r>
      <w:r w:rsidRPr="00C17AA1">
        <w:rPr>
          <w:rFonts w:eastAsia="Calibri"/>
          <w:kern w:val="14"/>
          <w:lang w:val="en-US"/>
        </w:rPr>
        <w:t xml:space="preserve"> </w:t>
      </w:r>
      <w:r w:rsidRPr="00C6687F">
        <w:rPr>
          <w:rFonts w:eastAsia="Calibri"/>
          <w:kern w:val="14"/>
          <w:lang w:val="de-CH"/>
        </w:rPr>
        <w:t xml:space="preserve">In Olivier </w:t>
      </w:r>
      <w:proofErr w:type="spellStart"/>
      <w:r w:rsidRPr="00C6687F">
        <w:rPr>
          <w:rFonts w:eastAsia="Calibri"/>
          <w:kern w:val="14"/>
          <w:lang w:val="de-CH"/>
        </w:rPr>
        <w:t>Corten</w:t>
      </w:r>
      <w:proofErr w:type="spellEnd"/>
      <w:r w:rsidRPr="00C6687F">
        <w:rPr>
          <w:rFonts w:eastAsia="Calibri"/>
          <w:kern w:val="14"/>
          <w:lang w:val="de-CH"/>
        </w:rPr>
        <w:t xml:space="preserve"> </w:t>
      </w:r>
      <w:proofErr w:type="spellStart"/>
      <w:r w:rsidRPr="00C6687F">
        <w:rPr>
          <w:rFonts w:eastAsia="Calibri"/>
          <w:kern w:val="14"/>
          <w:lang w:val="de-CH"/>
        </w:rPr>
        <w:t>and</w:t>
      </w:r>
      <w:proofErr w:type="spellEnd"/>
      <w:r w:rsidRPr="00C6687F">
        <w:rPr>
          <w:rFonts w:eastAsia="Calibri"/>
          <w:kern w:val="14"/>
          <w:lang w:val="de-CH"/>
        </w:rPr>
        <w:t xml:space="preserve"> Pierre Klein, </w:t>
      </w:r>
      <w:proofErr w:type="spellStart"/>
      <w:r w:rsidRPr="00C6687F">
        <w:rPr>
          <w:rFonts w:eastAsia="Calibri"/>
          <w:kern w:val="14"/>
          <w:lang w:val="de-CH"/>
        </w:rPr>
        <w:t>eds</w:t>
      </w:r>
      <w:proofErr w:type="spellEnd"/>
      <w:r w:rsidRPr="00F22925">
        <w:rPr>
          <w:rFonts w:eastAsia="Calibri"/>
          <w:kern w:val="14"/>
          <w:lang w:val="de-CH"/>
        </w:rPr>
        <w:t>.</w:t>
      </w:r>
      <w:r w:rsidRPr="00C6687F">
        <w:rPr>
          <w:rFonts w:eastAsia="Calibri"/>
          <w:kern w:val="14"/>
          <w:lang w:val="de-CH"/>
        </w:rPr>
        <w:t xml:space="preserve"> </w:t>
      </w:r>
      <w:r w:rsidRPr="00C17AA1">
        <w:rPr>
          <w:rFonts w:eastAsia="Calibri"/>
          <w:i/>
          <w:iCs/>
          <w:kern w:val="14"/>
          <w:lang w:val="en-US"/>
        </w:rPr>
        <w:t>The Vienna Conventions on the Law of Treaties: A Commentary</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w:t>
      </w:r>
      <w:r w:rsidRPr="0083304B">
        <w:rPr>
          <w:rFonts w:eastAsia="Calibri"/>
          <w:kern w:val="14"/>
          <w:lang w:val="en-US"/>
        </w:rPr>
        <w:t>II</w:t>
      </w:r>
      <w:r w:rsidRPr="00F22925">
        <w:rPr>
          <w:rFonts w:eastAsia="Calibri"/>
          <w:kern w:val="14"/>
          <w:lang w:val="en-US"/>
        </w:rPr>
        <w:t>.</w:t>
      </w:r>
      <w:r w:rsidRPr="0083304B">
        <w:rPr>
          <w:rFonts w:eastAsia="Calibri"/>
          <w:kern w:val="14"/>
          <w:lang w:val="en-US"/>
        </w:rPr>
        <w:t xml:space="preserve"> Oxford: Oxford University Press, 2011</w:t>
      </w:r>
      <w:r w:rsidRPr="00F22925">
        <w:rPr>
          <w:rFonts w:eastAsia="Calibri"/>
          <w:kern w:val="14"/>
          <w:lang w:val="en-US"/>
        </w:rPr>
        <w:t>.</w:t>
      </w:r>
      <w:r w:rsidRPr="0083304B">
        <w:rPr>
          <w:rFonts w:eastAsia="Calibri"/>
          <w:kern w:val="14"/>
          <w:lang w:val="en-US"/>
        </w:rPr>
        <w:t xml:space="preserve"> </w:t>
      </w:r>
    </w:p>
    <w:p w14:paraId="708CF377" w14:textId="77777777" w:rsidR="00014CBC" w:rsidRPr="008C4B5F" w:rsidRDefault="00014CBC" w:rsidP="00014CBC">
      <w:pPr>
        <w:pStyle w:val="SingleTxtG"/>
        <w:ind w:left="1701" w:hanging="567"/>
        <w:rPr>
          <w:rFonts w:eastAsia="Calibri"/>
          <w:kern w:val="14"/>
          <w:lang w:val="en-US"/>
        </w:rPr>
      </w:pPr>
      <w:proofErr w:type="spellStart"/>
      <w:r w:rsidRPr="00F73568">
        <w:rPr>
          <w:lang w:val="en-US"/>
        </w:rPr>
        <w:t>Brölmann</w:t>
      </w:r>
      <w:proofErr w:type="spellEnd"/>
      <w:r w:rsidRPr="00F73568">
        <w:rPr>
          <w:lang w:val="en-US"/>
        </w:rPr>
        <w:t>, Catherine and Guido Den Dekker</w:t>
      </w:r>
      <w:r w:rsidRPr="00F22925">
        <w:rPr>
          <w:lang w:val="en-US"/>
        </w:rPr>
        <w:t>.</w:t>
      </w:r>
      <w:r w:rsidRPr="00F73568">
        <w:rPr>
          <w:lang w:val="en-US"/>
        </w:rPr>
        <w:t xml:space="preserve"> </w:t>
      </w:r>
      <w:r w:rsidRPr="00ED40A6">
        <w:rPr>
          <w:lang w:val="en-US"/>
        </w:rPr>
        <w:t xml:space="preserve">Treaties, Provisional </w:t>
      </w:r>
      <w:r>
        <w:rPr>
          <w:lang w:val="en-US"/>
        </w:rPr>
        <w:t>a</w:t>
      </w:r>
      <w:r w:rsidRPr="00ED40A6">
        <w:rPr>
          <w:lang w:val="en-US"/>
        </w:rPr>
        <w:t>pplication</w:t>
      </w:r>
      <w:r w:rsidRPr="00F22925">
        <w:rPr>
          <w:lang w:val="en-US"/>
        </w:rPr>
        <w:t>.</w:t>
      </w:r>
      <w:r w:rsidRPr="00ED40A6">
        <w:rPr>
          <w:lang w:val="en-US"/>
        </w:rPr>
        <w:t xml:space="preserve"> In A</w:t>
      </w:r>
      <w:r>
        <w:rPr>
          <w:lang w:val="en-US"/>
        </w:rPr>
        <w:t>nne Petters, ed</w:t>
      </w:r>
      <w:r w:rsidRPr="00F22925">
        <w:rPr>
          <w:lang w:val="en-US"/>
        </w:rPr>
        <w:t>.</w:t>
      </w:r>
      <w:r>
        <w:rPr>
          <w:lang w:val="en-US"/>
        </w:rPr>
        <w:t xml:space="preserve"> </w:t>
      </w:r>
      <w:r w:rsidRPr="00ED40A6">
        <w:rPr>
          <w:i/>
          <w:iCs/>
          <w:lang w:val="en-US"/>
        </w:rPr>
        <w:t>The Max Planck Encyclopedia of Public International Law</w:t>
      </w:r>
      <w:r w:rsidRPr="00F22925">
        <w:rPr>
          <w:lang w:val="en-US"/>
        </w:rPr>
        <w:t>.</w:t>
      </w:r>
      <w:r>
        <w:rPr>
          <w:lang w:val="en-US"/>
        </w:rPr>
        <w:t xml:space="preserve"> </w:t>
      </w:r>
      <w:r w:rsidRPr="00A72C47">
        <w:rPr>
          <w:lang w:val="en-US"/>
        </w:rPr>
        <w:t>Oxford: Oxford University Press, 2020</w:t>
      </w:r>
      <w:r w:rsidRPr="00F22925">
        <w:rPr>
          <w:lang w:val="en-US"/>
        </w:rPr>
        <w:t>.</w:t>
      </w:r>
    </w:p>
    <w:p w14:paraId="6A65061A" w14:textId="77777777" w:rsidR="00014CBC" w:rsidRPr="00C17AA1" w:rsidRDefault="00014CBC" w:rsidP="00014CBC">
      <w:pPr>
        <w:pStyle w:val="SingleTxtG"/>
        <w:ind w:left="1701" w:hanging="567"/>
        <w:rPr>
          <w:rFonts w:eastAsia="Calibri"/>
          <w:kern w:val="14"/>
          <w:lang w:val="fr-FR"/>
        </w:rPr>
      </w:pPr>
      <w:proofErr w:type="spellStart"/>
      <w:r w:rsidRPr="00C17AA1">
        <w:rPr>
          <w:rFonts w:eastAsia="Calibri"/>
          <w:kern w:val="14"/>
          <w:lang w:val="fr-FR"/>
        </w:rPr>
        <w:t>Cadilhac</w:t>
      </w:r>
      <w:proofErr w:type="spellEnd"/>
      <w:r w:rsidRPr="00C17AA1">
        <w:rPr>
          <w:rFonts w:eastAsia="Calibri"/>
          <w:kern w:val="14"/>
          <w:lang w:val="fr-FR"/>
        </w:rPr>
        <w:t>, Marie-Cécile</w:t>
      </w:r>
      <w:r w:rsidRPr="00F22925">
        <w:rPr>
          <w:rFonts w:eastAsia="Calibri"/>
          <w:kern w:val="14"/>
          <w:lang w:val="fr-FR"/>
        </w:rPr>
        <w:t>.</w:t>
      </w:r>
      <w:r w:rsidRPr="00C17AA1">
        <w:rPr>
          <w:rFonts w:eastAsia="Calibri"/>
          <w:kern w:val="14"/>
          <w:lang w:val="fr-FR"/>
        </w:rPr>
        <w:t xml:space="preserve"> </w:t>
      </w:r>
      <w:r w:rsidRPr="00C6687F">
        <w:rPr>
          <w:lang w:val="fr-CA"/>
        </w:rPr>
        <w:t>Association</w:t>
      </w:r>
      <w:r w:rsidRPr="00C17AA1">
        <w:rPr>
          <w:rFonts w:eastAsia="Calibri"/>
          <w:kern w:val="14"/>
          <w:lang w:val="fr-FR"/>
        </w:rPr>
        <w:t xml:space="preserve"> UE-Ukraine</w:t>
      </w:r>
      <w:r>
        <w:rPr>
          <w:rFonts w:eastAsia="Calibri"/>
          <w:kern w:val="14"/>
          <w:lang w:val="fr-FR"/>
        </w:rPr>
        <w:t> </w:t>
      </w:r>
      <w:r w:rsidRPr="00C17AA1">
        <w:rPr>
          <w:rFonts w:eastAsia="Calibri"/>
          <w:kern w:val="14"/>
          <w:lang w:val="fr-FR"/>
        </w:rPr>
        <w:t>: débuts mouvementés d</w:t>
      </w:r>
      <w:r>
        <w:rPr>
          <w:rFonts w:eastAsia="Calibri"/>
          <w:kern w:val="14"/>
          <w:lang w:val="fr-FR"/>
        </w:rPr>
        <w:t>’</w:t>
      </w:r>
      <w:r w:rsidRPr="00C17AA1">
        <w:rPr>
          <w:rFonts w:eastAsia="Calibri"/>
          <w:kern w:val="14"/>
          <w:lang w:val="fr-FR"/>
        </w:rPr>
        <w:t>application provisoire pour un accord ambitieux</w:t>
      </w:r>
      <w:r w:rsidRPr="00F22925">
        <w:rPr>
          <w:rFonts w:eastAsia="Calibri"/>
          <w:kern w:val="14"/>
          <w:lang w:val="fr-FR"/>
        </w:rPr>
        <w:t>.</w:t>
      </w:r>
      <w:r w:rsidRPr="00C17AA1">
        <w:rPr>
          <w:rFonts w:eastAsia="Calibri"/>
          <w:kern w:val="14"/>
          <w:lang w:val="fr-FR"/>
        </w:rPr>
        <w:t xml:space="preserve"> </w:t>
      </w:r>
      <w:r w:rsidRPr="00C17AA1">
        <w:rPr>
          <w:rFonts w:eastAsia="Calibri"/>
          <w:i/>
          <w:iCs/>
          <w:kern w:val="14"/>
          <w:lang w:val="fr-FR"/>
        </w:rPr>
        <w:t>Revue trimestrielle de droit européen</w:t>
      </w:r>
      <w:r w:rsidRPr="00C17AA1">
        <w:rPr>
          <w:rFonts w:eastAsia="Calibri"/>
          <w:kern w:val="14"/>
          <w:lang w:val="fr-FR"/>
        </w:rPr>
        <w:t>, (2015)</w:t>
      </w:r>
      <w:r w:rsidRPr="00F22925">
        <w:rPr>
          <w:rFonts w:eastAsia="Calibri"/>
          <w:kern w:val="14"/>
          <w:lang w:val="fr-FR"/>
        </w:rPr>
        <w:t>.</w:t>
      </w:r>
      <w:r w:rsidRPr="00C17AA1">
        <w:rPr>
          <w:rFonts w:eastAsia="Calibri"/>
          <w:kern w:val="14"/>
          <w:lang w:val="fr-FR"/>
        </w:rPr>
        <w:t xml:space="preserve"> </w:t>
      </w:r>
    </w:p>
    <w:p w14:paraId="40A8069C" w14:textId="77777777" w:rsidR="00014CBC" w:rsidRPr="00C17AA1" w:rsidRDefault="00014CBC" w:rsidP="00014CBC">
      <w:pPr>
        <w:pStyle w:val="SingleTxtG"/>
        <w:ind w:left="1701" w:hanging="567"/>
        <w:rPr>
          <w:rFonts w:eastAsia="Calibri"/>
          <w:kern w:val="14"/>
          <w:lang w:val="en-US"/>
        </w:rPr>
      </w:pPr>
      <w:r w:rsidRPr="00C6687F">
        <w:rPr>
          <w:rFonts w:eastAsia="Calibri"/>
          <w:kern w:val="14"/>
          <w:lang w:val="fr-CA"/>
        </w:rPr>
        <w:t xml:space="preserve">Casey-Maslen, </w:t>
      </w:r>
      <w:r w:rsidRPr="00E91727">
        <w:rPr>
          <w:lang w:val="fr-FR"/>
        </w:rPr>
        <w:t>Stuart</w:t>
      </w:r>
      <w:r w:rsidRPr="00F22925">
        <w:rPr>
          <w:rFonts w:eastAsia="Calibri"/>
          <w:kern w:val="14"/>
          <w:lang w:val="fr-CA"/>
        </w:rPr>
        <w:t>.</w:t>
      </w:r>
      <w:r w:rsidRPr="00C6687F">
        <w:rPr>
          <w:rFonts w:eastAsia="Calibri"/>
          <w:kern w:val="14"/>
          <w:lang w:val="fr-CA"/>
        </w:rPr>
        <w:t xml:space="preserve"> Article 23: </w:t>
      </w:r>
      <w:proofErr w:type="spellStart"/>
      <w:r w:rsidRPr="00C6687F">
        <w:rPr>
          <w:rFonts w:eastAsia="Calibri"/>
          <w:kern w:val="14"/>
          <w:lang w:val="fr-CA"/>
        </w:rPr>
        <w:t>provisional</w:t>
      </w:r>
      <w:proofErr w:type="spellEnd"/>
      <w:r w:rsidRPr="00C6687F">
        <w:rPr>
          <w:rFonts w:eastAsia="Calibri"/>
          <w:kern w:val="14"/>
          <w:lang w:val="fr-CA"/>
        </w:rPr>
        <w:t xml:space="preserve"> application</w:t>
      </w:r>
      <w:r w:rsidRPr="00F22925">
        <w:rPr>
          <w:rFonts w:eastAsia="Calibri"/>
          <w:kern w:val="14"/>
          <w:lang w:val="fr-CA"/>
        </w:rPr>
        <w:t>.</w:t>
      </w:r>
      <w:r w:rsidRPr="00C6687F">
        <w:rPr>
          <w:rFonts w:eastAsia="Calibri"/>
          <w:kern w:val="14"/>
          <w:lang w:val="fr-CA"/>
        </w:rPr>
        <w:t xml:space="preserve"> </w:t>
      </w:r>
      <w:r w:rsidRPr="00C17AA1">
        <w:rPr>
          <w:rFonts w:eastAsia="Calibri"/>
          <w:kern w:val="14"/>
          <w:lang w:val="en-US"/>
        </w:rPr>
        <w:t xml:space="preserve">In Stuart Casey-Maslen </w:t>
      </w:r>
      <w:r w:rsidRPr="00C17AA1">
        <w:rPr>
          <w:rFonts w:eastAsia="Calibri"/>
          <w:i/>
          <w:iCs/>
          <w:kern w:val="14"/>
          <w:lang w:val="en-US"/>
        </w:rPr>
        <w:t>et al</w:t>
      </w:r>
      <w:r w:rsidRPr="00F22925">
        <w:rPr>
          <w:rFonts w:eastAsia="Calibri"/>
          <w:i/>
          <w:iCs/>
          <w:kern w:val="14"/>
          <w:lang w:val="en-US"/>
        </w:rPr>
        <w:t>.</w:t>
      </w:r>
      <w:r w:rsidRPr="00C17AA1">
        <w:rPr>
          <w:rFonts w:eastAsia="Calibri"/>
          <w:kern w:val="14"/>
          <w:lang w:val="en-US"/>
        </w:rPr>
        <w:t>,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Arms Trade Treaty: A Commentary</w:t>
      </w:r>
      <w:r w:rsidRPr="00F22925">
        <w:rPr>
          <w:rFonts w:eastAsia="Calibri"/>
          <w:kern w:val="14"/>
          <w:lang w:val="en-US"/>
        </w:rPr>
        <w:t>.</w:t>
      </w:r>
      <w:r w:rsidRPr="00C17AA1">
        <w:rPr>
          <w:rFonts w:eastAsia="Calibri"/>
          <w:kern w:val="14"/>
          <w:lang w:val="en-US"/>
        </w:rPr>
        <w:t xml:space="preserve"> Oxford: Oxford University Press, 2016</w:t>
      </w:r>
      <w:r w:rsidRPr="00F22925">
        <w:rPr>
          <w:rFonts w:eastAsia="Calibri"/>
          <w:kern w:val="14"/>
          <w:lang w:val="en-US"/>
        </w:rPr>
        <w:t>.</w:t>
      </w:r>
    </w:p>
    <w:p w14:paraId="09126F7C" w14:textId="77777777" w:rsidR="00014CBC" w:rsidRPr="00C17AA1" w:rsidRDefault="00014CBC" w:rsidP="00014CBC">
      <w:pPr>
        <w:pStyle w:val="SingleTxtG"/>
        <w:ind w:left="1701" w:hanging="567"/>
        <w:rPr>
          <w:rFonts w:eastAsia="Calibri"/>
          <w:kern w:val="14"/>
          <w:lang w:val="es-ES"/>
        </w:rPr>
      </w:pPr>
      <w:r w:rsidRPr="00C17AA1">
        <w:rPr>
          <w:rFonts w:eastAsia="Calibri"/>
          <w:kern w:val="14"/>
          <w:lang w:val="es-ES"/>
        </w:rPr>
        <w:t xml:space="preserve">Castillo de la </w:t>
      </w:r>
      <w:r w:rsidRPr="00E91727">
        <w:rPr>
          <w:lang w:val="es-ES"/>
        </w:rPr>
        <w:t>Torre</w:t>
      </w:r>
      <w:r w:rsidRPr="00C17AA1">
        <w:rPr>
          <w:rFonts w:eastAsia="Calibri"/>
          <w:kern w:val="14"/>
          <w:lang w:val="es-ES"/>
        </w:rPr>
        <w:t>, Fernando</w:t>
      </w:r>
      <w:r w:rsidRPr="00F22925">
        <w:rPr>
          <w:rFonts w:eastAsia="Calibri"/>
          <w:kern w:val="14"/>
          <w:lang w:val="es-ES"/>
        </w:rPr>
        <w:t>.</w:t>
      </w:r>
      <w:r w:rsidRPr="00C17AA1">
        <w:rPr>
          <w:rFonts w:eastAsia="Calibri"/>
          <w:kern w:val="14"/>
          <w:lang w:val="es-ES"/>
        </w:rPr>
        <w:t xml:space="preserve"> El Tribunal de Justicia y las relaciones exteriores tras el Tratado de Lisboa</w:t>
      </w:r>
      <w:r w:rsidRPr="00F22925">
        <w:rPr>
          <w:rFonts w:eastAsia="Calibri"/>
          <w:kern w:val="14"/>
          <w:lang w:val="es-ES"/>
        </w:rPr>
        <w:t>.</w:t>
      </w:r>
      <w:r w:rsidRPr="00C17AA1">
        <w:rPr>
          <w:rFonts w:eastAsia="Calibri"/>
          <w:kern w:val="14"/>
          <w:lang w:val="es-ES"/>
        </w:rPr>
        <w:t xml:space="preserve"> </w:t>
      </w:r>
      <w:r w:rsidRPr="00C17AA1">
        <w:rPr>
          <w:rFonts w:eastAsia="Calibri"/>
          <w:i/>
          <w:iCs/>
          <w:kern w:val="14"/>
          <w:lang w:val="es-ES"/>
        </w:rPr>
        <w:t>Revista de Derecho Comunitario Europeo</w:t>
      </w:r>
      <w:r w:rsidRPr="00C17AA1">
        <w:rPr>
          <w:rFonts w:eastAsia="Calibri"/>
          <w:kern w:val="14"/>
          <w:lang w:val="es-ES"/>
        </w:rPr>
        <w:t>, No</w:t>
      </w:r>
      <w:r w:rsidRPr="00F22925">
        <w:rPr>
          <w:rFonts w:eastAsia="Calibri"/>
          <w:kern w:val="14"/>
          <w:lang w:val="es-ES"/>
        </w:rPr>
        <w:t>.</w:t>
      </w:r>
      <w:r w:rsidRPr="00C17AA1">
        <w:rPr>
          <w:rFonts w:eastAsia="Calibri"/>
          <w:kern w:val="14"/>
          <w:lang w:val="es-ES"/>
        </w:rPr>
        <w:t xml:space="preserve"> 60 (</w:t>
      </w:r>
      <w:proofErr w:type="spellStart"/>
      <w:r w:rsidRPr="00C17AA1">
        <w:rPr>
          <w:rFonts w:eastAsia="Calibri"/>
          <w:kern w:val="14"/>
          <w:lang w:val="es-ES"/>
        </w:rPr>
        <w:t>May-August</w:t>
      </w:r>
      <w:proofErr w:type="spellEnd"/>
      <w:r w:rsidRPr="00C17AA1">
        <w:rPr>
          <w:rFonts w:eastAsia="Calibri"/>
          <w:kern w:val="14"/>
          <w:lang w:val="es-ES"/>
        </w:rPr>
        <w:t xml:space="preserve"> 2018)</w:t>
      </w:r>
      <w:r w:rsidRPr="00F22925">
        <w:rPr>
          <w:rFonts w:eastAsia="Calibri"/>
          <w:kern w:val="14"/>
          <w:lang w:val="es-ES"/>
        </w:rPr>
        <w:t>.</w:t>
      </w:r>
      <w:r w:rsidRPr="00C17AA1">
        <w:rPr>
          <w:rFonts w:eastAsia="Calibri"/>
          <w:kern w:val="14"/>
          <w:lang w:val="es-ES"/>
        </w:rPr>
        <w:t xml:space="preserve"> </w:t>
      </w:r>
    </w:p>
    <w:p w14:paraId="234B8F3D" w14:textId="77777777" w:rsidR="00014CBC" w:rsidRPr="00C17AA1" w:rsidRDefault="00014CBC" w:rsidP="00014CBC">
      <w:pPr>
        <w:pStyle w:val="SingleTxtG"/>
        <w:ind w:left="1701" w:hanging="567"/>
        <w:rPr>
          <w:rFonts w:eastAsia="Calibri"/>
          <w:kern w:val="14"/>
          <w:lang w:val="en-US"/>
        </w:rPr>
      </w:pPr>
      <w:proofErr w:type="spellStart"/>
      <w:r w:rsidRPr="00C17AA1">
        <w:rPr>
          <w:rFonts w:eastAsia="Calibri"/>
          <w:kern w:val="14"/>
          <w:lang w:val="es-ES"/>
        </w:rPr>
        <w:t>Chamon</w:t>
      </w:r>
      <w:proofErr w:type="spellEnd"/>
      <w:r w:rsidRPr="00C17AA1">
        <w:rPr>
          <w:rFonts w:eastAsia="Calibri"/>
          <w:kern w:val="14"/>
          <w:lang w:val="es-ES"/>
        </w:rPr>
        <w:t xml:space="preserve">, </w:t>
      </w:r>
      <w:proofErr w:type="spellStart"/>
      <w:r w:rsidRPr="00C17AA1">
        <w:rPr>
          <w:rFonts w:eastAsia="Calibri"/>
          <w:kern w:val="14"/>
          <w:lang w:val="es-ES"/>
        </w:rPr>
        <w:t>Merijn</w:t>
      </w:r>
      <w:proofErr w:type="spellEnd"/>
      <w:r w:rsidRPr="00F22925">
        <w:rPr>
          <w:rFonts w:eastAsia="Calibri"/>
          <w:kern w:val="14"/>
          <w:lang w:val="es-ES"/>
        </w:rPr>
        <w:t>.</w:t>
      </w:r>
      <w:r w:rsidRPr="00C17AA1">
        <w:rPr>
          <w:rFonts w:eastAsia="Calibri"/>
          <w:kern w:val="14"/>
          <w:lang w:val="es-ES"/>
        </w:rPr>
        <w:t xml:space="preserve"> </w:t>
      </w:r>
      <w:r w:rsidRPr="00C17AA1">
        <w:rPr>
          <w:lang w:val="en-US"/>
        </w:rPr>
        <w:t>Provisional</w:t>
      </w:r>
      <w:r w:rsidRPr="00C17AA1">
        <w:rPr>
          <w:rFonts w:eastAsia="Calibri"/>
          <w:kern w:val="14"/>
          <w:lang w:val="en-US"/>
        </w:rPr>
        <w:t xml:space="preserve"> application of treaties: the EU</w:t>
      </w:r>
      <w:r>
        <w:rPr>
          <w:rFonts w:eastAsia="Calibri"/>
          <w:kern w:val="14"/>
          <w:lang w:val="en-US"/>
        </w:rPr>
        <w:t>’</w:t>
      </w:r>
      <w:r w:rsidRPr="00C17AA1">
        <w:rPr>
          <w:rFonts w:eastAsia="Calibri"/>
          <w:kern w:val="14"/>
          <w:lang w:val="en-US"/>
        </w:rPr>
        <w:t>s contribution to the development of international law</w:t>
      </w:r>
      <w:r w:rsidRPr="00F22925">
        <w:rPr>
          <w:rFonts w:eastAsia="Calibri"/>
          <w:kern w:val="14"/>
          <w:lang w:val="en-US"/>
        </w:rPr>
        <w:t>.</w:t>
      </w:r>
      <w:r w:rsidRPr="00C17AA1">
        <w:rPr>
          <w:rFonts w:eastAsia="Calibri"/>
          <w:kern w:val="14"/>
          <w:lang w:val="en-US"/>
        </w:rPr>
        <w:t xml:space="preserve"> </w:t>
      </w:r>
      <w:r w:rsidRPr="00C17AA1">
        <w:rPr>
          <w:rFonts w:eastAsia="Calibri"/>
          <w:i/>
          <w:kern w:val="14"/>
          <w:lang w:val="en-US"/>
        </w:rPr>
        <w:t>European Journal of International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31, No</w:t>
      </w:r>
      <w:r w:rsidRPr="00F22925">
        <w:rPr>
          <w:rFonts w:eastAsia="Calibri"/>
          <w:kern w:val="14"/>
          <w:lang w:val="en-US"/>
        </w:rPr>
        <w:t>.</w:t>
      </w:r>
      <w:r w:rsidRPr="00C17AA1">
        <w:rPr>
          <w:rFonts w:eastAsia="Calibri"/>
          <w:kern w:val="14"/>
          <w:lang w:val="en-US"/>
        </w:rPr>
        <w:t xml:space="preserve"> 3 (August 2020)</w:t>
      </w:r>
      <w:r w:rsidRPr="00F22925">
        <w:rPr>
          <w:rFonts w:eastAsia="Calibri"/>
          <w:kern w:val="14"/>
          <w:lang w:val="en-US"/>
        </w:rPr>
        <w:t>.</w:t>
      </w:r>
    </w:p>
    <w:p w14:paraId="24C2CA90"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lastRenderedPageBreak/>
        <w:t xml:space="preserve">Charney, </w:t>
      </w:r>
      <w:r w:rsidRPr="00C17AA1">
        <w:rPr>
          <w:lang w:val="en-US"/>
        </w:rPr>
        <w:t>Jonathan</w:t>
      </w:r>
      <w:r w:rsidRPr="00F22925">
        <w:rPr>
          <w:rFonts w:eastAsia="Calibri"/>
          <w:kern w:val="14"/>
          <w:lang w:val="en-US"/>
        </w:rPr>
        <w:t>.</w:t>
      </w:r>
      <w:r w:rsidRPr="00C17AA1">
        <w:rPr>
          <w:rFonts w:eastAsia="Calibri"/>
          <w:kern w:val="14"/>
          <w:lang w:val="en-US"/>
        </w:rPr>
        <w:t xml:space="preserve"> U</w:t>
      </w:r>
      <w:r w:rsidRPr="00F22925">
        <w:rPr>
          <w:rFonts w:eastAsia="Calibri"/>
          <w:kern w:val="14"/>
          <w:lang w:val="en-US"/>
        </w:rPr>
        <w:t>.</w:t>
      </w:r>
      <w:r w:rsidRPr="00C17AA1">
        <w:rPr>
          <w:rFonts w:eastAsia="Calibri"/>
          <w:kern w:val="14"/>
          <w:lang w:val="en-US"/>
        </w:rPr>
        <w:t>S</w:t>
      </w:r>
      <w:r w:rsidRPr="00F22925">
        <w:rPr>
          <w:rFonts w:eastAsia="Calibri"/>
          <w:kern w:val="14"/>
          <w:lang w:val="en-US"/>
        </w:rPr>
        <w:t>.</w:t>
      </w:r>
      <w:r w:rsidRPr="00C17AA1">
        <w:rPr>
          <w:rFonts w:eastAsia="Calibri"/>
          <w:kern w:val="14"/>
          <w:lang w:val="en-US"/>
        </w:rPr>
        <w:t xml:space="preserve"> provisional application of the 1994 Deep Seabed Agreement, </w:t>
      </w:r>
      <w:r w:rsidRPr="00C17AA1">
        <w:rPr>
          <w:rFonts w:eastAsia="Calibri"/>
          <w:i/>
          <w:iCs/>
          <w:kern w:val="14"/>
          <w:lang w:val="en-US"/>
        </w:rPr>
        <w:t>American Journal of International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88, No</w:t>
      </w:r>
      <w:r w:rsidRPr="00F22925">
        <w:rPr>
          <w:rFonts w:eastAsia="Calibri"/>
          <w:kern w:val="14"/>
          <w:lang w:val="en-US"/>
        </w:rPr>
        <w:t>.</w:t>
      </w:r>
      <w:r w:rsidRPr="00C17AA1">
        <w:rPr>
          <w:rFonts w:eastAsia="Calibri"/>
          <w:kern w:val="14"/>
          <w:lang w:val="en-US"/>
        </w:rPr>
        <w:t xml:space="preserve"> 4 (October 1994)</w:t>
      </w:r>
      <w:r w:rsidRPr="00F22925">
        <w:rPr>
          <w:rFonts w:eastAsia="Calibri"/>
          <w:kern w:val="14"/>
          <w:lang w:val="en-US"/>
        </w:rPr>
        <w:t>.</w:t>
      </w:r>
      <w:r w:rsidRPr="00C17AA1">
        <w:rPr>
          <w:rFonts w:eastAsia="Calibri"/>
          <w:kern w:val="14"/>
          <w:lang w:val="en-US"/>
        </w:rPr>
        <w:t xml:space="preserve"> </w:t>
      </w:r>
    </w:p>
    <w:p w14:paraId="5FE1C104" w14:textId="77777777" w:rsidR="00014CBC" w:rsidRPr="00C17AA1" w:rsidRDefault="00014CBC" w:rsidP="00014CBC">
      <w:pPr>
        <w:pStyle w:val="SingleTxtG"/>
        <w:ind w:left="1701" w:hanging="567"/>
        <w:rPr>
          <w:rFonts w:eastAsia="Calibri"/>
          <w:kern w:val="14"/>
          <w:lang w:val="en-US"/>
        </w:rPr>
      </w:pPr>
      <w:proofErr w:type="spellStart"/>
      <w:r w:rsidRPr="00C17AA1">
        <w:rPr>
          <w:rFonts w:eastAsia="Calibri"/>
          <w:kern w:val="14"/>
          <w:lang w:val="en-US"/>
        </w:rPr>
        <w:t>Crnic-Grotic</w:t>
      </w:r>
      <w:proofErr w:type="spellEnd"/>
      <w:r w:rsidRPr="00C17AA1">
        <w:rPr>
          <w:rFonts w:eastAsia="Calibri"/>
          <w:kern w:val="14"/>
          <w:lang w:val="en-US"/>
        </w:rPr>
        <w:t>, V</w:t>
      </w:r>
      <w:r w:rsidRPr="00F22925">
        <w:rPr>
          <w:rFonts w:eastAsia="Calibri"/>
          <w:kern w:val="14"/>
          <w:lang w:val="en-US"/>
        </w:rPr>
        <w:t>.</w:t>
      </w:r>
      <w:r w:rsidRPr="00C17AA1">
        <w:rPr>
          <w:rFonts w:eastAsia="Calibri"/>
          <w:kern w:val="14"/>
          <w:lang w:val="en-US"/>
        </w:rPr>
        <w:t xml:space="preserve"> Object </w:t>
      </w:r>
      <w:r w:rsidRPr="00C17AA1">
        <w:rPr>
          <w:lang w:val="en-US"/>
        </w:rPr>
        <w:t>and</w:t>
      </w:r>
      <w:r w:rsidRPr="00C17AA1">
        <w:rPr>
          <w:rFonts w:eastAsia="Calibri"/>
          <w:kern w:val="14"/>
          <w:lang w:val="en-US"/>
        </w:rPr>
        <w:t xml:space="preserve"> purpose of treaties in the Vienna Convention on the Law of Treaties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Asian Yearbook of International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7 (1997)</w:t>
      </w:r>
      <w:r w:rsidRPr="00F22925">
        <w:rPr>
          <w:rFonts w:eastAsia="Calibri"/>
          <w:kern w:val="14"/>
          <w:lang w:val="en-US"/>
        </w:rPr>
        <w:t>.</w:t>
      </w:r>
      <w:r w:rsidRPr="00C17AA1">
        <w:rPr>
          <w:rFonts w:eastAsia="Calibri"/>
          <w:kern w:val="14"/>
          <w:lang w:val="en-US"/>
        </w:rPr>
        <w:t xml:space="preserve"> </w:t>
      </w:r>
    </w:p>
    <w:p w14:paraId="72B693F6"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Dalton, Robert E</w:t>
      </w:r>
      <w:r w:rsidRPr="00F22925">
        <w:rPr>
          <w:rFonts w:eastAsia="Calibri"/>
          <w:kern w:val="14"/>
          <w:lang w:val="en-US"/>
        </w:rPr>
        <w:t>.</w:t>
      </w:r>
      <w:r w:rsidRPr="00C17AA1">
        <w:rPr>
          <w:rFonts w:eastAsia="Calibri"/>
          <w:kern w:val="14"/>
          <w:lang w:val="en-US"/>
        </w:rPr>
        <w:t xml:space="preserve"> </w:t>
      </w:r>
      <w:r w:rsidRPr="00C17AA1">
        <w:rPr>
          <w:lang w:val="en-US"/>
        </w:rPr>
        <w:t>Provisional</w:t>
      </w:r>
      <w:r w:rsidRPr="00C17AA1">
        <w:rPr>
          <w:rFonts w:eastAsia="Calibri"/>
          <w:kern w:val="14"/>
          <w:lang w:val="en-US"/>
        </w:rPr>
        <w:t xml:space="preserve"> application of treaties</w:t>
      </w:r>
      <w:r w:rsidRPr="00F22925">
        <w:rPr>
          <w:rFonts w:eastAsia="Calibri"/>
          <w:kern w:val="14"/>
          <w:lang w:val="en-US"/>
        </w:rPr>
        <w:t>.</w:t>
      </w:r>
      <w:r w:rsidRPr="00C17AA1">
        <w:rPr>
          <w:rFonts w:eastAsia="Calibri"/>
          <w:kern w:val="14"/>
          <w:lang w:val="en-US"/>
        </w:rPr>
        <w:t xml:space="preserve"> In Duncan B</w:t>
      </w:r>
      <w:r w:rsidRPr="00F22925">
        <w:rPr>
          <w:rFonts w:eastAsia="Calibri"/>
          <w:kern w:val="14"/>
          <w:lang w:val="en-US"/>
        </w:rPr>
        <w:t>.</w:t>
      </w:r>
      <w:r w:rsidRPr="00C17AA1">
        <w:rPr>
          <w:rFonts w:eastAsia="Calibri"/>
          <w:kern w:val="14"/>
          <w:lang w:val="en-US"/>
        </w:rPr>
        <w:t xml:space="preserve"> Hollis, ed</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Oxford Guide to Treaties</w:t>
      </w:r>
      <w:r w:rsidRPr="00F22925">
        <w:rPr>
          <w:rFonts w:eastAsia="Calibri"/>
          <w:kern w:val="14"/>
          <w:lang w:val="en-US"/>
        </w:rPr>
        <w:t>.</w:t>
      </w:r>
      <w:r w:rsidRPr="00C17AA1">
        <w:rPr>
          <w:rFonts w:eastAsia="Calibri"/>
          <w:kern w:val="14"/>
          <w:lang w:val="en-US"/>
        </w:rPr>
        <w:t xml:space="preserve"> Oxford: Oxford University Press, 2012</w:t>
      </w:r>
      <w:r w:rsidRPr="00F22925">
        <w:rPr>
          <w:rFonts w:eastAsia="Calibri"/>
          <w:kern w:val="14"/>
          <w:lang w:val="en-US"/>
        </w:rPr>
        <w:t>.</w:t>
      </w:r>
      <w:r w:rsidRPr="00C17AA1">
        <w:rPr>
          <w:rFonts w:eastAsia="Calibri"/>
          <w:kern w:val="14"/>
          <w:lang w:val="en-US"/>
        </w:rPr>
        <w:t xml:space="preserve"> </w:t>
      </w:r>
    </w:p>
    <w:p w14:paraId="61573894"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Da Silva, Clare, and </w:t>
      </w:r>
      <w:r w:rsidRPr="00C17AA1">
        <w:rPr>
          <w:lang w:val="en-US"/>
        </w:rPr>
        <w:t>Brian</w:t>
      </w:r>
      <w:r w:rsidRPr="00C17AA1">
        <w:rPr>
          <w:rFonts w:eastAsia="Calibri"/>
          <w:kern w:val="14"/>
          <w:lang w:val="en-US"/>
        </w:rPr>
        <w:t xml:space="preserve"> Wood</w:t>
      </w:r>
      <w:r w:rsidRPr="00F22925">
        <w:rPr>
          <w:rFonts w:eastAsia="Calibri"/>
          <w:kern w:val="14"/>
          <w:lang w:val="en-US"/>
        </w:rPr>
        <w:t>.</w:t>
      </w:r>
      <w:r w:rsidRPr="00C17AA1">
        <w:rPr>
          <w:rFonts w:eastAsia="Calibri"/>
          <w:kern w:val="14"/>
          <w:lang w:val="en-US"/>
        </w:rPr>
        <w:t xml:space="preserve"> Article 7: export and export assessment</w:t>
      </w:r>
      <w:r w:rsidRPr="00F22925">
        <w:rPr>
          <w:rFonts w:eastAsia="Calibri"/>
          <w:kern w:val="14"/>
          <w:lang w:val="en-US"/>
        </w:rPr>
        <w:t>.</w:t>
      </w:r>
      <w:r w:rsidRPr="00C17AA1">
        <w:rPr>
          <w:rFonts w:eastAsia="Calibri"/>
          <w:kern w:val="14"/>
          <w:lang w:val="en-US"/>
        </w:rPr>
        <w:t xml:space="preserve"> In Clare da Silva and Brian Wood,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Weapons and International Law: The Arms Trade Treaty</w:t>
      </w:r>
      <w:r w:rsidRPr="00F22925">
        <w:rPr>
          <w:rFonts w:eastAsia="Calibri"/>
          <w:kern w:val="14"/>
          <w:lang w:val="en-US"/>
        </w:rPr>
        <w:t>.</w:t>
      </w:r>
      <w:r w:rsidRPr="00C17AA1">
        <w:rPr>
          <w:rFonts w:eastAsia="Calibri"/>
          <w:kern w:val="14"/>
          <w:lang w:val="en-US"/>
        </w:rPr>
        <w:t xml:space="preserve"> Brussels: </w:t>
      </w:r>
      <w:proofErr w:type="spellStart"/>
      <w:r w:rsidRPr="00C17AA1">
        <w:rPr>
          <w:rFonts w:eastAsia="Calibri"/>
          <w:kern w:val="14"/>
          <w:lang w:val="en-US"/>
        </w:rPr>
        <w:t>Larcier</w:t>
      </w:r>
      <w:proofErr w:type="spellEnd"/>
      <w:r w:rsidRPr="00C17AA1">
        <w:rPr>
          <w:rFonts w:eastAsia="Calibri"/>
          <w:kern w:val="14"/>
          <w:lang w:val="en-US"/>
        </w:rPr>
        <w:t>, 2015</w:t>
      </w:r>
      <w:r w:rsidRPr="00F22925">
        <w:rPr>
          <w:rFonts w:eastAsia="Calibri"/>
          <w:kern w:val="14"/>
          <w:lang w:val="en-US"/>
        </w:rPr>
        <w:t>.</w:t>
      </w:r>
      <w:r w:rsidRPr="00C17AA1">
        <w:rPr>
          <w:rFonts w:eastAsia="Calibri"/>
          <w:kern w:val="14"/>
          <w:lang w:val="en-US"/>
        </w:rPr>
        <w:t xml:space="preserve"> </w:t>
      </w:r>
    </w:p>
    <w:p w14:paraId="6A227B7A"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pt-BR"/>
        </w:rPr>
        <w:t xml:space="preserve">Do Nascimento e Silva, </w:t>
      </w:r>
      <w:r w:rsidRPr="00E91727">
        <w:rPr>
          <w:lang w:val="es-ES"/>
        </w:rPr>
        <w:t>Geraldo</w:t>
      </w:r>
      <w:r w:rsidRPr="00C17AA1">
        <w:rPr>
          <w:rFonts w:eastAsia="Calibri"/>
          <w:kern w:val="14"/>
          <w:lang w:val="pt-BR"/>
        </w:rPr>
        <w:t xml:space="preserve"> </w:t>
      </w:r>
      <w:proofErr w:type="spellStart"/>
      <w:r w:rsidRPr="00C17AA1">
        <w:rPr>
          <w:rFonts w:eastAsia="Calibri"/>
          <w:kern w:val="14"/>
          <w:lang w:val="pt-BR"/>
        </w:rPr>
        <w:t>Eulalio</w:t>
      </w:r>
      <w:proofErr w:type="spellEnd"/>
      <w:r w:rsidRPr="00F22925">
        <w:rPr>
          <w:rFonts w:eastAsia="Calibri"/>
          <w:kern w:val="14"/>
          <w:lang w:val="pt-BR"/>
        </w:rPr>
        <w:t>.</w:t>
      </w:r>
      <w:r w:rsidRPr="00C17AA1">
        <w:rPr>
          <w:rFonts w:eastAsia="Calibri"/>
          <w:kern w:val="14"/>
          <w:lang w:val="pt-BR"/>
        </w:rPr>
        <w:t xml:space="preserve"> </w:t>
      </w:r>
      <w:r w:rsidRPr="00C6687F">
        <w:rPr>
          <w:rFonts w:eastAsia="Calibri"/>
          <w:kern w:val="14"/>
          <w:lang w:val="fr-CA"/>
        </w:rPr>
        <w:t>Le facteur temps et les traités</w:t>
      </w:r>
      <w:r w:rsidRPr="00F22925">
        <w:rPr>
          <w:rFonts w:eastAsia="Calibri"/>
          <w:kern w:val="14"/>
          <w:lang w:val="fr-CA"/>
        </w:rPr>
        <w:t>.</w:t>
      </w:r>
      <w:r w:rsidRPr="00C6687F">
        <w:rPr>
          <w:rFonts w:eastAsia="Calibri"/>
          <w:kern w:val="14"/>
          <w:lang w:val="fr-CA"/>
        </w:rPr>
        <w:t xml:space="preserve"> </w:t>
      </w:r>
      <w:r w:rsidRPr="00C17AA1">
        <w:rPr>
          <w:rFonts w:eastAsia="Calibri"/>
          <w:i/>
          <w:iCs/>
          <w:kern w:val="14"/>
          <w:lang w:val="en-US"/>
        </w:rPr>
        <w:t>Collected Courses of The Hague Academy of International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154 (1977)</w:t>
      </w:r>
      <w:r w:rsidRPr="00F22925">
        <w:rPr>
          <w:rFonts w:eastAsia="Calibri"/>
          <w:kern w:val="14"/>
          <w:lang w:val="en-US"/>
        </w:rPr>
        <w:t>.</w:t>
      </w:r>
      <w:r w:rsidRPr="00C17AA1">
        <w:rPr>
          <w:rFonts w:eastAsia="Calibri"/>
          <w:kern w:val="14"/>
          <w:lang w:val="en-US"/>
        </w:rPr>
        <w:t xml:space="preserve"> </w:t>
      </w:r>
    </w:p>
    <w:p w14:paraId="47E7DEDF" w14:textId="77777777" w:rsidR="00014CBC" w:rsidRPr="00545B10" w:rsidRDefault="00014CBC" w:rsidP="00014CBC">
      <w:pPr>
        <w:pStyle w:val="SingleTxtG"/>
        <w:ind w:left="1701" w:hanging="567"/>
        <w:rPr>
          <w:rFonts w:eastAsia="Calibri"/>
          <w:kern w:val="14"/>
          <w:lang w:val="en-US"/>
        </w:rPr>
      </w:pPr>
      <w:proofErr w:type="spellStart"/>
      <w:r w:rsidRPr="00C17AA1">
        <w:rPr>
          <w:rFonts w:eastAsia="Calibri"/>
          <w:kern w:val="14"/>
          <w:lang w:val="en-US"/>
        </w:rPr>
        <w:t>Fahner</w:t>
      </w:r>
      <w:proofErr w:type="spellEnd"/>
      <w:r w:rsidRPr="00C17AA1">
        <w:rPr>
          <w:rFonts w:eastAsia="Calibri"/>
          <w:kern w:val="14"/>
          <w:lang w:val="en-US"/>
        </w:rPr>
        <w:t>, Johannes</w:t>
      </w:r>
      <w:r w:rsidRPr="00F22925">
        <w:rPr>
          <w:rFonts w:eastAsia="Calibri"/>
          <w:kern w:val="14"/>
          <w:lang w:val="en-US"/>
        </w:rPr>
        <w:t>.</w:t>
      </w:r>
      <w:r w:rsidRPr="00C17AA1">
        <w:rPr>
          <w:rFonts w:eastAsia="Calibri"/>
          <w:kern w:val="14"/>
          <w:lang w:val="en-US"/>
        </w:rPr>
        <w:t xml:space="preserve"> The </w:t>
      </w:r>
      <w:r w:rsidRPr="00C17AA1">
        <w:rPr>
          <w:lang w:val="en-US"/>
        </w:rPr>
        <w:t>empire</w:t>
      </w:r>
      <w:r w:rsidRPr="00C17AA1">
        <w:rPr>
          <w:rFonts w:eastAsia="Calibri"/>
          <w:kern w:val="14"/>
          <w:lang w:val="en-US"/>
        </w:rPr>
        <w:t xml:space="preserve"> strikes back: Yukos-Russia, 1-1</w:t>
      </w:r>
      <w:r w:rsidRPr="00F22925">
        <w:rPr>
          <w:rFonts w:eastAsia="Calibri"/>
          <w:kern w:val="14"/>
          <w:lang w:val="en-US"/>
        </w:rPr>
        <w:t>.</w:t>
      </w:r>
      <w:r w:rsidRPr="00C17AA1">
        <w:rPr>
          <w:rFonts w:eastAsia="Calibri"/>
          <w:kern w:val="14"/>
          <w:lang w:val="en-US"/>
        </w:rPr>
        <w:t xml:space="preserve"> </w:t>
      </w:r>
      <w:proofErr w:type="spellStart"/>
      <w:proofErr w:type="gramStart"/>
      <w:r w:rsidRPr="00C17AA1">
        <w:rPr>
          <w:rFonts w:eastAsia="Calibri"/>
          <w:kern w:val="14"/>
          <w:lang w:val="en-US"/>
        </w:rPr>
        <w:t>EJIL:</w:t>
      </w:r>
      <w:r>
        <w:rPr>
          <w:rFonts w:eastAsia="Calibri"/>
          <w:kern w:val="14"/>
          <w:lang w:val="en-US"/>
        </w:rPr>
        <w:t>T</w:t>
      </w:r>
      <w:r w:rsidRPr="00C17AA1">
        <w:rPr>
          <w:rFonts w:eastAsia="Calibri"/>
          <w:kern w:val="14"/>
          <w:lang w:val="en-US"/>
        </w:rPr>
        <w:t>alk</w:t>
      </w:r>
      <w:proofErr w:type="spellEnd"/>
      <w:proofErr w:type="gramEnd"/>
      <w:r w:rsidRPr="00C17AA1">
        <w:rPr>
          <w:rFonts w:eastAsia="Calibri"/>
          <w:kern w:val="14"/>
          <w:lang w:val="en-US"/>
        </w:rPr>
        <w:t xml:space="preserve">! Blog of the </w:t>
      </w:r>
      <w:r w:rsidRPr="00C17AA1">
        <w:rPr>
          <w:rFonts w:eastAsia="Calibri"/>
          <w:i/>
          <w:iCs/>
          <w:kern w:val="14"/>
          <w:lang w:val="en-US"/>
        </w:rPr>
        <w:t>European Journal of International Law</w:t>
      </w:r>
      <w:r w:rsidRPr="00C17AA1">
        <w:rPr>
          <w:rFonts w:eastAsia="Calibri"/>
          <w:kern w:val="14"/>
          <w:lang w:val="en-US"/>
        </w:rPr>
        <w:t>, 26 May 2016</w:t>
      </w:r>
      <w:r w:rsidRPr="00F22925">
        <w:rPr>
          <w:rFonts w:eastAsia="Calibri"/>
          <w:kern w:val="14"/>
          <w:lang w:val="en-US"/>
        </w:rPr>
        <w:t>.</w:t>
      </w:r>
      <w:r w:rsidRPr="00C17AA1">
        <w:rPr>
          <w:rFonts w:eastAsia="Calibri"/>
          <w:kern w:val="14"/>
          <w:lang w:val="en-US"/>
        </w:rPr>
        <w:t xml:space="preserve"> Available at</w:t>
      </w:r>
      <w:r w:rsidRPr="00545B10">
        <w:rPr>
          <w:rFonts w:eastAsia="Calibri"/>
          <w:kern w:val="14"/>
          <w:lang w:val="en-US"/>
        </w:rPr>
        <w:t xml:space="preserve"> </w:t>
      </w:r>
      <w:hyperlink r:id="rId8" w:history="1">
        <w:r w:rsidRPr="00F8021E">
          <w:rPr>
            <w:rFonts w:eastAsia="Calibri"/>
            <w:color w:val="0000FF"/>
            <w:kern w:val="14"/>
            <w:lang w:val="en-US"/>
          </w:rPr>
          <w:t>www</w:t>
        </w:r>
        <w:r w:rsidRPr="00F22925">
          <w:rPr>
            <w:rFonts w:eastAsia="Calibri"/>
            <w:color w:val="0000FF"/>
            <w:kern w:val="14"/>
            <w:lang w:val="en-US"/>
          </w:rPr>
          <w:t>.</w:t>
        </w:r>
        <w:r w:rsidRPr="00F8021E">
          <w:rPr>
            <w:rFonts w:eastAsia="Calibri"/>
            <w:color w:val="0000FF"/>
            <w:kern w:val="14"/>
            <w:lang w:val="en-US"/>
          </w:rPr>
          <w:t>ejiltalk</w:t>
        </w:r>
        <w:r w:rsidRPr="00F22925">
          <w:rPr>
            <w:rFonts w:eastAsia="Calibri"/>
            <w:color w:val="0000FF"/>
            <w:kern w:val="14"/>
            <w:lang w:val="en-US"/>
          </w:rPr>
          <w:t>.</w:t>
        </w:r>
        <w:r w:rsidRPr="00F8021E">
          <w:rPr>
            <w:rFonts w:eastAsia="Calibri"/>
            <w:color w:val="0000FF"/>
            <w:kern w:val="14"/>
            <w:lang w:val="en-US"/>
          </w:rPr>
          <w:t>org/the-empire-strikes-back-yukos-russia-1-1/</w:t>
        </w:r>
      </w:hyperlink>
      <w:r w:rsidRPr="00F22925">
        <w:rPr>
          <w:rFonts w:eastAsia="Calibri"/>
          <w:kern w:val="14"/>
          <w:lang w:val="en-US"/>
        </w:rPr>
        <w:t>.</w:t>
      </w:r>
      <w:r w:rsidRPr="00545B10">
        <w:rPr>
          <w:rFonts w:eastAsia="Calibri"/>
          <w:kern w:val="14"/>
          <w:lang w:val="en-US"/>
        </w:rPr>
        <w:t xml:space="preserve"> </w:t>
      </w:r>
    </w:p>
    <w:p w14:paraId="255DEBE7" w14:textId="77777777" w:rsidR="00014CBC" w:rsidRDefault="00014CBC" w:rsidP="00014CBC">
      <w:pPr>
        <w:pStyle w:val="SingleTxtG"/>
        <w:ind w:left="1701" w:hanging="567"/>
        <w:rPr>
          <w:rFonts w:eastAsia="Calibri"/>
          <w:kern w:val="14"/>
          <w:lang w:val="en-US"/>
        </w:rPr>
      </w:pPr>
      <w:r w:rsidRPr="00C17AA1">
        <w:rPr>
          <w:rFonts w:eastAsia="Calibri"/>
          <w:kern w:val="14"/>
          <w:lang w:val="en-US"/>
        </w:rPr>
        <w:t xml:space="preserve">Fitzmaurice, </w:t>
      </w:r>
      <w:proofErr w:type="spellStart"/>
      <w:r w:rsidRPr="00C17AA1">
        <w:rPr>
          <w:rFonts w:eastAsia="Calibri"/>
          <w:kern w:val="14"/>
          <w:lang w:val="en-US"/>
        </w:rPr>
        <w:t>Malgosia</w:t>
      </w:r>
      <w:proofErr w:type="spellEnd"/>
      <w:r w:rsidRPr="00C17AA1">
        <w:rPr>
          <w:rFonts w:eastAsia="Calibri"/>
          <w:kern w:val="14"/>
          <w:lang w:val="en-US"/>
        </w:rPr>
        <w:t xml:space="preserve"> </w:t>
      </w:r>
      <w:r w:rsidRPr="00C17AA1">
        <w:rPr>
          <w:lang w:val="en-US"/>
        </w:rPr>
        <w:t>and</w:t>
      </w:r>
      <w:r w:rsidRPr="00C17AA1">
        <w:rPr>
          <w:rFonts w:eastAsia="Calibri"/>
          <w:kern w:val="14"/>
          <w:lang w:val="en-US"/>
        </w:rPr>
        <w:t xml:space="preserve"> Anneliese Quast</w:t>
      </w:r>
      <w:r w:rsidRPr="00F22925">
        <w:rPr>
          <w:rFonts w:eastAsia="Calibri"/>
          <w:kern w:val="14"/>
          <w:lang w:val="en-US"/>
        </w:rPr>
        <w:t>.</w:t>
      </w:r>
      <w:r w:rsidRPr="00C17AA1">
        <w:rPr>
          <w:rFonts w:eastAsia="Calibri"/>
          <w:kern w:val="14"/>
          <w:lang w:val="en-US"/>
        </w:rPr>
        <w:t xml:space="preserve"> </w:t>
      </w:r>
      <w:proofErr w:type="spellStart"/>
      <w:r w:rsidRPr="00C6687F">
        <w:rPr>
          <w:rFonts w:eastAsia="Calibri"/>
          <w:kern w:val="14"/>
          <w:lang w:val="fr-CA"/>
        </w:rPr>
        <w:t>Review</w:t>
      </w:r>
      <w:proofErr w:type="spellEnd"/>
      <w:r w:rsidRPr="00C6687F">
        <w:rPr>
          <w:rFonts w:eastAsia="Calibri"/>
          <w:kern w:val="14"/>
          <w:lang w:val="fr-CA"/>
        </w:rPr>
        <w:t xml:space="preserve">: La </w:t>
      </w:r>
      <w:r>
        <w:rPr>
          <w:rFonts w:eastAsia="Calibri"/>
          <w:kern w:val="14"/>
          <w:lang w:val="fr-CA"/>
        </w:rPr>
        <w:t>m</w:t>
      </w:r>
      <w:r w:rsidRPr="00C6687F">
        <w:rPr>
          <w:rFonts w:eastAsia="Calibri"/>
          <w:kern w:val="14"/>
          <w:lang w:val="fr-CA"/>
        </w:rPr>
        <w:t xml:space="preserve">ise en </w:t>
      </w:r>
      <w:r>
        <w:rPr>
          <w:rFonts w:eastAsia="Calibri"/>
          <w:kern w:val="14"/>
          <w:lang w:val="fr-CA"/>
        </w:rPr>
        <w:t>a</w:t>
      </w:r>
      <w:r w:rsidRPr="00C6687F">
        <w:rPr>
          <w:rFonts w:eastAsia="Calibri"/>
          <w:kern w:val="14"/>
          <w:lang w:val="fr-CA"/>
        </w:rPr>
        <w:t xml:space="preserve">pplication </w:t>
      </w:r>
      <w:r>
        <w:rPr>
          <w:rFonts w:eastAsia="Calibri"/>
          <w:kern w:val="14"/>
          <w:lang w:val="fr-CA"/>
        </w:rPr>
        <w:t>p</w:t>
      </w:r>
      <w:r w:rsidRPr="00C6687F">
        <w:rPr>
          <w:rFonts w:eastAsia="Calibri"/>
          <w:kern w:val="14"/>
          <w:lang w:val="fr-CA"/>
        </w:rPr>
        <w:t xml:space="preserve">rovisoire des </w:t>
      </w:r>
      <w:r>
        <w:rPr>
          <w:rFonts w:eastAsia="Calibri"/>
          <w:kern w:val="14"/>
          <w:lang w:val="fr-CA"/>
        </w:rPr>
        <w:t>t</w:t>
      </w:r>
      <w:r w:rsidRPr="00C6687F">
        <w:rPr>
          <w:rFonts w:eastAsia="Calibri"/>
          <w:kern w:val="14"/>
          <w:lang w:val="fr-CA"/>
        </w:rPr>
        <w:t>raités</w:t>
      </w:r>
      <w:r w:rsidRPr="00F22925">
        <w:rPr>
          <w:rFonts w:eastAsia="Calibri"/>
          <w:kern w:val="14"/>
          <w:lang w:val="fr-CA"/>
        </w:rPr>
        <w:t>.</w:t>
      </w:r>
      <w:r w:rsidRPr="00C6687F">
        <w:rPr>
          <w:rFonts w:eastAsia="Calibri"/>
          <w:kern w:val="14"/>
          <w:lang w:val="fr-CA"/>
        </w:rPr>
        <w:t xml:space="preserve"> </w:t>
      </w:r>
      <w:r w:rsidRPr="00C17AA1">
        <w:rPr>
          <w:rFonts w:eastAsia="Calibri"/>
          <w:i/>
          <w:iCs/>
          <w:kern w:val="14"/>
          <w:lang w:val="en-US"/>
        </w:rPr>
        <w:t>The International and Comparative Law Quarterly</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56, No</w:t>
      </w:r>
      <w:r w:rsidRPr="00F22925">
        <w:rPr>
          <w:rFonts w:eastAsia="Calibri"/>
          <w:kern w:val="14"/>
          <w:lang w:val="en-US"/>
        </w:rPr>
        <w:t>.</w:t>
      </w:r>
      <w:r w:rsidRPr="00C17AA1">
        <w:rPr>
          <w:rFonts w:eastAsia="Calibri"/>
          <w:kern w:val="14"/>
          <w:lang w:val="en-US"/>
        </w:rPr>
        <w:t xml:space="preserve"> 2 (April 2007)</w:t>
      </w:r>
      <w:r w:rsidRPr="00F22925">
        <w:rPr>
          <w:rFonts w:eastAsia="Calibri"/>
          <w:kern w:val="14"/>
          <w:lang w:val="en-US"/>
        </w:rPr>
        <w:t>.</w:t>
      </w:r>
      <w:r w:rsidRPr="00C17AA1">
        <w:rPr>
          <w:rFonts w:eastAsia="Calibri"/>
          <w:kern w:val="14"/>
          <w:lang w:val="en-US"/>
        </w:rPr>
        <w:t xml:space="preserve"> </w:t>
      </w:r>
    </w:p>
    <w:p w14:paraId="1F2FBD0F" w14:textId="77777777" w:rsidR="00014CBC" w:rsidRPr="00C17AA1" w:rsidRDefault="00014CBC" w:rsidP="00014CBC">
      <w:pPr>
        <w:pStyle w:val="SingleTxtG"/>
        <w:ind w:left="1701" w:hanging="567"/>
        <w:rPr>
          <w:rFonts w:eastAsia="Calibri"/>
          <w:kern w:val="14"/>
          <w:lang w:val="en-US"/>
        </w:rPr>
      </w:pPr>
      <w:proofErr w:type="spellStart"/>
      <w:r w:rsidRPr="002C70D3">
        <w:rPr>
          <w:rFonts w:eastAsia="Calibri"/>
          <w:kern w:val="14"/>
          <w:lang w:val="en-US"/>
        </w:rPr>
        <w:t>Flaesch-Mougin</w:t>
      </w:r>
      <w:proofErr w:type="spellEnd"/>
      <w:r w:rsidRPr="002C70D3">
        <w:rPr>
          <w:rFonts w:eastAsia="Calibri"/>
          <w:kern w:val="14"/>
          <w:lang w:val="en-US"/>
        </w:rPr>
        <w:t xml:space="preserve">, Catherine, et Isabelle </w:t>
      </w:r>
      <w:proofErr w:type="spellStart"/>
      <w:r w:rsidRPr="002C70D3">
        <w:rPr>
          <w:rFonts w:eastAsia="Calibri"/>
          <w:kern w:val="14"/>
          <w:lang w:val="en-US"/>
        </w:rPr>
        <w:t>Bosse-Platière</w:t>
      </w:r>
      <w:proofErr w:type="spellEnd"/>
      <w:r w:rsidRPr="002C70D3">
        <w:rPr>
          <w:rFonts w:eastAsia="Calibri"/>
          <w:kern w:val="14"/>
          <w:lang w:val="en-US"/>
        </w:rPr>
        <w:t xml:space="preserve">. </w:t>
      </w:r>
      <w:proofErr w:type="spellStart"/>
      <w:r w:rsidRPr="002C70D3">
        <w:rPr>
          <w:rFonts w:eastAsia="Calibri"/>
          <w:kern w:val="14"/>
          <w:lang w:val="en-US"/>
        </w:rPr>
        <w:t>L’application</w:t>
      </w:r>
      <w:proofErr w:type="spellEnd"/>
      <w:r w:rsidRPr="002C70D3">
        <w:rPr>
          <w:rFonts w:eastAsia="Calibri"/>
          <w:kern w:val="14"/>
          <w:lang w:val="en-US"/>
        </w:rPr>
        <w:t xml:space="preserve"> </w:t>
      </w:r>
      <w:proofErr w:type="spellStart"/>
      <w:r w:rsidRPr="002C70D3">
        <w:rPr>
          <w:rFonts w:eastAsia="Calibri"/>
          <w:kern w:val="14"/>
          <w:lang w:val="en-US"/>
        </w:rPr>
        <w:t>provisoire</w:t>
      </w:r>
      <w:proofErr w:type="spellEnd"/>
      <w:r w:rsidRPr="002C70D3">
        <w:rPr>
          <w:rFonts w:eastAsia="Calibri"/>
          <w:kern w:val="14"/>
          <w:lang w:val="en-US"/>
        </w:rPr>
        <w:t xml:space="preserve"> des accords de </w:t>
      </w:r>
      <w:proofErr w:type="spellStart"/>
      <w:r w:rsidRPr="002C70D3">
        <w:rPr>
          <w:rFonts w:eastAsia="Calibri"/>
          <w:kern w:val="14"/>
          <w:lang w:val="en-US"/>
        </w:rPr>
        <w:t>l’Union</w:t>
      </w:r>
      <w:proofErr w:type="spellEnd"/>
      <w:r w:rsidRPr="002C70D3">
        <w:rPr>
          <w:rFonts w:eastAsia="Calibri"/>
          <w:kern w:val="14"/>
          <w:lang w:val="en-US"/>
        </w:rPr>
        <w:t xml:space="preserve"> </w:t>
      </w:r>
      <w:proofErr w:type="spellStart"/>
      <w:r w:rsidRPr="002C70D3">
        <w:rPr>
          <w:rFonts w:eastAsia="Calibri"/>
          <w:kern w:val="14"/>
          <w:lang w:val="en-US"/>
        </w:rPr>
        <w:t>européenne</w:t>
      </w:r>
      <w:proofErr w:type="spellEnd"/>
      <w:r w:rsidRPr="002C70D3">
        <w:rPr>
          <w:rFonts w:eastAsia="Calibri"/>
          <w:kern w:val="14"/>
          <w:lang w:val="en-US"/>
        </w:rPr>
        <w:t xml:space="preserve"> dans The European Union in the World: Essays in </w:t>
      </w:r>
      <w:proofErr w:type="spellStart"/>
      <w:r w:rsidRPr="002C70D3">
        <w:rPr>
          <w:rFonts w:eastAsia="Calibri"/>
          <w:kern w:val="14"/>
          <w:lang w:val="en-US"/>
        </w:rPr>
        <w:t>honour</w:t>
      </w:r>
      <w:proofErr w:type="spellEnd"/>
      <w:r w:rsidRPr="002C70D3">
        <w:rPr>
          <w:rFonts w:eastAsia="Calibri"/>
          <w:kern w:val="14"/>
          <w:lang w:val="en-US"/>
        </w:rPr>
        <w:t xml:space="preserve"> of Marc </w:t>
      </w:r>
      <w:proofErr w:type="spellStart"/>
      <w:r w:rsidRPr="002C70D3">
        <w:rPr>
          <w:rFonts w:eastAsia="Calibri"/>
          <w:kern w:val="14"/>
          <w:lang w:val="en-US"/>
        </w:rPr>
        <w:t>Maresceau</w:t>
      </w:r>
      <w:proofErr w:type="spellEnd"/>
      <w:r w:rsidRPr="002C70D3">
        <w:rPr>
          <w:rFonts w:eastAsia="Calibri"/>
          <w:kern w:val="14"/>
          <w:lang w:val="en-US"/>
        </w:rPr>
        <w:t xml:space="preserve">, I. </w:t>
      </w:r>
      <w:proofErr w:type="spellStart"/>
      <w:r w:rsidRPr="002C70D3">
        <w:rPr>
          <w:rFonts w:eastAsia="Calibri"/>
          <w:kern w:val="14"/>
          <w:lang w:val="en-US"/>
        </w:rPr>
        <w:t>Govaere</w:t>
      </w:r>
      <w:proofErr w:type="spellEnd"/>
      <w:r w:rsidRPr="002C70D3">
        <w:rPr>
          <w:rFonts w:eastAsia="Calibri"/>
          <w:kern w:val="14"/>
          <w:lang w:val="en-US"/>
        </w:rPr>
        <w:t xml:space="preserve">, E. </w:t>
      </w:r>
      <w:proofErr w:type="spellStart"/>
      <w:r w:rsidRPr="002C70D3">
        <w:rPr>
          <w:rFonts w:eastAsia="Calibri"/>
          <w:kern w:val="14"/>
          <w:lang w:val="en-US"/>
        </w:rPr>
        <w:t>Lannon</w:t>
      </w:r>
      <w:proofErr w:type="spellEnd"/>
      <w:r w:rsidRPr="002C70D3">
        <w:rPr>
          <w:rFonts w:eastAsia="Calibri"/>
          <w:kern w:val="14"/>
          <w:lang w:val="en-US"/>
        </w:rPr>
        <w:t xml:space="preserve">, P. </w:t>
      </w:r>
      <w:proofErr w:type="spellStart"/>
      <w:r w:rsidRPr="002C70D3">
        <w:rPr>
          <w:rFonts w:eastAsia="Calibri"/>
          <w:kern w:val="14"/>
          <w:lang w:val="en-US"/>
        </w:rPr>
        <w:t>Elseweghe</w:t>
      </w:r>
      <w:proofErr w:type="spellEnd"/>
      <w:r w:rsidRPr="002C70D3">
        <w:rPr>
          <w:rFonts w:eastAsia="Calibri"/>
          <w:kern w:val="14"/>
          <w:lang w:val="en-US"/>
        </w:rPr>
        <w:t xml:space="preserve"> et S. Adam (</w:t>
      </w:r>
      <w:proofErr w:type="spellStart"/>
      <w:r w:rsidRPr="002C70D3">
        <w:rPr>
          <w:rFonts w:eastAsia="Calibri"/>
          <w:kern w:val="14"/>
          <w:lang w:val="en-US"/>
        </w:rPr>
        <w:t>éd</w:t>
      </w:r>
      <w:proofErr w:type="spellEnd"/>
      <w:r w:rsidRPr="002C70D3">
        <w:rPr>
          <w:rFonts w:eastAsia="Calibri"/>
          <w:kern w:val="14"/>
          <w:lang w:val="en-US"/>
        </w:rPr>
        <w:t xml:space="preserve">.), </w:t>
      </w:r>
      <w:proofErr w:type="spellStart"/>
      <w:r w:rsidRPr="002C70D3">
        <w:rPr>
          <w:rFonts w:eastAsia="Calibri"/>
          <w:kern w:val="14"/>
          <w:lang w:val="en-US"/>
        </w:rPr>
        <w:t>Martinus</w:t>
      </w:r>
      <w:proofErr w:type="spellEnd"/>
      <w:r w:rsidRPr="002C70D3">
        <w:rPr>
          <w:rFonts w:eastAsia="Calibri"/>
          <w:kern w:val="14"/>
          <w:lang w:val="en-US"/>
        </w:rPr>
        <w:t xml:space="preserve"> </w:t>
      </w:r>
      <w:proofErr w:type="spellStart"/>
      <w:r w:rsidRPr="002C70D3">
        <w:rPr>
          <w:rFonts w:eastAsia="Calibri"/>
          <w:kern w:val="14"/>
          <w:lang w:val="en-US"/>
        </w:rPr>
        <w:t>Nijhoff</w:t>
      </w:r>
      <w:proofErr w:type="spellEnd"/>
      <w:r w:rsidRPr="002C70D3">
        <w:rPr>
          <w:rFonts w:eastAsia="Calibri"/>
          <w:kern w:val="14"/>
          <w:lang w:val="en-US"/>
        </w:rPr>
        <w:t xml:space="preserve"> Publisher, 2014.</w:t>
      </w:r>
      <w:r>
        <w:rPr>
          <w:rFonts w:eastAsia="Calibri"/>
          <w:kern w:val="14"/>
          <w:lang w:val="en-US"/>
        </w:rPr>
        <w:t xml:space="preserve"> </w:t>
      </w:r>
    </w:p>
    <w:p w14:paraId="0574AE83"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Fukui, </w:t>
      </w:r>
      <w:proofErr w:type="spellStart"/>
      <w:r w:rsidRPr="00C17AA1">
        <w:rPr>
          <w:rFonts w:eastAsia="Calibri"/>
          <w:kern w:val="14"/>
          <w:lang w:val="en-US"/>
        </w:rPr>
        <w:t>Yasuhito</w:t>
      </w:r>
      <w:proofErr w:type="spellEnd"/>
      <w:r w:rsidRPr="00F22925">
        <w:rPr>
          <w:rFonts w:eastAsia="Calibri"/>
          <w:kern w:val="14"/>
          <w:lang w:val="en-US"/>
        </w:rPr>
        <w:t>.</w:t>
      </w:r>
      <w:r w:rsidRPr="00C17AA1">
        <w:rPr>
          <w:rFonts w:eastAsia="Calibri"/>
          <w:kern w:val="14"/>
          <w:lang w:val="en-US"/>
        </w:rPr>
        <w:t xml:space="preserve"> CTBT: Legal questions arising from its non-entry into force revisited</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Journal of Conflict and Security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22, No</w:t>
      </w:r>
      <w:r w:rsidRPr="00F22925">
        <w:rPr>
          <w:rFonts w:eastAsia="Calibri"/>
          <w:kern w:val="14"/>
          <w:lang w:val="en-US"/>
        </w:rPr>
        <w:t>.</w:t>
      </w:r>
      <w:r w:rsidRPr="00C17AA1">
        <w:rPr>
          <w:rFonts w:eastAsia="Calibri"/>
          <w:kern w:val="14"/>
          <w:lang w:val="en-US"/>
        </w:rPr>
        <w:t xml:space="preserve"> 2 (</w:t>
      </w:r>
      <w:r w:rsidRPr="00C17AA1">
        <w:rPr>
          <w:lang w:val="en-US"/>
        </w:rPr>
        <w:t>July</w:t>
      </w:r>
      <w:r w:rsidRPr="00C17AA1">
        <w:rPr>
          <w:rFonts w:eastAsia="Calibri"/>
          <w:kern w:val="14"/>
          <w:lang w:val="en-US"/>
        </w:rPr>
        <w:t xml:space="preserve"> 2017)</w:t>
      </w:r>
      <w:r w:rsidRPr="00F22925">
        <w:rPr>
          <w:rFonts w:eastAsia="Calibri"/>
          <w:kern w:val="14"/>
          <w:lang w:val="en-US"/>
        </w:rPr>
        <w:t>.</w:t>
      </w:r>
      <w:r w:rsidRPr="00C17AA1">
        <w:rPr>
          <w:rFonts w:eastAsia="Calibri"/>
          <w:kern w:val="14"/>
          <w:lang w:val="en-US"/>
        </w:rPr>
        <w:t xml:space="preserve"> </w:t>
      </w:r>
    </w:p>
    <w:p w14:paraId="685784B2" w14:textId="77777777" w:rsidR="00014CBC" w:rsidRPr="00C17AA1" w:rsidRDefault="00014CBC" w:rsidP="00014CBC">
      <w:pPr>
        <w:pStyle w:val="SingleTxtG"/>
        <w:keepNext/>
        <w:keepLines/>
        <w:ind w:left="1701" w:hanging="567"/>
        <w:rPr>
          <w:rFonts w:eastAsia="Calibri"/>
          <w:kern w:val="14"/>
          <w:lang w:val="en-US"/>
        </w:rPr>
      </w:pPr>
      <w:proofErr w:type="spellStart"/>
      <w:r w:rsidRPr="00C17AA1">
        <w:rPr>
          <w:rFonts w:eastAsia="Calibri"/>
          <w:kern w:val="14"/>
          <w:lang w:val="en-US"/>
        </w:rPr>
        <w:t>Gamarra</w:t>
      </w:r>
      <w:proofErr w:type="spellEnd"/>
      <w:r w:rsidRPr="00C17AA1">
        <w:rPr>
          <w:rFonts w:eastAsia="Calibri"/>
          <w:kern w:val="14"/>
          <w:lang w:val="en-US"/>
        </w:rPr>
        <w:t>, Yolanda</w:t>
      </w:r>
      <w:r w:rsidRPr="00F22925">
        <w:rPr>
          <w:rFonts w:eastAsia="Calibri"/>
          <w:kern w:val="14"/>
          <w:lang w:val="en-US"/>
        </w:rPr>
        <w:t>.</w:t>
      </w:r>
      <w:r w:rsidRPr="00C17AA1">
        <w:rPr>
          <w:rFonts w:eastAsia="Calibri"/>
          <w:kern w:val="14"/>
          <w:lang w:val="en-US"/>
        </w:rPr>
        <w:t xml:space="preserve"> Current </w:t>
      </w:r>
      <w:r w:rsidRPr="00C17AA1">
        <w:rPr>
          <w:lang w:val="en-US"/>
        </w:rPr>
        <w:t>questions</w:t>
      </w:r>
      <w:r w:rsidRPr="00C17AA1">
        <w:rPr>
          <w:rFonts w:eastAsia="Calibri"/>
          <w:kern w:val="14"/>
          <w:lang w:val="en-US"/>
        </w:rPr>
        <w:t xml:space="preserve"> of State succession relating to multilateral treaties</w:t>
      </w:r>
      <w:r w:rsidRPr="00F22925">
        <w:rPr>
          <w:rFonts w:eastAsia="Calibri"/>
          <w:kern w:val="14"/>
          <w:lang w:val="en-US"/>
        </w:rPr>
        <w:t>.</w:t>
      </w:r>
      <w:r w:rsidRPr="00C17AA1">
        <w:rPr>
          <w:rFonts w:eastAsia="Calibri"/>
          <w:kern w:val="14"/>
          <w:lang w:val="en-US"/>
        </w:rPr>
        <w:t xml:space="preserve"> In Pierre Michel </w:t>
      </w:r>
      <w:proofErr w:type="spellStart"/>
      <w:r w:rsidRPr="00C17AA1">
        <w:rPr>
          <w:rFonts w:eastAsia="Calibri"/>
          <w:kern w:val="14"/>
          <w:lang w:val="en-US"/>
        </w:rPr>
        <w:t>Eisemann</w:t>
      </w:r>
      <w:proofErr w:type="spellEnd"/>
      <w:r w:rsidRPr="00C17AA1">
        <w:rPr>
          <w:rFonts w:eastAsia="Calibri"/>
          <w:kern w:val="14"/>
          <w:lang w:val="en-US"/>
        </w:rPr>
        <w:t xml:space="preserve"> and </w:t>
      </w:r>
      <w:proofErr w:type="spellStart"/>
      <w:r w:rsidRPr="00C17AA1">
        <w:rPr>
          <w:rFonts w:eastAsia="Calibri"/>
          <w:kern w:val="14"/>
          <w:lang w:val="en-US"/>
        </w:rPr>
        <w:t>Martti</w:t>
      </w:r>
      <w:proofErr w:type="spellEnd"/>
      <w:r w:rsidRPr="00C17AA1">
        <w:rPr>
          <w:rFonts w:eastAsia="Calibri"/>
          <w:kern w:val="14"/>
          <w:lang w:val="en-US"/>
        </w:rPr>
        <w:t xml:space="preserve"> </w:t>
      </w:r>
      <w:proofErr w:type="spellStart"/>
      <w:r w:rsidRPr="00C17AA1">
        <w:rPr>
          <w:rFonts w:eastAsia="Calibri"/>
          <w:kern w:val="14"/>
          <w:lang w:val="en-US"/>
        </w:rPr>
        <w:t>Koskenniemi</w:t>
      </w:r>
      <w:proofErr w:type="spellEnd"/>
      <w:r w:rsidRPr="00C17AA1">
        <w:rPr>
          <w:rFonts w:eastAsia="Calibri"/>
          <w:kern w:val="14"/>
          <w:lang w:val="en-US"/>
        </w:rPr>
        <w:t>,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State Succession: Codification Tested against the Facts</w:t>
      </w:r>
      <w:r w:rsidRPr="00F22925">
        <w:rPr>
          <w:rFonts w:eastAsia="Calibri"/>
          <w:kern w:val="14"/>
          <w:lang w:val="en-US"/>
        </w:rPr>
        <w:t>.</w:t>
      </w:r>
      <w:r w:rsidRPr="00C17AA1">
        <w:rPr>
          <w:rFonts w:eastAsia="Calibri"/>
          <w:kern w:val="14"/>
          <w:lang w:val="en-US"/>
        </w:rPr>
        <w:t xml:space="preserve"> The Hague: Hague Academy of International Law, </w:t>
      </w:r>
      <w:proofErr w:type="spellStart"/>
      <w:r w:rsidRPr="00C17AA1">
        <w:rPr>
          <w:rFonts w:eastAsia="Calibri"/>
          <w:kern w:val="14"/>
          <w:lang w:val="en-US"/>
        </w:rPr>
        <w:t>Martinus</w:t>
      </w:r>
      <w:proofErr w:type="spellEnd"/>
      <w:r w:rsidRPr="00C17AA1">
        <w:rPr>
          <w:rFonts w:eastAsia="Calibri"/>
          <w:kern w:val="14"/>
          <w:lang w:val="en-US"/>
        </w:rPr>
        <w:t xml:space="preserve"> </w:t>
      </w:r>
      <w:proofErr w:type="spellStart"/>
      <w:r w:rsidRPr="00C17AA1">
        <w:rPr>
          <w:rFonts w:eastAsia="Calibri"/>
          <w:kern w:val="14"/>
          <w:lang w:val="en-US"/>
        </w:rPr>
        <w:t>Nijhoff</w:t>
      </w:r>
      <w:proofErr w:type="spellEnd"/>
      <w:r w:rsidRPr="00C17AA1">
        <w:rPr>
          <w:rFonts w:eastAsia="Calibri"/>
          <w:kern w:val="14"/>
          <w:lang w:val="en-US"/>
        </w:rPr>
        <w:t>, 2000</w:t>
      </w:r>
      <w:r w:rsidRPr="00F22925">
        <w:rPr>
          <w:rFonts w:eastAsia="Calibri"/>
          <w:kern w:val="14"/>
          <w:lang w:val="en-US"/>
        </w:rPr>
        <w:t>.</w:t>
      </w:r>
      <w:r w:rsidRPr="00C17AA1">
        <w:rPr>
          <w:rFonts w:eastAsia="Calibri"/>
          <w:kern w:val="14"/>
          <w:lang w:val="en-US"/>
        </w:rPr>
        <w:t xml:space="preserve"> </w:t>
      </w:r>
    </w:p>
    <w:p w14:paraId="008A87D8" w14:textId="77777777" w:rsidR="00014CBC" w:rsidRPr="00C17AA1" w:rsidRDefault="00014CBC" w:rsidP="00014CBC">
      <w:pPr>
        <w:pStyle w:val="SingleTxtG"/>
        <w:ind w:left="1701" w:hanging="567"/>
        <w:rPr>
          <w:rFonts w:eastAsia="Calibri"/>
          <w:kern w:val="14"/>
          <w:lang w:val="es-ES"/>
        </w:rPr>
      </w:pPr>
      <w:r w:rsidRPr="00C17AA1">
        <w:rPr>
          <w:rFonts w:eastAsia="Calibri"/>
          <w:kern w:val="14"/>
          <w:lang w:val="en-US"/>
        </w:rPr>
        <w:t>García, Javier</w:t>
      </w:r>
      <w:r w:rsidRPr="00F22925">
        <w:rPr>
          <w:rFonts w:eastAsia="Calibri"/>
          <w:kern w:val="14"/>
          <w:lang w:val="en-US"/>
        </w:rPr>
        <w:t>.</w:t>
      </w:r>
      <w:r w:rsidRPr="00C17AA1">
        <w:rPr>
          <w:rFonts w:eastAsia="Calibri"/>
          <w:kern w:val="14"/>
          <w:lang w:val="en-US"/>
        </w:rPr>
        <w:t xml:space="preserve"> </w:t>
      </w:r>
      <w:r w:rsidRPr="00C17AA1">
        <w:rPr>
          <w:rFonts w:eastAsia="Calibri"/>
          <w:kern w:val="14"/>
          <w:lang w:val="es-ES"/>
        </w:rPr>
        <w:t>La aplicación provisional de los tratados</w:t>
      </w:r>
      <w:r w:rsidRPr="00F22925">
        <w:rPr>
          <w:rFonts w:eastAsia="Calibri"/>
          <w:i/>
          <w:iCs/>
          <w:kern w:val="14"/>
          <w:lang w:val="es-ES"/>
        </w:rPr>
        <w:t>.</w:t>
      </w:r>
      <w:r w:rsidRPr="00C17AA1">
        <w:rPr>
          <w:rFonts w:eastAsia="Calibri"/>
          <w:i/>
          <w:iCs/>
          <w:kern w:val="14"/>
          <w:lang w:val="es-ES"/>
        </w:rPr>
        <w:t xml:space="preserve"> </w:t>
      </w:r>
      <w:r w:rsidRPr="00C17AA1">
        <w:rPr>
          <w:rFonts w:eastAsia="Calibri"/>
          <w:kern w:val="14"/>
          <w:lang w:val="en-US"/>
        </w:rPr>
        <w:t>In</w:t>
      </w:r>
      <w:r w:rsidRPr="00C17AA1">
        <w:rPr>
          <w:rFonts w:eastAsia="Calibri"/>
          <w:i/>
          <w:iCs/>
          <w:kern w:val="14"/>
          <w:lang w:val="en-US"/>
        </w:rPr>
        <w:t xml:space="preserve"> </w:t>
      </w:r>
      <w:r w:rsidRPr="00C17AA1">
        <w:rPr>
          <w:rFonts w:eastAsia="Calibri"/>
          <w:kern w:val="14"/>
          <w:lang w:val="en-US"/>
        </w:rPr>
        <w:t>Spain, Ministry of Foreign Affairs, ed</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s-ES"/>
        </w:rPr>
        <w:t>La celebración de tratados internacionales por España: problemas actuales</w:t>
      </w:r>
      <w:r w:rsidRPr="00F22925">
        <w:rPr>
          <w:rFonts w:eastAsia="Calibri"/>
          <w:kern w:val="14"/>
          <w:lang w:val="es-ES"/>
        </w:rPr>
        <w:t>.</w:t>
      </w:r>
      <w:r w:rsidRPr="00C17AA1">
        <w:rPr>
          <w:rFonts w:eastAsia="Calibri"/>
          <w:kern w:val="14"/>
          <w:lang w:val="es-ES"/>
        </w:rPr>
        <w:t xml:space="preserve"> Madrid: 1990</w:t>
      </w:r>
      <w:r w:rsidRPr="00F22925">
        <w:rPr>
          <w:rFonts w:eastAsia="Calibri"/>
          <w:kern w:val="14"/>
          <w:lang w:val="es-ES"/>
        </w:rPr>
        <w:t>.</w:t>
      </w:r>
    </w:p>
    <w:p w14:paraId="5D8A2183"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Hafner, Gerhard</w:t>
      </w:r>
      <w:r w:rsidRPr="00F22925">
        <w:rPr>
          <w:rFonts w:eastAsia="Calibri"/>
          <w:kern w:val="14"/>
          <w:lang w:val="en-US"/>
        </w:rPr>
        <w:t>.</w:t>
      </w:r>
      <w:r w:rsidRPr="00C17AA1">
        <w:rPr>
          <w:rFonts w:eastAsia="Calibri"/>
          <w:kern w:val="14"/>
          <w:lang w:val="en-US"/>
        </w:rPr>
        <w:t xml:space="preserve"> </w:t>
      </w:r>
      <w:r w:rsidRPr="00C17AA1">
        <w:rPr>
          <w:lang w:val="en-US"/>
        </w:rPr>
        <w:t>The</w:t>
      </w:r>
      <w:r w:rsidRPr="00C17AA1">
        <w:rPr>
          <w:rFonts w:eastAsia="Calibri"/>
          <w:kern w:val="14"/>
          <w:lang w:val="en-US"/>
        </w:rPr>
        <w:t xml:space="preserve"> “provisional application” of the Energy Charter Treaty</w:t>
      </w:r>
      <w:r w:rsidRPr="00F22925">
        <w:rPr>
          <w:rFonts w:eastAsia="Calibri"/>
          <w:kern w:val="14"/>
          <w:lang w:val="en-US"/>
        </w:rPr>
        <w:t>.</w:t>
      </w:r>
      <w:r w:rsidRPr="00C17AA1">
        <w:rPr>
          <w:rFonts w:eastAsia="Calibri"/>
          <w:kern w:val="14"/>
          <w:lang w:val="en-US"/>
        </w:rPr>
        <w:t xml:space="preserve"> In Christina Binder </w:t>
      </w:r>
      <w:r w:rsidRPr="00C17AA1">
        <w:rPr>
          <w:rFonts w:eastAsia="Calibri"/>
          <w:i/>
          <w:iCs/>
          <w:kern w:val="14"/>
          <w:lang w:val="en-US"/>
        </w:rPr>
        <w:t>et al</w:t>
      </w:r>
      <w:r w:rsidRPr="00F22925">
        <w:rPr>
          <w:rFonts w:eastAsia="Calibri"/>
          <w:i/>
          <w:iCs/>
          <w:kern w:val="14"/>
          <w:lang w:val="en-US"/>
        </w:rPr>
        <w:t>.</w:t>
      </w:r>
      <w:r w:rsidRPr="00C17AA1">
        <w:rPr>
          <w:rFonts w:eastAsia="Calibri"/>
          <w:kern w:val="14"/>
          <w:lang w:val="en-US"/>
        </w:rPr>
        <w:t xml:space="preserve"> </w:t>
      </w:r>
      <w:r w:rsidRPr="00C17AA1">
        <w:rPr>
          <w:rFonts w:eastAsia="Calibri"/>
          <w:i/>
          <w:iCs/>
          <w:kern w:val="14"/>
          <w:lang w:val="en-US"/>
        </w:rPr>
        <w:t xml:space="preserve">International Investment Law for the 21st Century: Essays in </w:t>
      </w:r>
      <w:proofErr w:type="spellStart"/>
      <w:r w:rsidRPr="00C17AA1">
        <w:rPr>
          <w:rFonts w:eastAsia="Calibri"/>
          <w:i/>
          <w:iCs/>
          <w:kern w:val="14"/>
          <w:lang w:val="en-US"/>
        </w:rPr>
        <w:t>Honour</w:t>
      </w:r>
      <w:proofErr w:type="spellEnd"/>
      <w:r w:rsidRPr="00C17AA1">
        <w:rPr>
          <w:rFonts w:eastAsia="Calibri"/>
          <w:i/>
          <w:iCs/>
          <w:kern w:val="14"/>
          <w:lang w:val="en-US"/>
        </w:rPr>
        <w:t xml:space="preserve"> of Christoph </w:t>
      </w:r>
      <w:proofErr w:type="spellStart"/>
      <w:r w:rsidRPr="00C17AA1">
        <w:rPr>
          <w:rFonts w:eastAsia="Calibri"/>
          <w:i/>
          <w:iCs/>
          <w:kern w:val="14"/>
          <w:lang w:val="en-US"/>
        </w:rPr>
        <w:t>Schreuer</w:t>
      </w:r>
      <w:proofErr w:type="spellEnd"/>
      <w:r w:rsidRPr="00F22925">
        <w:rPr>
          <w:rFonts w:eastAsia="Calibri"/>
          <w:kern w:val="14"/>
          <w:lang w:val="en-US"/>
        </w:rPr>
        <w:t>.</w:t>
      </w:r>
      <w:r w:rsidRPr="00C17AA1">
        <w:rPr>
          <w:rFonts w:eastAsia="Calibri"/>
          <w:kern w:val="14"/>
          <w:lang w:val="en-US"/>
        </w:rPr>
        <w:t xml:space="preserve"> Oxford: Oxford University Press, 2009</w:t>
      </w:r>
      <w:r w:rsidRPr="00F22925">
        <w:rPr>
          <w:rFonts w:eastAsia="Calibri"/>
          <w:kern w:val="14"/>
          <w:lang w:val="en-US"/>
        </w:rPr>
        <w:t>.</w:t>
      </w:r>
      <w:r w:rsidRPr="00C17AA1">
        <w:rPr>
          <w:rFonts w:eastAsia="Calibri"/>
          <w:kern w:val="14"/>
          <w:lang w:val="en-US"/>
        </w:rPr>
        <w:t xml:space="preserve"> </w:t>
      </w:r>
    </w:p>
    <w:p w14:paraId="173499B3"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w:t>
      </w:r>
      <w:r w:rsidRPr="00C17AA1">
        <w:rPr>
          <w:lang w:val="en-US"/>
        </w:rPr>
        <w:t>Provisional</w:t>
      </w:r>
      <w:r w:rsidRPr="00C17AA1">
        <w:rPr>
          <w:rFonts w:eastAsia="Calibri"/>
          <w:kern w:val="14"/>
          <w:lang w:val="en-US"/>
        </w:rPr>
        <w:t xml:space="preserve"> application of treaties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Austrian Review of International and European Law Online,</w:t>
      </w:r>
      <w:r w:rsidRPr="00C17AA1">
        <w:rPr>
          <w:rFonts w:eastAsia="Calibri"/>
          <w:kern w:val="14"/>
          <w:lang w:val="en-US"/>
        </w:rPr>
        <w:t xml:space="preserve"> vol</w:t>
      </w:r>
      <w:r w:rsidRPr="00F22925">
        <w:rPr>
          <w:rFonts w:eastAsia="Calibri"/>
          <w:kern w:val="14"/>
          <w:lang w:val="en-US"/>
        </w:rPr>
        <w:t>.</w:t>
      </w:r>
      <w:r w:rsidRPr="00C17AA1">
        <w:rPr>
          <w:rFonts w:eastAsia="Calibri"/>
          <w:kern w:val="14"/>
          <w:lang w:val="en-US"/>
        </w:rPr>
        <w:t xml:space="preserve"> 24, No</w:t>
      </w:r>
      <w:r w:rsidRPr="00F22925">
        <w:rPr>
          <w:rFonts w:eastAsia="Calibri"/>
          <w:kern w:val="14"/>
          <w:lang w:val="en-US"/>
        </w:rPr>
        <w:t>.</w:t>
      </w:r>
      <w:r w:rsidRPr="00C17AA1">
        <w:rPr>
          <w:rFonts w:eastAsia="Calibri"/>
          <w:kern w:val="14"/>
          <w:lang w:val="en-US"/>
        </w:rPr>
        <w:t xml:space="preserve"> 1 (June 2021)</w:t>
      </w:r>
      <w:r w:rsidRPr="00F22925">
        <w:rPr>
          <w:rFonts w:eastAsia="Calibri"/>
          <w:kern w:val="14"/>
          <w:lang w:val="en-US"/>
        </w:rPr>
        <w:t>.</w:t>
      </w:r>
    </w:p>
    <w:p w14:paraId="57F937AD" w14:textId="77777777" w:rsidR="00014CBC" w:rsidRPr="00C17AA1" w:rsidRDefault="00014CBC" w:rsidP="00014CBC">
      <w:pPr>
        <w:pStyle w:val="SingleTxtG"/>
        <w:ind w:left="1701" w:hanging="567"/>
        <w:rPr>
          <w:rFonts w:eastAsia="Calibri"/>
          <w:kern w:val="14"/>
          <w:lang w:val="en-US"/>
        </w:rPr>
      </w:pPr>
      <w:proofErr w:type="spellStart"/>
      <w:r w:rsidRPr="00C17AA1">
        <w:rPr>
          <w:rFonts w:eastAsia="Calibri"/>
          <w:kern w:val="14"/>
          <w:lang w:val="en-US"/>
        </w:rPr>
        <w:t>Jacobsson</w:t>
      </w:r>
      <w:proofErr w:type="spellEnd"/>
      <w:r w:rsidRPr="00C17AA1">
        <w:rPr>
          <w:rFonts w:eastAsia="Calibri"/>
          <w:kern w:val="14"/>
          <w:lang w:val="en-US"/>
        </w:rPr>
        <w:t>, Marie G</w:t>
      </w:r>
      <w:r w:rsidRPr="00F22925">
        <w:rPr>
          <w:rFonts w:eastAsia="Calibri"/>
          <w:kern w:val="14"/>
          <w:lang w:val="en-US"/>
        </w:rPr>
        <w:t>.</w:t>
      </w:r>
      <w:r w:rsidRPr="00C17AA1">
        <w:rPr>
          <w:rFonts w:eastAsia="Calibri"/>
          <w:kern w:val="14"/>
          <w:lang w:val="en-US"/>
        </w:rPr>
        <w:t xml:space="preserve"> </w:t>
      </w:r>
      <w:r w:rsidRPr="00C17AA1">
        <w:rPr>
          <w:lang w:val="en-US"/>
        </w:rPr>
        <w:t>Syria</w:t>
      </w:r>
      <w:r w:rsidRPr="00C17AA1">
        <w:rPr>
          <w:rFonts w:eastAsia="Calibri"/>
          <w:kern w:val="14"/>
          <w:lang w:val="en-US"/>
        </w:rPr>
        <w:t xml:space="preserve"> and the issue of chemical weapons </w:t>
      </w:r>
      <w:r>
        <w:rPr>
          <w:rFonts w:eastAsia="Calibri"/>
          <w:kern w:val="14"/>
          <w:lang w:val="en-US"/>
        </w:rPr>
        <w:t>−</w:t>
      </w:r>
      <w:r w:rsidRPr="00C17AA1">
        <w:rPr>
          <w:rFonts w:eastAsia="Calibri"/>
          <w:kern w:val="14"/>
          <w:lang w:val="en-US"/>
        </w:rPr>
        <w:t xml:space="preserve"> a snapshot of a legal </w:t>
      </w:r>
      <w:proofErr w:type="gramStart"/>
      <w:r w:rsidRPr="00C17AA1">
        <w:rPr>
          <w:rFonts w:eastAsia="Calibri"/>
          <w:kern w:val="14"/>
          <w:lang w:val="en-US"/>
        </w:rPr>
        <w:t>time-frame</w:t>
      </w:r>
      <w:proofErr w:type="gramEnd"/>
      <w:r w:rsidRPr="00C17AA1">
        <w:rPr>
          <w:rFonts w:eastAsia="Calibri"/>
          <w:kern w:val="14"/>
          <w:lang w:val="en-US"/>
        </w:rPr>
        <w:t xml:space="preserve">: the United Nations Security Council resolution </w:t>
      </w:r>
      <w:r w:rsidRPr="00F73568">
        <w:rPr>
          <w:rFonts w:eastAsia="Calibri"/>
          <w:kern w:val="14"/>
          <w:lang w:val="en-US"/>
        </w:rPr>
        <w:t>2118 (2013)</w:t>
      </w:r>
      <w:r w:rsidRPr="00C17AA1">
        <w:rPr>
          <w:rFonts w:eastAsia="Calibri"/>
          <w:kern w:val="14"/>
          <w:lang w:val="en-US"/>
        </w:rPr>
        <w:t xml:space="preserve"> and the OPCW Executive Council Decision</w:t>
      </w:r>
      <w:r w:rsidRPr="00F22925">
        <w:rPr>
          <w:rFonts w:eastAsia="Calibri"/>
          <w:kern w:val="14"/>
          <w:lang w:val="en-US"/>
        </w:rPr>
        <w:t>.</w:t>
      </w:r>
      <w:r w:rsidRPr="00C17AA1">
        <w:rPr>
          <w:rFonts w:eastAsia="Calibri"/>
          <w:kern w:val="14"/>
          <w:lang w:val="en-US"/>
        </w:rPr>
        <w:t xml:space="preserve"> In Jonas </w:t>
      </w:r>
      <w:proofErr w:type="spellStart"/>
      <w:r w:rsidRPr="00C17AA1">
        <w:rPr>
          <w:rFonts w:eastAsia="Calibri"/>
          <w:kern w:val="14"/>
          <w:lang w:val="en-US"/>
        </w:rPr>
        <w:t>Ebbesson</w:t>
      </w:r>
      <w:proofErr w:type="spellEnd"/>
      <w:r w:rsidRPr="00C17AA1">
        <w:rPr>
          <w:rFonts w:eastAsia="Calibri"/>
          <w:kern w:val="14"/>
          <w:lang w:val="en-US"/>
        </w:rPr>
        <w:t xml:space="preserve"> </w:t>
      </w:r>
      <w:r w:rsidRPr="00C17AA1">
        <w:rPr>
          <w:rFonts w:eastAsia="Calibri"/>
          <w:i/>
          <w:iCs/>
          <w:kern w:val="14"/>
          <w:lang w:val="en-US"/>
        </w:rPr>
        <w:t>et al</w:t>
      </w:r>
      <w:r w:rsidRPr="00F22925">
        <w:rPr>
          <w:rFonts w:eastAsia="Calibri"/>
          <w:kern w:val="14"/>
          <w:lang w:val="en-US"/>
        </w:rPr>
        <w:t>.</w:t>
      </w:r>
      <w:r w:rsidRPr="00C17AA1">
        <w:rPr>
          <w:rFonts w:eastAsia="Calibri"/>
          <w:kern w:val="14"/>
          <w:lang w:val="en-US"/>
        </w:rPr>
        <w:t>,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International Law and Changing Perceptions of Security</w:t>
      </w:r>
      <w:r w:rsidRPr="00F22925">
        <w:rPr>
          <w:rFonts w:eastAsia="Calibri"/>
          <w:i/>
          <w:iCs/>
          <w:kern w:val="14"/>
          <w:lang w:val="en-US"/>
        </w:rPr>
        <w:t>.</w:t>
      </w:r>
      <w:r w:rsidRPr="00C17AA1">
        <w:rPr>
          <w:rFonts w:eastAsia="Calibri"/>
          <w:i/>
          <w:iCs/>
          <w:kern w:val="14"/>
          <w:lang w:val="en-US"/>
        </w:rPr>
        <w:t xml:space="preserve"> Liber </w:t>
      </w:r>
      <w:proofErr w:type="spellStart"/>
      <w:r w:rsidRPr="00C17AA1">
        <w:rPr>
          <w:rFonts w:eastAsia="Calibri"/>
          <w:i/>
          <w:iCs/>
          <w:kern w:val="14"/>
          <w:lang w:val="en-US"/>
        </w:rPr>
        <w:t>Amicorum</w:t>
      </w:r>
      <w:proofErr w:type="spellEnd"/>
      <w:r w:rsidRPr="00C17AA1">
        <w:rPr>
          <w:rFonts w:eastAsia="Calibri"/>
          <w:i/>
          <w:iCs/>
          <w:kern w:val="14"/>
          <w:lang w:val="en-US"/>
        </w:rPr>
        <w:t xml:space="preserve"> Said </w:t>
      </w:r>
      <w:proofErr w:type="spellStart"/>
      <w:r w:rsidRPr="00C17AA1">
        <w:rPr>
          <w:rFonts w:eastAsia="Calibri"/>
          <w:i/>
          <w:iCs/>
          <w:kern w:val="14"/>
          <w:lang w:val="en-US"/>
        </w:rPr>
        <w:t>Mahmoudi</w:t>
      </w:r>
      <w:proofErr w:type="spellEnd"/>
      <w:r w:rsidRPr="00F22925">
        <w:rPr>
          <w:rFonts w:eastAsia="Calibri"/>
          <w:kern w:val="14"/>
          <w:lang w:val="en-US"/>
        </w:rPr>
        <w:t>.</w:t>
      </w:r>
      <w:r w:rsidRPr="00C17AA1">
        <w:rPr>
          <w:rFonts w:eastAsia="Calibri"/>
          <w:kern w:val="14"/>
          <w:lang w:val="en-US"/>
        </w:rPr>
        <w:t xml:space="preserve"> Leiden: Brill </w:t>
      </w:r>
      <w:proofErr w:type="spellStart"/>
      <w:r w:rsidRPr="00C17AA1">
        <w:rPr>
          <w:rFonts w:eastAsia="Calibri"/>
          <w:kern w:val="14"/>
          <w:lang w:val="en-US"/>
        </w:rPr>
        <w:t>Nijhoff</w:t>
      </w:r>
      <w:proofErr w:type="spellEnd"/>
      <w:r w:rsidRPr="00C17AA1">
        <w:rPr>
          <w:rFonts w:eastAsia="Calibri"/>
          <w:kern w:val="14"/>
          <w:lang w:val="en-US"/>
        </w:rPr>
        <w:t>, 2014</w:t>
      </w:r>
      <w:r w:rsidRPr="00F22925">
        <w:rPr>
          <w:rFonts w:eastAsia="Calibri"/>
          <w:kern w:val="14"/>
          <w:lang w:val="en-US"/>
        </w:rPr>
        <w:t>.</w:t>
      </w:r>
      <w:r w:rsidRPr="00C17AA1">
        <w:rPr>
          <w:rFonts w:eastAsia="Calibri"/>
          <w:kern w:val="14"/>
          <w:lang w:val="en-US"/>
        </w:rPr>
        <w:t xml:space="preserve"> </w:t>
      </w:r>
    </w:p>
    <w:p w14:paraId="0ED9C4E9"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Jennings, Robert Y</w:t>
      </w:r>
      <w:r w:rsidRPr="00F22925">
        <w:rPr>
          <w:rFonts w:eastAsia="Calibri"/>
          <w:kern w:val="14"/>
          <w:lang w:val="en-US"/>
        </w:rPr>
        <w:t>.</w:t>
      </w:r>
      <w:r w:rsidRPr="00C17AA1">
        <w:rPr>
          <w:rFonts w:eastAsia="Calibri"/>
          <w:kern w:val="14"/>
          <w:lang w:val="en-US"/>
        </w:rPr>
        <w:t xml:space="preserve"> </w:t>
      </w:r>
      <w:r w:rsidRPr="00C17AA1">
        <w:rPr>
          <w:lang w:val="en-US"/>
        </w:rPr>
        <w:t>Treaties</w:t>
      </w:r>
      <w:r w:rsidRPr="00F22925">
        <w:rPr>
          <w:rFonts w:eastAsia="Calibri"/>
          <w:kern w:val="14"/>
          <w:lang w:val="en-US"/>
        </w:rPr>
        <w:t>.</w:t>
      </w:r>
      <w:r w:rsidRPr="00C17AA1">
        <w:rPr>
          <w:rFonts w:eastAsia="Calibri"/>
          <w:kern w:val="14"/>
          <w:lang w:val="en-US"/>
        </w:rPr>
        <w:t xml:space="preserve"> In Mohammed </w:t>
      </w:r>
      <w:proofErr w:type="spellStart"/>
      <w:r w:rsidRPr="00C17AA1">
        <w:rPr>
          <w:rFonts w:eastAsia="Calibri"/>
          <w:kern w:val="14"/>
          <w:lang w:val="en-US"/>
        </w:rPr>
        <w:t>Bedjaoui</w:t>
      </w:r>
      <w:proofErr w:type="spellEnd"/>
      <w:r w:rsidRPr="00C17AA1">
        <w:rPr>
          <w:rFonts w:eastAsia="Calibri"/>
          <w:kern w:val="14"/>
          <w:lang w:val="en-US"/>
        </w:rPr>
        <w:t>, ed</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International Law: Achievements and Prospects</w:t>
      </w:r>
      <w:r w:rsidRPr="00F22925">
        <w:rPr>
          <w:rFonts w:eastAsia="Calibri"/>
          <w:kern w:val="14"/>
          <w:lang w:val="en-US"/>
        </w:rPr>
        <w:t>.</w:t>
      </w:r>
      <w:r w:rsidRPr="00C17AA1">
        <w:rPr>
          <w:rFonts w:eastAsia="Calibri"/>
          <w:kern w:val="14"/>
          <w:lang w:val="en-US"/>
        </w:rPr>
        <w:t xml:space="preserve"> Paris and Dordrecht, UNESCO and </w:t>
      </w:r>
      <w:proofErr w:type="spellStart"/>
      <w:r w:rsidRPr="00C17AA1">
        <w:rPr>
          <w:rFonts w:eastAsia="Calibri"/>
          <w:kern w:val="14"/>
          <w:lang w:val="en-US"/>
        </w:rPr>
        <w:t>Martinus</w:t>
      </w:r>
      <w:proofErr w:type="spellEnd"/>
      <w:r w:rsidRPr="00C17AA1">
        <w:rPr>
          <w:rFonts w:eastAsia="Calibri"/>
          <w:kern w:val="14"/>
          <w:lang w:val="en-US"/>
        </w:rPr>
        <w:t xml:space="preserve"> </w:t>
      </w:r>
      <w:proofErr w:type="spellStart"/>
      <w:r w:rsidRPr="00C17AA1">
        <w:rPr>
          <w:rFonts w:eastAsia="Calibri"/>
          <w:kern w:val="14"/>
          <w:lang w:val="en-US"/>
        </w:rPr>
        <w:t>Nijhoff</w:t>
      </w:r>
      <w:proofErr w:type="spellEnd"/>
      <w:r w:rsidRPr="00C17AA1">
        <w:rPr>
          <w:rFonts w:eastAsia="Calibri"/>
          <w:kern w:val="14"/>
          <w:lang w:val="en-US"/>
        </w:rPr>
        <w:t>, 1991</w:t>
      </w:r>
      <w:r w:rsidRPr="00F22925">
        <w:rPr>
          <w:rFonts w:eastAsia="Calibri"/>
          <w:kern w:val="14"/>
          <w:lang w:val="en-US"/>
        </w:rPr>
        <w:t>.</w:t>
      </w:r>
    </w:p>
    <w:p w14:paraId="5363E90C" w14:textId="77777777" w:rsidR="00014CBC" w:rsidRPr="00C17AA1" w:rsidRDefault="00014CBC" w:rsidP="00014CBC">
      <w:pPr>
        <w:pStyle w:val="SingleTxtG"/>
        <w:ind w:left="1701" w:hanging="567"/>
        <w:rPr>
          <w:rFonts w:eastAsia="Calibri"/>
          <w:kern w:val="14"/>
          <w:lang w:val="en-US"/>
        </w:rPr>
      </w:pPr>
      <w:r w:rsidRPr="00C17AA1">
        <w:rPr>
          <w:lang w:val="en-US"/>
        </w:rPr>
        <w:t>Klaus</w:t>
      </w:r>
      <w:r w:rsidRPr="00C17AA1">
        <w:rPr>
          <w:rFonts w:eastAsia="Calibri"/>
          <w:kern w:val="14"/>
          <w:lang w:val="en-US"/>
        </w:rPr>
        <w:t>, Ulrich</w:t>
      </w:r>
      <w:r w:rsidRPr="00F22925">
        <w:rPr>
          <w:rFonts w:eastAsia="Calibri"/>
          <w:kern w:val="14"/>
          <w:lang w:val="en-US"/>
        </w:rPr>
        <w:t>.</w:t>
      </w:r>
      <w:r w:rsidRPr="00C17AA1">
        <w:rPr>
          <w:rFonts w:eastAsia="Calibri"/>
          <w:kern w:val="14"/>
          <w:lang w:val="en-US"/>
        </w:rPr>
        <w:t xml:space="preserve"> The </w:t>
      </w:r>
      <w:r w:rsidRPr="00C17AA1">
        <w:rPr>
          <w:rFonts w:eastAsia="Calibri"/>
          <w:i/>
          <w:iCs/>
          <w:kern w:val="14"/>
          <w:lang w:val="en-US"/>
        </w:rPr>
        <w:t>Yukos</w:t>
      </w:r>
      <w:r w:rsidRPr="00C17AA1">
        <w:rPr>
          <w:rFonts w:eastAsia="Calibri"/>
          <w:kern w:val="14"/>
          <w:lang w:val="en-US"/>
        </w:rPr>
        <w:t xml:space="preserve"> case under the Energy Charter Treaty and the provisional application of international treaties</w:t>
      </w:r>
      <w:r w:rsidRPr="00F22925">
        <w:rPr>
          <w:rFonts w:eastAsia="Calibri"/>
          <w:kern w:val="14"/>
          <w:lang w:val="en-US"/>
        </w:rPr>
        <w:t>.</w:t>
      </w:r>
      <w:r w:rsidRPr="00C17AA1">
        <w:rPr>
          <w:rFonts w:eastAsia="Calibri"/>
          <w:kern w:val="14"/>
          <w:lang w:val="en-US"/>
        </w:rPr>
        <w:t xml:space="preserve"> Policy Papers on Transnational Economic Law, No</w:t>
      </w:r>
      <w:r w:rsidRPr="00F22925">
        <w:rPr>
          <w:rFonts w:eastAsia="Calibri"/>
          <w:kern w:val="14"/>
          <w:lang w:val="en-US"/>
        </w:rPr>
        <w:t>.</w:t>
      </w:r>
      <w:r w:rsidRPr="00C17AA1">
        <w:rPr>
          <w:rFonts w:eastAsia="Calibri"/>
          <w:kern w:val="14"/>
          <w:lang w:val="en-US"/>
        </w:rPr>
        <w:t xml:space="preserve"> 11</w:t>
      </w:r>
      <w:r w:rsidRPr="00F22925">
        <w:rPr>
          <w:rFonts w:eastAsia="Calibri"/>
          <w:kern w:val="14"/>
          <w:lang w:val="en-US"/>
        </w:rPr>
        <w:t>.</w:t>
      </w:r>
      <w:r w:rsidRPr="00C17AA1">
        <w:rPr>
          <w:rFonts w:eastAsia="Calibri"/>
          <w:kern w:val="14"/>
          <w:lang w:val="en-US"/>
        </w:rPr>
        <w:t xml:space="preserve"> Halle: Transnational Economic Law Research Center, 2005</w:t>
      </w:r>
      <w:r w:rsidRPr="00F22925">
        <w:rPr>
          <w:rFonts w:eastAsia="Calibri"/>
          <w:kern w:val="14"/>
          <w:lang w:val="en-US"/>
        </w:rPr>
        <w:t>.</w:t>
      </w:r>
      <w:r w:rsidRPr="00C17AA1">
        <w:rPr>
          <w:rFonts w:eastAsia="Calibri"/>
          <w:kern w:val="14"/>
          <w:lang w:val="en-US"/>
        </w:rPr>
        <w:t xml:space="preserve"> </w:t>
      </w:r>
    </w:p>
    <w:p w14:paraId="3AF0595C"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lastRenderedPageBreak/>
        <w:t>Kohona</w:t>
      </w:r>
      <w:proofErr w:type="spellEnd"/>
      <w:r w:rsidRPr="00C17AA1">
        <w:rPr>
          <w:rFonts w:eastAsia="Calibri"/>
          <w:kern w:val="14"/>
          <w:lang w:val="en-US"/>
        </w:rPr>
        <w:t xml:space="preserve">, </w:t>
      </w:r>
      <w:proofErr w:type="spellStart"/>
      <w:r w:rsidRPr="00C17AA1">
        <w:rPr>
          <w:rFonts w:eastAsia="Calibri"/>
          <w:kern w:val="14"/>
          <w:lang w:val="en-US"/>
        </w:rPr>
        <w:t>Palitha</w:t>
      </w:r>
      <w:proofErr w:type="spellEnd"/>
      <w:r w:rsidRPr="00C17AA1">
        <w:rPr>
          <w:rFonts w:eastAsia="Calibri"/>
          <w:kern w:val="14"/>
          <w:lang w:val="en-US"/>
        </w:rPr>
        <w:t xml:space="preserve"> T</w:t>
      </w:r>
      <w:r w:rsidRPr="00F22925">
        <w:rPr>
          <w:rFonts w:eastAsia="Calibri"/>
          <w:kern w:val="14"/>
          <w:lang w:val="en-US"/>
        </w:rPr>
        <w:t>.</w:t>
      </w:r>
      <w:r w:rsidRPr="00C17AA1">
        <w:rPr>
          <w:rFonts w:eastAsia="Calibri"/>
          <w:kern w:val="14"/>
          <w:lang w:val="en-US"/>
        </w:rPr>
        <w:t xml:space="preserve"> B</w:t>
      </w:r>
      <w:r w:rsidRPr="00F22925">
        <w:rPr>
          <w:rFonts w:eastAsia="Calibri"/>
          <w:kern w:val="14"/>
          <w:lang w:val="en-US"/>
        </w:rPr>
        <w:t>.</w:t>
      </w:r>
      <w:r w:rsidRPr="00C17AA1">
        <w:rPr>
          <w:rFonts w:eastAsia="Calibri"/>
          <w:kern w:val="14"/>
          <w:lang w:val="en-US"/>
        </w:rPr>
        <w:t xml:space="preserve"> Reservations: discussion of recent developments in the practice of the Secretary-General of the United Nations as depositary of multilateral treaties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Georgia Journal of International and Comparative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33, No</w:t>
      </w:r>
      <w:r w:rsidRPr="00F22925">
        <w:rPr>
          <w:rFonts w:eastAsia="Calibri"/>
          <w:kern w:val="14"/>
          <w:lang w:val="en-US"/>
        </w:rPr>
        <w:t>.</w:t>
      </w:r>
      <w:r w:rsidRPr="00C17AA1">
        <w:rPr>
          <w:rFonts w:eastAsia="Calibri"/>
          <w:kern w:val="14"/>
          <w:lang w:val="en-US"/>
        </w:rPr>
        <w:t xml:space="preserve"> 2 (January 2005)</w:t>
      </w:r>
      <w:r w:rsidRPr="00F22925">
        <w:rPr>
          <w:rFonts w:eastAsia="Calibri"/>
          <w:kern w:val="14"/>
          <w:lang w:val="en-US"/>
        </w:rPr>
        <w:t>.</w:t>
      </w:r>
    </w:p>
    <w:p w14:paraId="31A0FCC2"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t>Koskenniemi</w:t>
      </w:r>
      <w:proofErr w:type="spellEnd"/>
      <w:r w:rsidRPr="00C17AA1">
        <w:rPr>
          <w:rFonts w:eastAsia="Calibri"/>
          <w:kern w:val="14"/>
          <w:lang w:val="en-US"/>
        </w:rPr>
        <w:t xml:space="preserve">, </w:t>
      </w:r>
      <w:proofErr w:type="spellStart"/>
      <w:r w:rsidRPr="00C17AA1">
        <w:rPr>
          <w:rFonts w:eastAsia="Calibri"/>
          <w:kern w:val="14"/>
          <w:lang w:val="en-US"/>
        </w:rPr>
        <w:t>Martti</w:t>
      </w:r>
      <w:proofErr w:type="spellEnd"/>
      <w:r w:rsidRPr="00F22925">
        <w:rPr>
          <w:rFonts w:eastAsia="Calibri"/>
          <w:kern w:val="14"/>
          <w:lang w:val="en-US"/>
        </w:rPr>
        <w:t>.</w:t>
      </w:r>
      <w:r w:rsidRPr="00C17AA1">
        <w:rPr>
          <w:rFonts w:eastAsia="Calibri"/>
          <w:kern w:val="14"/>
          <w:lang w:val="en-US"/>
        </w:rPr>
        <w:t xml:space="preserve"> Paragraph 3: Law of Treaties</w:t>
      </w:r>
      <w:r w:rsidRPr="00F22925">
        <w:rPr>
          <w:rFonts w:eastAsia="Calibri"/>
          <w:kern w:val="14"/>
          <w:lang w:val="en-US"/>
        </w:rPr>
        <w:t>.</w:t>
      </w:r>
      <w:r w:rsidRPr="00C17AA1">
        <w:rPr>
          <w:rFonts w:eastAsia="Calibri"/>
          <w:kern w:val="14"/>
          <w:lang w:val="en-US"/>
        </w:rPr>
        <w:t xml:space="preserve"> </w:t>
      </w:r>
      <w:r w:rsidRPr="00C17AA1">
        <w:rPr>
          <w:rFonts w:eastAsia="Calibri"/>
          <w:kern w:val="14"/>
          <w:lang w:val="de-DE"/>
        </w:rPr>
        <w:t xml:space="preserve">In Pierre Michel </w:t>
      </w:r>
      <w:proofErr w:type="spellStart"/>
      <w:r w:rsidRPr="00C17AA1">
        <w:rPr>
          <w:rFonts w:eastAsia="Calibri"/>
          <w:kern w:val="14"/>
          <w:lang w:val="de-DE"/>
        </w:rPr>
        <w:t>Eisemann</w:t>
      </w:r>
      <w:proofErr w:type="spellEnd"/>
      <w:r w:rsidRPr="00C17AA1">
        <w:rPr>
          <w:rFonts w:eastAsia="Calibri"/>
          <w:kern w:val="14"/>
          <w:lang w:val="de-DE"/>
        </w:rPr>
        <w:t xml:space="preserve"> </w:t>
      </w:r>
      <w:proofErr w:type="spellStart"/>
      <w:r w:rsidRPr="00C17AA1">
        <w:rPr>
          <w:rFonts w:eastAsia="Calibri"/>
          <w:kern w:val="14"/>
          <w:lang w:val="de-DE"/>
        </w:rPr>
        <w:t>and</w:t>
      </w:r>
      <w:proofErr w:type="spellEnd"/>
      <w:r w:rsidRPr="00C17AA1">
        <w:rPr>
          <w:rFonts w:eastAsia="Calibri"/>
          <w:kern w:val="14"/>
          <w:lang w:val="de-DE"/>
        </w:rPr>
        <w:t xml:space="preserve"> Martti </w:t>
      </w:r>
      <w:proofErr w:type="spellStart"/>
      <w:r w:rsidRPr="00C17AA1">
        <w:rPr>
          <w:rFonts w:eastAsia="Calibri"/>
          <w:kern w:val="14"/>
          <w:lang w:val="de-DE"/>
        </w:rPr>
        <w:t>Koskenniemi</w:t>
      </w:r>
      <w:proofErr w:type="spellEnd"/>
      <w:r w:rsidRPr="00C17AA1">
        <w:rPr>
          <w:rFonts w:eastAsia="Calibri"/>
          <w:kern w:val="14"/>
          <w:lang w:val="de-DE"/>
        </w:rPr>
        <w:t xml:space="preserve">, </w:t>
      </w:r>
      <w:proofErr w:type="spellStart"/>
      <w:r w:rsidRPr="00C17AA1">
        <w:rPr>
          <w:rFonts w:eastAsia="Calibri"/>
          <w:kern w:val="14"/>
          <w:lang w:val="de-DE"/>
        </w:rPr>
        <w:t>eds</w:t>
      </w:r>
      <w:proofErr w:type="spellEnd"/>
      <w:r w:rsidRPr="00F22925">
        <w:rPr>
          <w:rFonts w:eastAsia="Calibri"/>
          <w:kern w:val="14"/>
          <w:lang w:val="de-DE"/>
        </w:rPr>
        <w:t>.</w:t>
      </w:r>
      <w:r w:rsidRPr="00C17AA1">
        <w:rPr>
          <w:rFonts w:eastAsia="Calibri"/>
          <w:kern w:val="14"/>
          <w:lang w:val="de-DE"/>
        </w:rPr>
        <w:t xml:space="preserve"> </w:t>
      </w:r>
      <w:r w:rsidRPr="00C17AA1">
        <w:rPr>
          <w:rFonts w:eastAsia="Calibri"/>
          <w:i/>
          <w:iCs/>
          <w:kern w:val="14"/>
          <w:lang w:val="en-US"/>
        </w:rPr>
        <w:t>State Succession: Codification Tested against the Facts</w:t>
      </w:r>
      <w:r w:rsidRPr="00F22925">
        <w:rPr>
          <w:rFonts w:eastAsia="Calibri"/>
          <w:kern w:val="14"/>
          <w:lang w:val="en-US"/>
        </w:rPr>
        <w:t>.</w:t>
      </w:r>
      <w:r w:rsidRPr="00C17AA1">
        <w:rPr>
          <w:rFonts w:eastAsia="Calibri"/>
          <w:kern w:val="14"/>
          <w:lang w:val="en-US"/>
        </w:rPr>
        <w:t xml:space="preserve"> The Hague: Hague Academy of International Law, </w:t>
      </w:r>
      <w:proofErr w:type="spellStart"/>
      <w:r w:rsidRPr="00C17AA1">
        <w:rPr>
          <w:rFonts w:eastAsia="Calibri"/>
          <w:kern w:val="14"/>
          <w:lang w:val="en-US"/>
        </w:rPr>
        <w:t>Martinus</w:t>
      </w:r>
      <w:proofErr w:type="spellEnd"/>
      <w:r w:rsidRPr="00C17AA1">
        <w:rPr>
          <w:rFonts w:eastAsia="Calibri"/>
          <w:kern w:val="14"/>
          <w:lang w:val="en-US"/>
        </w:rPr>
        <w:t xml:space="preserve"> </w:t>
      </w:r>
      <w:proofErr w:type="spellStart"/>
      <w:r w:rsidRPr="00C17AA1">
        <w:rPr>
          <w:rFonts w:eastAsia="Calibri"/>
          <w:kern w:val="14"/>
          <w:lang w:val="en-US"/>
        </w:rPr>
        <w:t>Nijhoff</w:t>
      </w:r>
      <w:proofErr w:type="spellEnd"/>
      <w:r w:rsidRPr="00C17AA1">
        <w:rPr>
          <w:rFonts w:eastAsia="Calibri"/>
          <w:kern w:val="14"/>
          <w:lang w:val="en-US"/>
        </w:rPr>
        <w:t>, 2000</w:t>
      </w:r>
      <w:r w:rsidRPr="00F22925">
        <w:rPr>
          <w:rFonts w:eastAsia="Calibri"/>
          <w:kern w:val="14"/>
          <w:lang w:val="en-US"/>
        </w:rPr>
        <w:t>.</w:t>
      </w:r>
    </w:p>
    <w:p w14:paraId="080D6C42" w14:textId="77777777" w:rsidR="00014CBC" w:rsidRPr="00C17AA1" w:rsidRDefault="00014CBC" w:rsidP="00014CBC">
      <w:pPr>
        <w:pStyle w:val="SingleTxtG"/>
        <w:ind w:left="1701" w:hanging="567"/>
        <w:rPr>
          <w:rFonts w:eastAsia="Calibri"/>
          <w:kern w:val="14"/>
          <w:lang w:val="en-US"/>
        </w:rPr>
      </w:pPr>
      <w:r w:rsidRPr="00C17AA1">
        <w:rPr>
          <w:lang w:val="en-US"/>
        </w:rPr>
        <w:t>Krieger</w:t>
      </w:r>
      <w:r w:rsidRPr="00C17AA1">
        <w:rPr>
          <w:rFonts w:eastAsia="Calibri"/>
          <w:kern w:val="14"/>
          <w:lang w:val="en-US"/>
        </w:rPr>
        <w:t>, Heike</w:t>
      </w:r>
      <w:r w:rsidRPr="00F22925">
        <w:rPr>
          <w:rFonts w:eastAsia="Calibri"/>
          <w:kern w:val="14"/>
          <w:lang w:val="en-US"/>
        </w:rPr>
        <w:t>.</w:t>
      </w:r>
      <w:r w:rsidRPr="00C17AA1">
        <w:rPr>
          <w:rFonts w:eastAsia="Calibri"/>
          <w:kern w:val="14"/>
          <w:lang w:val="en-US"/>
        </w:rPr>
        <w:t xml:space="preserve"> Article 25</w:t>
      </w:r>
      <w:r w:rsidRPr="00F22925">
        <w:rPr>
          <w:rFonts w:eastAsia="Calibri"/>
          <w:kern w:val="14"/>
          <w:lang w:val="en-US"/>
        </w:rPr>
        <w:t>.</w:t>
      </w:r>
      <w:r w:rsidRPr="00C17AA1">
        <w:rPr>
          <w:rFonts w:eastAsia="Calibri"/>
          <w:kern w:val="14"/>
          <w:lang w:val="en-US"/>
        </w:rPr>
        <w:t xml:space="preserve"> Provisional application</w:t>
      </w:r>
      <w:r w:rsidRPr="00F22925">
        <w:rPr>
          <w:rFonts w:eastAsia="Calibri"/>
          <w:kern w:val="14"/>
          <w:lang w:val="en-US"/>
        </w:rPr>
        <w:t>.</w:t>
      </w:r>
      <w:r w:rsidRPr="00C17AA1">
        <w:rPr>
          <w:rFonts w:eastAsia="Calibri"/>
          <w:kern w:val="14"/>
          <w:lang w:val="en-US"/>
        </w:rPr>
        <w:t xml:space="preserve"> In Oliver </w:t>
      </w:r>
      <w:proofErr w:type="spellStart"/>
      <w:r w:rsidRPr="00C17AA1">
        <w:rPr>
          <w:rFonts w:eastAsia="Calibri"/>
          <w:kern w:val="14"/>
          <w:lang w:val="en-US"/>
        </w:rPr>
        <w:t>Dörr</w:t>
      </w:r>
      <w:proofErr w:type="spellEnd"/>
      <w:r w:rsidRPr="00C17AA1">
        <w:rPr>
          <w:rFonts w:eastAsia="Calibri"/>
          <w:kern w:val="14"/>
          <w:lang w:val="en-US"/>
        </w:rPr>
        <w:t xml:space="preserve"> and Kirsten </w:t>
      </w:r>
      <w:proofErr w:type="spellStart"/>
      <w:r w:rsidRPr="00C17AA1">
        <w:rPr>
          <w:rFonts w:eastAsia="Calibri"/>
          <w:kern w:val="14"/>
          <w:lang w:val="en-US"/>
        </w:rPr>
        <w:t>Schmalenbach</w:t>
      </w:r>
      <w:proofErr w:type="spellEnd"/>
      <w:r w:rsidRPr="00C17AA1">
        <w:rPr>
          <w:rFonts w:eastAsia="Calibri"/>
          <w:kern w:val="14"/>
          <w:lang w:val="en-US"/>
        </w:rPr>
        <w:t>,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Vienna Conventions on the Law of Treaties: A Commentary</w:t>
      </w:r>
      <w:r w:rsidRPr="00C17AA1">
        <w:rPr>
          <w:rFonts w:eastAsia="Calibri"/>
          <w:kern w:val="14"/>
          <w:lang w:val="en-US"/>
        </w:rPr>
        <w:t>, 2nd ed</w:t>
      </w:r>
      <w:r w:rsidRPr="00F22925">
        <w:rPr>
          <w:rFonts w:eastAsia="Calibri"/>
          <w:kern w:val="14"/>
          <w:lang w:val="en-US"/>
        </w:rPr>
        <w:t>.</w:t>
      </w:r>
      <w:r w:rsidRPr="00C17AA1">
        <w:rPr>
          <w:rFonts w:eastAsia="Calibri"/>
          <w:kern w:val="14"/>
          <w:lang w:val="en-US"/>
        </w:rPr>
        <w:t xml:space="preserve"> Berlin: Springer, 2018</w:t>
      </w:r>
      <w:r w:rsidRPr="00F22925">
        <w:rPr>
          <w:rFonts w:eastAsia="Calibri"/>
          <w:kern w:val="14"/>
          <w:lang w:val="en-US"/>
        </w:rPr>
        <w:t>.</w:t>
      </w:r>
    </w:p>
    <w:p w14:paraId="05FEC1EC"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t>Lefeber</w:t>
      </w:r>
      <w:proofErr w:type="spellEnd"/>
      <w:r w:rsidRPr="00C17AA1">
        <w:rPr>
          <w:rFonts w:eastAsia="Calibri"/>
          <w:kern w:val="14"/>
          <w:lang w:val="en-US"/>
        </w:rPr>
        <w:t>, René</w:t>
      </w:r>
      <w:r w:rsidRPr="00F22925">
        <w:rPr>
          <w:rFonts w:eastAsia="Calibri"/>
          <w:kern w:val="14"/>
          <w:lang w:val="en-US"/>
        </w:rPr>
        <w:t>.</w:t>
      </w:r>
      <w:r w:rsidRPr="00C17AA1">
        <w:rPr>
          <w:rFonts w:eastAsia="Calibri"/>
          <w:kern w:val="14"/>
          <w:lang w:val="en-US"/>
        </w:rPr>
        <w:t xml:space="preserve"> The provisional application of treaties</w:t>
      </w:r>
      <w:r w:rsidRPr="00F22925">
        <w:rPr>
          <w:rFonts w:eastAsia="Calibri"/>
          <w:kern w:val="14"/>
          <w:lang w:val="en-US"/>
        </w:rPr>
        <w:t>.</w:t>
      </w:r>
      <w:r w:rsidRPr="00C17AA1">
        <w:rPr>
          <w:rFonts w:eastAsia="Calibri"/>
          <w:kern w:val="14"/>
          <w:lang w:val="en-US"/>
        </w:rPr>
        <w:t xml:space="preserve"> In Jan </w:t>
      </w:r>
      <w:proofErr w:type="spellStart"/>
      <w:r w:rsidRPr="00C17AA1">
        <w:rPr>
          <w:rFonts w:eastAsia="Calibri"/>
          <w:kern w:val="14"/>
          <w:lang w:val="en-US"/>
        </w:rPr>
        <w:t>Klabbers</w:t>
      </w:r>
      <w:proofErr w:type="spellEnd"/>
      <w:r w:rsidRPr="00C17AA1">
        <w:rPr>
          <w:rFonts w:eastAsia="Calibri"/>
          <w:kern w:val="14"/>
          <w:lang w:val="en-US"/>
        </w:rPr>
        <w:t xml:space="preserve"> and René </w:t>
      </w:r>
      <w:proofErr w:type="spellStart"/>
      <w:r w:rsidRPr="00C17AA1">
        <w:rPr>
          <w:rFonts w:eastAsia="Calibri"/>
          <w:kern w:val="14"/>
          <w:lang w:val="en-US"/>
        </w:rPr>
        <w:t>Lefeber</w:t>
      </w:r>
      <w:proofErr w:type="spellEnd"/>
      <w:r w:rsidRPr="00C17AA1">
        <w:rPr>
          <w:rFonts w:eastAsia="Calibri"/>
          <w:kern w:val="14"/>
          <w:lang w:val="en-US"/>
        </w:rPr>
        <w:t>,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 xml:space="preserve">Essays on the Law of Treaties: A Collection of Essays in </w:t>
      </w:r>
      <w:proofErr w:type="spellStart"/>
      <w:r w:rsidRPr="00C17AA1">
        <w:rPr>
          <w:rFonts w:eastAsia="Calibri"/>
          <w:i/>
          <w:iCs/>
          <w:kern w:val="14"/>
          <w:lang w:val="en-US"/>
        </w:rPr>
        <w:t>Honour</w:t>
      </w:r>
      <w:proofErr w:type="spellEnd"/>
      <w:r w:rsidRPr="00C17AA1">
        <w:rPr>
          <w:rFonts w:eastAsia="Calibri"/>
          <w:i/>
          <w:iCs/>
          <w:kern w:val="14"/>
          <w:lang w:val="en-US"/>
        </w:rPr>
        <w:t xml:space="preserve"> of Bert </w:t>
      </w:r>
      <w:proofErr w:type="spellStart"/>
      <w:r w:rsidRPr="00C17AA1">
        <w:rPr>
          <w:rFonts w:eastAsia="Calibri"/>
          <w:i/>
          <w:iCs/>
          <w:kern w:val="14"/>
          <w:lang w:val="en-US"/>
        </w:rPr>
        <w:t>Vierdag</w:t>
      </w:r>
      <w:proofErr w:type="spellEnd"/>
      <w:r w:rsidRPr="00F22925">
        <w:rPr>
          <w:rFonts w:eastAsia="Calibri"/>
          <w:kern w:val="14"/>
          <w:lang w:val="en-US"/>
        </w:rPr>
        <w:t>.</w:t>
      </w:r>
      <w:r w:rsidRPr="00C17AA1">
        <w:rPr>
          <w:rFonts w:eastAsia="Calibri"/>
          <w:kern w:val="14"/>
          <w:lang w:val="en-US"/>
        </w:rPr>
        <w:t xml:space="preserve"> The Hague: </w:t>
      </w:r>
      <w:proofErr w:type="spellStart"/>
      <w:r w:rsidRPr="00C17AA1">
        <w:rPr>
          <w:rFonts w:eastAsia="Calibri"/>
          <w:kern w:val="14"/>
          <w:lang w:val="en-US"/>
        </w:rPr>
        <w:t>Martinus</w:t>
      </w:r>
      <w:proofErr w:type="spellEnd"/>
      <w:r w:rsidRPr="00C17AA1">
        <w:rPr>
          <w:rFonts w:eastAsia="Calibri"/>
          <w:kern w:val="14"/>
          <w:lang w:val="en-US"/>
        </w:rPr>
        <w:t xml:space="preserve"> </w:t>
      </w:r>
      <w:proofErr w:type="spellStart"/>
      <w:r w:rsidRPr="00C17AA1">
        <w:rPr>
          <w:rFonts w:eastAsia="Calibri"/>
          <w:kern w:val="14"/>
          <w:lang w:val="en-US"/>
        </w:rPr>
        <w:t>Nijhoff</w:t>
      </w:r>
      <w:proofErr w:type="spellEnd"/>
      <w:r w:rsidRPr="00C17AA1">
        <w:rPr>
          <w:rFonts w:eastAsia="Calibri"/>
          <w:kern w:val="14"/>
          <w:lang w:val="en-US"/>
        </w:rPr>
        <w:t>, 1998</w:t>
      </w:r>
      <w:r w:rsidRPr="00F22925">
        <w:rPr>
          <w:rFonts w:eastAsia="Calibri"/>
          <w:kern w:val="14"/>
          <w:lang w:val="en-US"/>
        </w:rPr>
        <w:t>.</w:t>
      </w:r>
    </w:p>
    <w:p w14:paraId="19623914"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Treaties, provisional application</w:t>
      </w:r>
      <w:r w:rsidRPr="00F22925">
        <w:rPr>
          <w:rFonts w:eastAsia="Calibri"/>
          <w:kern w:val="14"/>
          <w:lang w:val="en-US"/>
        </w:rPr>
        <w:t>.</w:t>
      </w:r>
      <w:r w:rsidRPr="00C17AA1">
        <w:rPr>
          <w:rFonts w:eastAsia="Calibri"/>
          <w:kern w:val="14"/>
          <w:lang w:val="en-US"/>
        </w:rPr>
        <w:t xml:space="preserve"> In </w:t>
      </w:r>
      <w:proofErr w:type="spellStart"/>
      <w:r w:rsidRPr="00C17AA1">
        <w:rPr>
          <w:rFonts w:eastAsia="Calibri"/>
          <w:kern w:val="14"/>
          <w:lang w:val="en-US"/>
        </w:rPr>
        <w:t>Rüdiger</w:t>
      </w:r>
      <w:proofErr w:type="spellEnd"/>
      <w:r w:rsidRPr="00C17AA1">
        <w:rPr>
          <w:rFonts w:eastAsia="Calibri"/>
          <w:kern w:val="14"/>
          <w:lang w:val="en-US"/>
        </w:rPr>
        <w:t xml:space="preserve"> </w:t>
      </w:r>
      <w:proofErr w:type="spellStart"/>
      <w:r w:rsidRPr="00C17AA1">
        <w:rPr>
          <w:rFonts w:eastAsia="Calibri"/>
          <w:kern w:val="14"/>
          <w:lang w:val="en-US"/>
        </w:rPr>
        <w:t>Wolfrum</w:t>
      </w:r>
      <w:proofErr w:type="spellEnd"/>
      <w:r w:rsidRPr="00C17AA1">
        <w:rPr>
          <w:rFonts w:eastAsia="Calibri"/>
          <w:kern w:val="14"/>
          <w:lang w:val="en-US"/>
        </w:rPr>
        <w:t>, ed</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Max Planck Encyclopedia of Public International Law</w:t>
      </w:r>
      <w:r w:rsidRPr="00F22925">
        <w:rPr>
          <w:rFonts w:eastAsia="Calibri"/>
          <w:kern w:val="14"/>
          <w:lang w:val="en-US"/>
        </w:rPr>
        <w:t>.</w:t>
      </w:r>
      <w:r w:rsidRPr="00C17AA1">
        <w:rPr>
          <w:rFonts w:eastAsia="Calibri"/>
          <w:kern w:val="14"/>
          <w:lang w:val="en-US"/>
        </w:rPr>
        <w:t xml:space="preserve"> Oxford: Oxford University Press, 20</w:t>
      </w:r>
      <w:r>
        <w:rPr>
          <w:rFonts w:eastAsia="Calibri"/>
          <w:kern w:val="14"/>
          <w:lang w:val="en-US"/>
        </w:rPr>
        <w:t>13</w:t>
      </w:r>
      <w:r w:rsidRPr="00F22925">
        <w:rPr>
          <w:rFonts w:eastAsia="Calibri"/>
          <w:kern w:val="14"/>
          <w:lang w:val="en-US"/>
        </w:rPr>
        <w:t>.</w:t>
      </w:r>
    </w:p>
    <w:p w14:paraId="68346C89"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Li, </w:t>
      </w:r>
      <w:proofErr w:type="spellStart"/>
      <w:r w:rsidRPr="00C17AA1">
        <w:rPr>
          <w:rFonts w:eastAsia="Calibri"/>
          <w:kern w:val="14"/>
          <w:lang w:val="en-US"/>
        </w:rPr>
        <w:t>Fenghua</w:t>
      </w:r>
      <w:proofErr w:type="spellEnd"/>
      <w:r w:rsidRPr="00F22925">
        <w:rPr>
          <w:rFonts w:eastAsia="Calibri"/>
          <w:kern w:val="14"/>
          <w:lang w:val="en-US"/>
        </w:rPr>
        <w:t>.</w:t>
      </w:r>
      <w:r w:rsidRPr="00C17AA1">
        <w:rPr>
          <w:rFonts w:eastAsia="Calibri"/>
          <w:kern w:val="14"/>
          <w:lang w:val="en-US"/>
        </w:rPr>
        <w:t xml:space="preserve"> The </w:t>
      </w:r>
      <w:r w:rsidRPr="00C17AA1">
        <w:rPr>
          <w:rFonts w:eastAsia="Calibri"/>
          <w:i/>
          <w:iCs/>
          <w:kern w:val="14"/>
          <w:lang w:val="en-US"/>
        </w:rPr>
        <w:t>Yukos</w:t>
      </w:r>
      <w:r w:rsidRPr="00C17AA1">
        <w:rPr>
          <w:rFonts w:eastAsia="Calibri"/>
          <w:kern w:val="14"/>
          <w:lang w:val="en-US"/>
        </w:rPr>
        <w:t xml:space="preserve"> cases and the provisional application of the Energy Charter Treaty</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Cambridge International Law Journal</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6, No</w:t>
      </w:r>
      <w:r w:rsidRPr="00F22925">
        <w:rPr>
          <w:rFonts w:eastAsia="Calibri"/>
          <w:kern w:val="14"/>
          <w:lang w:val="en-US"/>
        </w:rPr>
        <w:t>.</w:t>
      </w:r>
      <w:r w:rsidRPr="00C17AA1">
        <w:rPr>
          <w:rFonts w:eastAsia="Calibri"/>
          <w:kern w:val="14"/>
          <w:lang w:val="en-US"/>
        </w:rPr>
        <w:t xml:space="preserve"> 1 (2017)</w:t>
      </w:r>
      <w:r w:rsidRPr="00F22925">
        <w:rPr>
          <w:rFonts w:eastAsia="Calibri"/>
          <w:kern w:val="14"/>
          <w:lang w:val="en-US"/>
        </w:rPr>
        <w:t>.</w:t>
      </w:r>
      <w:r w:rsidRPr="00C17AA1">
        <w:rPr>
          <w:rFonts w:eastAsia="Calibri"/>
          <w:kern w:val="14"/>
          <w:lang w:val="en-US"/>
        </w:rPr>
        <w:t xml:space="preserve"> </w:t>
      </w:r>
    </w:p>
    <w:p w14:paraId="3E34AD6B"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t>Mathy</w:t>
      </w:r>
      <w:proofErr w:type="spellEnd"/>
      <w:r w:rsidRPr="00C17AA1">
        <w:rPr>
          <w:rFonts w:eastAsia="Calibri"/>
          <w:kern w:val="14"/>
          <w:lang w:val="en-US"/>
        </w:rPr>
        <w:t>, Denise</w:t>
      </w:r>
      <w:r w:rsidRPr="00F22925">
        <w:rPr>
          <w:rFonts w:eastAsia="Calibri"/>
          <w:kern w:val="14"/>
          <w:lang w:val="en-US"/>
        </w:rPr>
        <w:t>.</w:t>
      </w:r>
      <w:r w:rsidRPr="00C17AA1">
        <w:rPr>
          <w:rFonts w:eastAsia="Calibri"/>
          <w:kern w:val="14"/>
          <w:lang w:val="en-US"/>
        </w:rPr>
        <w:t xml:space="preserve"> Article 25</w:t>
      </w:r>
      <w:r w:rsidRPr="00F22925">
        <w:rPr>
          <w:rFonts w:eastAsia="Calibri"/>
          <w:kern w:val="14"/>
          <w:lang w:val="en-US"/>
        </w:rPr>
        <w:t>.</w:t>
      </w:r>
      <w:r w:rsidRPr="00C17AA1">
        <w:rPr>
          <w:rFonts w:eastAsia="Calibri"/>
          <w:kern w:val="14"/>
          <w:lang w:val="en-US"/>
        </w:rPr>
        <w:t xml:space="preserve"> In Olivier Corten and Pierre Klein,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Vienna Conventions on the Law of Treaties: A Commentary</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w:t>
      </w:r>
      <w:r w:rsidRPr="00F22925">
        <w:rPr>
          <w:rFonts w:eastAsia="Calibri"/>
          <w:kern w:val="14"/>
          <w:lang w:val="en-US"/>
        </w:rPr>
        <w:t>.</w:t>
      </w:r>
      <w:r w:rsidRPr="00C17AA1">
        <w:rPr>
          <w:rFonts w:eastAsia="Calibri"/>
          <w:kern w:val="14"/>
          <w:lang w:val="en-US"/>
        </w:rPr>
        <w:t xml:space="preserve"> Oxford: Oxford University Press, 2011</w:t>
      </w:r>
      <w:r w:rsidRPr="00F22925">
        <w:rPr>
          <w:rFonts w:eastAsia="Calibri"/>
          <w:kern w:val="14"/>
          <w:lang w:val="en-US"/>
        </w:rPr>
        <w:t>.</w:t>
      </w:r>
    </w:p>
    <w:p w14:paraId="05EDC00F"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Michie, Andrew</w:t>
      </w:r>
      <w:r w:rsidRPr="00F22925">
        <w:rPr>
          <w:rFonts w:eastAsia="Calibri"/>
          <w:kern w:val="14"/>
          <w:lang w:val="en-US"/>
        </w:rPr>
        <w:t>.</w:t>
      </w:r>
      <w:r w:rsidRPr="00C17AA1">
        <w:rPr>
          <w:rFonts w:eastAsia="Calibri"/>
          <w:kern w:val="14"/>
          <w:lang w:val="en-US"/>
        </w:rPr>
        <w:t xml:space="preserve"> The provisional application of arms control treaties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Journal of Conflict and Security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10, No</w:t>
      </w:r>
      <w:r w:rsidRPr="00F22925">
        <w:rPr>
          <w:rFonts w:eastAsia="Calibri"/>
          <w:kern w:val="14"/>
          <w:lang w:val="en-US"/>
        </w:rPr>
        <w:t>.</w:t>
      </w:r>
      <w:r w:rsidRPr="00C17AA1">
        <w:rPr>
          <w:rFonts w:eastAsia="Calibri"/>
          <w:kern w:val="14"/>
          <w:lang w:val="en-US"/>
        </w:rPr>
        <w:t xml:space="preserve"> 3 (winter 2005)</w:t>
      </w:r>
      <w:r w:rsidRPr="00F22925">
        <w:rPr>
          <w:rFonts w:eastAsia="Calibri"/>
          <w:kern w:val="14"/>
          <w:lang w:val="en-US"/>
        </w:rPr>
        <w:t>.</w:t>
      </w:r>
      <w:r w:rsidRPr="00C17AA1">
        <w:rPr>
          <w:rFonts w:eastAsia="Calibri"/>
          <w:kern w:val="14"/>
          <w:lang w:val="en-US"/>
        </w:rPr>
        <w:t xml:space="preserve"> </w:t>
      </w:r>
    </w:p>
    <w:p w14:paraId="0CEDBF4B"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The provisional application of treaties in South African law and practice</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South African Yearbook of International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30, No</w:t>
      </w:r>
      <w:r w:rsidRPr="00F22925">
        <w:rPr>
          <w:rFonts w:eastAsia="Calibri"/>
          <w:kern w:val="14"/>
          <w:lang w:val="en-US"/>
        </w:rPr>
        <w:t>.</w:t>
      </w:r>
      <w:r w:rsidRPr="00C17AA1">
        <w:rPr>
          <w:rFonts w:eastAsia="Calibri"/>
          <w:kern w:val="14"/>
          <w:lang w:val="en-US"/>
        </w:rPr>
        <w:t xml:space="preserve"> 1 (2005)</w:t>
      </w:r>
      <w:r w:rsidRPr="00F22925">
        <w:rPr>
          <w:rFonts w:eastAsia="Calibri"/>
          <w:kern w:val="14"/>
          <w:lang w:val="en-US"/>
        </w:rPr>
        <w:t>.</w:t>
      </w:r>
    </w:p>
    <w:p w14:paraId="17D04A6F"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The role of provisionally applied treaties in international</w:t>
      </w:r>
      <w:r w:rsidRPr="00F73568">
        <w:rPr>
          <w:rFonts w:eastAsia="Calibri"/>
          <w:kern w:val="14"/>
          <w:lang w:val="en-US"/>
        </w:rPr>
        <w:t xml:space="preserve"> </w:t>
      </w:r>
      <w:proofErr w:type="spellStart"/>
      <w:r w:rsidRPr="00F73568">
        <w:rPr>
          <w:rFonts w:eastAsia="Calibri"/>
          <w:kern w:val="14"/>
          <w:lang w:val="en-US"/>
        </w:rPr>
        <w:t>organisations</w:t>
      </w:r>
      <w:proofErr w:type="spellEnd"/>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Comparative and International Law Journal of Southern Africa</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39, No</w:t>
      </w:r>
      <w:r w:rsidRPr="00F22925">
        <w:rPr>
          <w:rFonts w:eastAsia="Calibri"/>
          <w:kern w:val="14"/>
          <w:lang w:val="en-US"/>
        </w:rPr>
        <w:t>.</w:t>
      </w:r>
      <w:r w:rsidRPr="00C17AA1">
        <w:rPr>
          <w:rFonts w:eastAsia="Calibri"/>
          <w:kern w:val="14"/>
          <w:lang w:val="en-US"/>
        </w:rPr>
        <w:t xml:space="preserve"> 1 (March 2006)</w:t>
      </w:r>
      <w:r w:rsidRPr="00F22925">
        <w:rPr>
          <w:rFonts w:eastAsia="Calibri"/>
          <w:kern w:val="14"/>
          <w:lang w:val="en-US"/>
        </w:rPr>
        <w:t>.</w:t>
      </w:r>
    </w:p>
    <w:p w14:paraId="2CC441EB"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Provisional application of non-proliferation treaties</w:t>
      </w:r>
      <w:r w:rsidRPr="00F22925">
        <w:rPr>
          <w:rFonts w:eastAsia="Calibri"/>
          <w:kern w:val="14"/>
          <w:lang w:val="en-US"/>
        </w:rPr>
        <w:t>.</w:t>
      </w:r>
      <w:r w:rsidRPr="00C17AA1">
        <w:rPr>
          <w:rFonts w:eastAsia="Calibri"/>
          <w:kern w:val="14"/>
          <w:lang w:val="en-US"/>
        </w:rPr>
        <w:t xml:space="preserve"> </w:t>
      </w:r>
      <w:r w:rsidRPr="00C17AA1">
        <w:rPr>
          <w:rFonts w:eastAsia="Calibri"/>
          <w:kern w:val="14"/>
          <w:lang w:val="it-IT"/>
        </w:rPr>
        <w:t>In Daniel H</w:t>
      </w:r>
      <w:r w:rsidRPr="00F22925">
        <w:rPr>
          <w:rFonts w:eastAsia="Calibri"/>
          <w:kern w:val="14"/>
          <w:lang w:val="it-IT"/>
        </w:rPr>
        <w:t>.</w:t>
      </w:r>
      <w:r w:rsidRPr="00C17AA1">
        <w:rPr>
          <w:rFonts w:eastAsia="Calibri"/>
          <w:kern w:val="14"/>
          <w:lang w:val="it-IT"/>
        </w:rPr>
        <w:t xml:space="preserve"> </w:t>
      </w:r>
      <w:proofErr w:type="spellStart"/>
      <w:r w:rsidRPr="00C17AA1">
        <w:rPr>
          <w:rFonts w:eastAsia="Calibri"/>
          <w:kern w:val="14"/>
          <w:lang w:val="it-IT"/>
        </w:rPr>
        <w:t>Joyner</w:t>
      </w:r>
      <w:proofErr w:type="spellEnd"/>
      <w:r w:rsidRPr="00C17AA1">
        <w:rPr>
          <w:rFonts w:eastAsia="Calibri"/>
          <w:kern w:val="14"/>
          <w:lang w:val="it-IT"/>
        </w:rPr>
        <w:t xml:space="preserve"> and Marco </w:t>
      </w:r>
      <w:proofErr w:type="spellStart"/>
      <w:r w:rsidRPr="00C17AA1">
        <w:rPr>
          <w:rFonts w:eastAsia="Calibri"/>
          <w:kern w:val="14"/>
          <w:lang w:val="it-IT"/>
        </w:rPr>
        <w:t>Roscini</w:t>
      </w:r>
      <w:proofErr w:type="spellEnd"/>
      <w:r w:rsidRPr="00C17AA1">
        <w:rPr>
          <w:rFonts w:eastAsia="Calibri"/>
          <w:kern w:val="14"/>
          <w:lang w:val="it-IT"/>
        </w:rPr>
        <w:t xml:space="preserve">, </w:t>
      </w:r>
      <w:proofErr w:type="spellStart"/>
      <w:r w:rsidRPr="00C17AA1">
        <w:rPr>
          <w:rFonts w:eastAsia="Calibri"/>
          <w:kern w:val="14"/>
          <w:lang w:val="it-IT"/>
        </w:rPr>
        <w:t>eds</w:t>
      </w:r>
      <w:proofErr w:type="spellEnd"/>
      <w:r w:rsidRPr="00F22925">
        <w:rPr>
          <w:rFonts w:eastAsia="Calibri"/>
          <w:kern w:val="14"/>
          <w:lang w:val="it-IT"/>
        </w:rPr>
        <w:t>.</w:t>
      </w:r>
      <w:r w:rsidRPr="00C17AA1">
        <w:rPr>
          <w:rFonts w:eastAsia="Calibri"/>
          <w:kern w:val="14"/>
          <w:lang w:val="it-IT"/>
        </w:rPr>
        <w:t xml:space="preserve"> </w:t>
      </w:r>
      <w:r w:rsidRPr="00C17AA1">
        <w:rPr>
          <w:rFonts w:eastAsia="Calibri"/>
          <w:i/>
          <w:iCs/>
          <w:kern w:val="14"/>
          <w:lang w:val="en-US"/>
        </w:rPr>
        <w:t>Non-Proliferation Law as a Special Regime: A Contribution to Fragmentation Theory in International Law</w:t>
      </w:r>
      <w:r w:rsidRPr="00F22925">
        <w:rPr>
          <w:rFonts w:eastAsia="Calibri"/>
          <w:kern w:val="14"/>
          <w:lang w:val="en-US"/>
        </w:rPr>
        <w:t>.</w:t>
      </w:r>
      <w:r w:rsidRPr="00C17AA1">
        <w:rPr>
          <w:rFonts w:eastAsia="Calibri"/>
          <w:kern w:val="14"/>
          <w:lang w:val="en-US"/>
        </w:rPr>
        <w:t xml:space="preserve"> Cambridge: Cambridge University Press, 2012</w:t>
      </w:r>
      <w:r w:rsidRPr="00F22925">
        <w:rPr>
          <w:rFonts w:eastAsia="Calibri"/>
          <w:kern w:val="14"/>
          <w:lang w:val="en-US"/>
        </w:rPr>
        <w:t>.</w:t>
      </w:r>
    </w:p>
    <w:p w14:paraId="002193B1"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t>Niebruegge</w:t>
      </w:r>
      <w:proofErr w:type="spellEnd"/>
      <w:r w:rsidRPr="00C17AA1">
        <w:rPr>
          <w:rFonts w:eastAsia="Calibri"/>
          <w:kern w:val="14"/>
          <w:lang w:val="en-US"/>
        </w:rPr>
        <w:t>, Alex M</w:t>
      </w:r>
      <w:r w:rsidRPr="00F22925">
        <w:rPr>
          <w:rFonts w:eastAsia="Calibri"/>
          <w:kern w:val="14"/>
          <w:lang w:val="en-US"/>
        </w:rPr>
        <w:t>.</w:t>
      </w:r>
      <w:r w:rsidRPr="00C17AA1">
        <w:rPr>
          <w:rFonts w:eastAsia="Calibri"/>
          <w:kern w:val="14"/>
          <w:lang w:val="en-US"/>
        </w:rPr>
        <w:t xml:space="preserve"> Provisional application of the Energy Charter Treaty: the </w:t>
      </w:r>
      <w:r w:rsidRPr="00C17AA1">
        <w:rPr>
          <w:rFonts w:eastAsia="Calibri"/>
          <w:i/>
          <w:iCs/>
          <w:kern w:val="14"/>
          <w:lang w:val="en-US"/>
        </w:rPr>
        <w:t>Yukos</w:t>
      </w:r>
      <w:r w:rsidRPr="00C17AA1">
        <w:rPr>
          <w:rFonts w:eastAsia="Calibri"/>
          <w:kern w:val="14"/>
          <w:lang w:val="en-US"/>
        </w:rPr>
        <w:t xml:space="preserve"> arbitration and the future place of provisional application in international law</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Chicago Journal of International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8, No</w:t>
      </w:r>
      <w:r w:rsidRPr="00F22925">
        <w:rPr>
          <w:rFonts w:eastAsia="Calibri"/>
          <w:kern w:val="14"/>
          <w:lang w:val="en-US"/>
        </w:rPr>
        <w:t>.</w:t>
      </w:r>
      <w:r w:rsidRPr="00C17AA1">
        <w:rPr>
          <w:rFonts w:eastAsia="Calibri"/>
          <w:kern w:val="14"/>
          <w:lang w:val="en-US"/>
        </w:rPr>
        <w:t xml:space="preserve"> 1 (2007)</w:t>
      </w:r>
      <w:r w:rsidRPr="00F22925">
        <w:rPr>
          <w:rFonts w:eastAsia="Calibri"/>
          <w:kern w:val="14"/>
          <w:lang w:val="en-US"/>
        </w:rPr>
        <w:t>.</w:t>
      </w:r>
    </w:p>
    <w:p w14:paraId="232B8D13" w14:textId="77777777" w:rsidR="00014CBC" w:rsidRPr="00C17AA1" w:rsidRDefault="00014CBC" w:rsidP="00014CBC">
      <w:pPr>
        <w:pStyle w:val="SingleTxtG"/>
        <w:ind w:left="1701" w:hanging="567"/>
        <w:rPr>
          <w:rFonts w:eastAsia="Calibri"/>
          <w:kern w:val="14"/>
          <w:lang w:val="en-US"/>
        </w:rPr>
      </w:pPr>
      <w:proofErr w:type="spellStart"/>
      <w:r w:rsidRPr="00C17AA1">
        <w:rPr>
          <w:lang w:val="en-US"/>
        </w:rPr>
        <w:t>Ouguergouz</w:t>
      </w:r>
      <w:proofErr w:type="spellEnd"/>
      <w:r w:rsidRPr="00C17AA1">
        <w:rPr>
          <w:rFonts w:eastAsia="Calibri"/>
          <w:kern w:val="14"/>
          <w:lang w:val="en-US"/>
        </w:rPr>
        <w:t xml:space="preserve">, </w:t>
      </w:r>
      <w:proofErr w:type="spellStart"/>
      <w:r w:rsidRPr="00C17AA1">
        <w:rPr>
          <w:rFonts w:eastAsia="Calibri"/>
          <w:kern w:val="14"/>
          <w:lang w:val="en-US"/>
        </w:rPr>
        <w:t>Fatsah</w:t>
      </w:r>
      <w:proofErr w:type="spellEnd"/>
      <w:r w:rsidRPr="00C17AA1">
        <w:rPr>
          <w:rFonts w:eastAsia="Calibri"/>
          <w:kern w:val="14"/>
          <w:lang w:val="en-US"/>
        </w:rPr>
        <w:t>, Santiago Villalpando and Jason Morgan-Foster</w:t>
      </w:r>
      <w:r w:rsidRPr="00F22925">
        <w:rPr>
          <w:rFonts w:eastAsia="Calibri"/>
          <w:kern w:val="14"/>
          <w:lang w:val="en-US"/>
        </w:rPr>
        <w:t>.</w:t>
      </w:r>
      <w:r w:rsidRPr="00C17AA1">
        <w:rPr>
          <w:rFonts w:eastAsia="Calibri"/>
          <w:kern w:val="14"/>
          <w:lang w:val="en-US"/>
        </w:rPr>
        <w:t xml:space="preserve"> Article 77: Convention of 1969</w:t>
      </w:r>
      <w:r w:rsidRPr="00F22925">
        <w:rPr>
          <w:rFonts w:eastAsia="Calibri"/>
          <w:kern w:val="14"/>
          <w:lang w:val="en-US"/>
        </w:rPr>
        <w:t>.</w:t>
      </w:r>
      <w:r w:rsidRPr="00C17AA1">
        <w:rPr>
          <w:rFonts w:eastAsia="Calibri"/>
          <w:kern w:val="14"/>
          <w:lang w:val="en-US"/>
        </w:rPr>
        <w:t xml:space="preserve"> In Olivier Corten and Pierre Klein,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Vienna Conventions on the Law of Treaties: A Commentary</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II</w:t>
      </w:r>
      <w:r w:rsidRPr="00F22925">
        <w:rPr>
          <w:rFonts w:eastAsia="Calibri"/>
          <w:kern w:val="14"/>
          <w:lang w:val="en-US"/>
        </w:rPr>
        <w:t>.</w:t>
      </w:r>
      <w:r w:rsidRPr="00C17AA1">
        <w:rPr>
          <w:rFonts w:eastAsia="Calibri"/>
          <w:kern w:val="14"/>
          <w:lang w:val="en-US"/>
        </w:rPr>
        <w:t xml:space="preserve"> Oxford: Oxford University Press, 2011</w:t>
      </w:r>
      <w:r w:rsidRPr="00F22925">
        <w:rPr>
          <w:rFonts w:eastAsia="Calibri"/>
          <w:kern w:val="14"/>
          <w:lang w:val="en-US"/>
        </w:rPr>
        <w:t>.</w:t>
      </w:r>
    </w:p>
    <w:p w14:paraId="58CFC5FA" w14:textId="77777777" w:rsidR="00014CBC" w:rsidRPr="00C17AA1" w:rsidRDefault="00014CBC" w:rsidP="00014CBC">
      <w:pPr>
        <w:pStyle w:val="SingleTxtG"/>
        <w:ind w:left="1701" w:hanging="567"/>
        <w:rPr>
          <w:rFonts w:eastAsia="Calibri"/>
          <w:kern w:val="14"/>
          <w:lang w:val="en-US"/>
        </w:rPr>
      </w:pPr>
      <w:r w:rsidRPr="00C17AA1">
        <w:rPr>
          <w:lang w:val="en-US"/>
        </w:rPr>
        <w:t>Provost</w:t>
      </w:r>
      <w:r w:rsidRPr="00C17AA1">
        <w:rPr>
          <w:rFonts w:eastAsia="Calibri"/>
          <w:kern w:val="14"/>
          <w:lang w:val="en-US"/>
        </w:rPr>
        <w:t>, René</w:t>
      </w:r>
      <w:r w:rsidRPr="00F22925">
        <w:rPr>
          <w:rFonts w:eastAsia="Calibri"/>
          <w:kern w:val="14"/>
          <w:lang w:val="en-US"/>
        </w:rPr>
        <w:t>.</w:t>
      </w:r>
      <w:r w:rsidRPr="00C17AA1">
        <w:rPr>
          <w:rFonts w:eastAsia="Calibri"/>
          <w:kern w:val="14"/>
          <w:lang w:val="en-US"/>
        </w:rPr>
        <w:t xml:space="preserve"> Article 73: Convention of 1969</w:t>
      </w:r>
      <w:r w:rsidRPr="00F22925">
        <w:rPr>
          <w:rFonts w:eastAsia="Calibri"/>
          <w:kern w:val="14"/>
          <w:lang w:val="en-US"/>
        </w:rPr>
        <w:t>.</w:t>
      </w:r>
      <w:r w:rsidRPr="00C17AA1">
        <w:rPr>
          <w:rFonts w:eastAsia="Calibri"/>
          <w:kern w:val="14"/>
          <w:lang w:val="en-US"/>
        </w:rPr>
        <w:t xml:space="preserve"> </w:t>
      </w:r>
      <w:r w:rsidRPr="00C6687F">
        <w:rPr>
          <w:rFonts w:eastAsia="Calibri"/>
          <w:kern w:val="14"/>
          <w:lang w:val="de-CH"/>
        </w:rPr>
        <w:t xml:space="preserve">In Olivier </w:t>
      </w:r>
      <w:proofErr w:type="spellStart"/>
      <w:r w:rsidRPr="00C6687F">
        <w:rPr>
          <w:rFonts w:eastAsia="Calibri"/>
          <w:kern w:val="14"/>
          <w:lang w:val="de-CH"/>
        </w:rPr>
        <w:t>Corten</w:t>
      </w:r>
      <w:proofErr w:type="spellEnd"/>
      <w:r w:rsidRPr="00C6687F">
        <w:rPr>
          <w:rFonts w:eastAsia="Calibri"/>
          <w:kern w:val="14"/>
          <w:lang w:val="de-CH"/>
        </w:rPr>
        <w:t xml:space="preserve"> </w:t>
      </w:r>
      <w:proofErr w:type="spellStart"/>
      <w:r w:rsidRPr="00C6687F">
        <w:rPr>
          <w:rFonts w:eastAsia="Calibri"/>
          <w:kern w:val="14"/>
          <w:lang w:val="de-CH"/>
        </w:rPr>
        <w:t>and</w:t>
      </w:r>
      <w:proofErr w:type="spellEnd"/>
      <w:r w:rsidRPr="00C6687F">
        <w:rPr>
          <w:rFonts w:eastAsia="Calibri"/>
          <w:kern w:val="14"/>
          <w:lang w:val="de-CH"/>
        </w:rPr>
        <w:t xml:space="preserve"> Pierre Klein, </w:t>
      </w:r>
      <w:proofErr w:type="spellStart"/>
      <w:r w:rsidRPr="00C6687F">
        <w:rPr>
          <w:rFonts w:eastAsia="Calibri"/>
          <w:kern w:val="14"/>
          <w:lang w:val="de-CH"/>
        </w:rPr>
        <w:t>eds</w:t>
      </w:r>
      <w:proofErr w:type="spellEnd"/>
      <w:r w:rsidRPr="00F22925">
        <w:rPr>
          <w:rFonts w:eastAsia="Calibri"/>
          <w:kern w:val="14"/>
          <w:lang w:val="de-CH"/>
        </w:rPr>
        <w:t>.</w:t>
      </w:r>
      <w:r w:rsidRPr="00C6687F">
        <w:rPr>
          <w:rFonts w:eastAsia="Calibri"/>
          <w:kern w:val="14"/>
          <w:lang w:val="de-CH"/>
        </w:rPr>
        <w:t xml:space="preserve"> </w:t>
      </w:r>
      <w:r w:rsidRPr="00C17AA1">
        <w:rPr>
          <w:rFonts w:eastAsia="Calibri"/>
          <w:i/>
          <w:iCs/>
          <w:kern w:val="14"/>
          <w:lang w:val="en-US"/>
        </w:rPr>
        <w:t>The Vienna Conventions on the Law of Treaties: A Commentary</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II</w:t>
      </w:r>
      <w:r w:rsidRPr="00F22925">
        <w:rPr>
          <w:rFonts w:eastAsia="Calibri"/>
          <w:kern w:val="14"/>
          <w:lang w:val="en-US"/>
        </w:rPr>
        <w:t>.</w:t>
      </w:r>
      <w:r w:rsidRPr="00C17AA1">
        <w:rPr>
          <w:rFonts w:eastAsia="Calibri"/>
          <w:kern w:val="14"/>
          <w:lang w:val="en-US"/>
        </w:rPr>
        <w:t xml:space="preserve"> Oxford: Oxford University Press, 2011</w:t>
      </w:r>
      <w:r w:rsidRPr="00F22925">
        <w:rPr>
          <w:rFonts w:eastAsia="Calibri"/>
          <w:kern w:val="14"/>
          <w:lang w:val="en-US"/>
        </w:rPr>
        <w:t>.</w:t>
      </w:r>
    </w:p>
    <w:p w14:paraId="35EAF943" w14:textId="77777777" w:rsidR="00014CBC" w:rsidRPr="00C17AA1" w:rsidRDefault="00014CBC" w:rsidP="00014CBC">
      <w:pPr>
        <w:pStyle w:val="SingleTxtG"/>
        <w:ind w:left="1701" w:hanging="567"/>
        <w:rPr>
          <w:rFonts w:eastAsia="Calibri"/>
          <w:kern w:val="14"/>
          <w:lang w:val="en-US"/>
        </w:rPr>
      </w:pPr>
      <w:r w:rsidRPr="00C17AA1">
        <w:rPr>
          <w:lang w:val="en-US"/>
        </w:rPr>
        <w:t>Quast</w:t>
      </w:r>
      <w:r w:rsidRPr="00C17AA1">
        <w:rPr>
          <w:rFonts w:eastAsia="Calibri"/>
          <w:kern w:val="14"/>
          <w:lang w:val="en-US"/>
        </w:rPr>
        <w:t xml:space="preserve"> </w:t>
      </w:r>
      <w:proofErr w:type="spellStart"/>
      <w:r w:rsidRPr="00C17AA1">
        <w:rPr>
          <w:rFonts w:eastAsia="Calibri"/>
          <w:kern w:val="14"/>
          <w:lang w:val="en-US"/>
        </w:rPr>
        <w:t>Mertsch</w:t>
      </w:r>
      <w:proofErr w:type="spellEnd"/>
      <w:r w:rsidRPr="00C17AA1">
        <w:rPr>
          <w:rFonts w:eastAsia="Calibri"/>
          <w:kern w:val="14"/>
          <w:lang w:val="en-US"/>
        </w:rPr>
        <w:t>, Anneliese</w:t>
      </w:r>
      <w:r w:rsidRPr="00F22925">
        <w:rPr>
          <w:rFonts w:eastAsia="Calibri"/>
          <w:kern w:val="14"/>
          <w:lang w:val="en-US"/>
        </w:rPr>
        <w:t>.</w:t>
      </w:r>
      <w:r w:rsidRPr="00C17AA1">
        <w:rPr>
          <w:rFonts w:eastAsia="Calibri"/>
          <w:kern w:val="14"/>
          <w:lang w:val="en-US"/>
        </w:rPr>
        <w:t xml:space="preserve"> The reform measures of ECHR Protocol No</w:t>
      </w:r>
      <w:r w:rsidRPr="00F22925">
        <w:rPr>
          <w:rFonts w:eastAsia="Calibri"/>
          <w:kern w:val="14"/>
          <w:lang w:val="en-US"/>
        </w:rPr>
        <w:t>.</w:t>
      </w:r>
      <w:r w:rsidRPr="00C17AA1">
        <w:rPr>
          <w:rFonts w:eastAsia="Calibri"/>
          <w:kern w:val="14"/>
          <w:lang w:val="en-US"/>
        </w:rPr>
        <w:t xml:space="preserve"> 14 and the provisional application of treaties</w:t>
      </w:r>
      <w:r w:rsidRPr="00F22925">
        <w:rPr>
          <w:rFonts w:eastAsia="Calibri"/>
          <w:kern w:val="14"/>
          <w:lang w:val="en-US"/>
        </w:rPr>
        <w:t>.</w:t>
      </w:r>
      <w:r w:rsidRPr="00C17AA1">
        <w:rPr>
          <w:rFonts w:eastAsia="Calibri"/>
          <w:kern w:val="14"/>
          <w:lang w:val="en-US"/>
        </w:rPr>
        <w:t xml:space="preserve"> In </w:t>
      </w:r>
      <w:proofErr w:type="spellStart"/>
      <w:r w:rsidRPr="00C17AA1">
        <w:rPr>
          <w:rFonts w:eastAsia="Calibri"/>
          <w:kern w:val="14"/>
          <w:lang w:val="en-US"/>
        </w:rPr>
        <w:t>Malgosia</w:t>
      </w:r>
      <w:proofErr w:type="spellEnd"/>
      <w:r w:rsidRPr="00C17AA1">
        <w:rPr>
          <w:rFonts w:eastAsia="Calibri"/>
          <w:kern w:val="14"/>
          <w:lang w:val="en-US"/>
        </w:rPr>
        <w:t xml:space="preserve"> Fitzmaurice and </w:t>
      </w:r>
      <w:proofErr w:type="spellStart"/>
      <w:r w:rsidRPr="00C17AA1">
        <w:rPr>
          <w:rFonts w:eastAsia="Calibri"/>
          <w:kern w:val="14"/>
          <w:lang w:val="en-US"/>
        </w:rPr>
        <w:t>Panos</w:t>
      </w:r>
      <w:proofErr w:type="spellEnd"/>
      <w:r w:rsidRPr="00C17AA1">
        <w:rPr>
          <w:rFonts w:eastAsia="Calibri"/>
          <w:kern w:val="14"/>
          <w:lang w:val="en-US"/>
        </w:rPr>
        <w:t xml:space="preserve"> </w:t>
      </w:r>
      <w:proofErr w:type="spellStart"/>
      <w:r w:rsidRPr="00C17AA1">
        <w:rPr>
          <w:rFonts w:eastAsia="Calibri"/>
          <w:kern w:val="14"/>
          <w:lang w:val="en-US"/>
        </w:rPr>
        <w:t>Merkouris</w:t>
      </w:r>
      <w:proofErr w:type="spellEnd"/>
      <w:r w:rsidRPr="00C17AA1">
        <w:rPr>
          <w:rFonts w:eastAsia="Calibri"/>
          <w:kern w:val="14"/>
          <w:lang w:val="en-US"/>
        </w:rPr>
        <w:t>,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Interpretation and Application of the European Convention of Human Rights: Legal and Practical Implications</w:t>
      </w:r>
      <w:r w:rsidRPr="00C17AA1">
        <w:rPr>
          <w:rFonts w:eastAsia="Calibri"/>
          <w:kern w:val="14"/>
          <w:lang w:val="en-US"/>
        </w:rPr>
        <w:t>, Queen Mary Studies in International Law, vol</w:t>
      </w:r>
      <w:r w:rsidRPr="00F22925">
        <w:rPr>
          <w:rFonts w:eastAsia="Calibri"/>
          <w:kern w:val="14"/>
          <w:lang w:val="en-US"/>
        </w:rPr>
        <w:t>.</w:t>
      </w:r>
      <w:r w:rsidRPr="00C17AA1">
        <w:rPr>
          <w:rFonts w:eastAsia="Calibri"/>
          <w:kern w:val="14"/>
          <w:lang w:val="en-US"/>
        </w:rPr>
        <w:t xml:space="preserve"> 12</w:t>
      </w:r>
      <w:r w:rsidRPr="00F22925">
        <w:rPr>
          <w:rFonts w:eastAsia="Calibri"/>
          <w:kern w:val="14"/>
          <w:lang w:val="en-US"/>
        </w:rPr>
        <w:t>.</w:t>
      </w:r>
      <w:r w:rsidRPr="00C17AA1">
        <w:rPr>
          <w:rFonts w:eastAsia="Calibri"/>
          <w:kern w:val="14"/>
          <w:lang w:val="en-US"/>
        </w:rPr>
        <w:t xml:space="preserve"> Leiden: </w:t>
      </w:r>
      <w:proofErr w:type="spellStart"/>
      <w:r w:rsidRPr="00C17AA1">
        <w:rPr>
          <w:rFonts w:eastAsia="Calibri"/>
          <w:kern w:val="14"/>
          <w:lang w:val="en-US"/>
        </w:rPr>
        <w:t>Martinus</w:t>
      </w:r>
      <w:proofErr w:type="spellEnd"/>
      <w:r w:rsidRPr="00C17AA1">
        <w:rPr>
          <w:rFonts w:eastAsia="Calibri"/>
          <w:kern w:val="14"/>
          <w:lang w:val="en-US"/>
        </w:rPr>
        <w:t xml:space="preserve"> </w:t>
      </w:r>
      <w:proofErr w:type="spellStart"/>
      <w:r w:rsidRPr="00C17AA1">
        <w:rPr>
          <w:rFonts w:eastAsia="Calibri"/>
          <w:kern w:val="14"/>
          <w:lang w:val="en-US"/>
        </w:rPr>
        <w:t>Nijhoff</w:t>
      </w:r>
      <w:proofErr w:type="spellEnd"/>
      <w:r w:rsidRPr="00C17AA1">
        <w:rPr>
          <w:rFonts w:eastAsia="Calibri"/>
          <w:kern w:val="14"/>
          <w:lang w:val="en-US"/>
        </w:rPr>
        <w:t>, 2012</w:t>
      </w:r>
      <w:r w:rsidRPr="00F22925">
        <w:rPr>
          <w:rFonts w:eastAsia="Calibri"/>
          <w:kern w:val="14"/>
          <w:lang w:val="en-US"/>
        </w:rPr>
        <w:t>.</w:t>
      </w:r>
      <w:r w:rsidRPr="00C17AA1">
        <w:rPr>
          <w:rFonts w:eastAsia="Calibri"/>
          <w:kern w:val="14"/>
          <w:lang w:val="en-US"/>
        </w:rPr>
        <w:t xml:space="preserve"> </w:t>
      </w:r>
    </w:p>
    <w:p w14:paraId="12695955" w14:textId="77777777" w:rsidR="00014CBC" w:rsidRPr="00C17AA1" w:rsidRDefault="00014CBC" w:rsidP="00014CBC">
      <w:pPr>
        <w:pStyle w:val="SingleTxtG"/>
        <w:ind w:left="1701" w:hanging="567"/>
        <w:rPr>
          <w:rFonts w:eastAsia="Calibri"/>
          <w:kern w:val="14"/>
          <w:lang w:val="en-US"/>
        </w:rPr>
      </w:pPr>
      <w:r w:rsidRPr="00C17AA1">
        <w:rPr>
          <w:lang w:val="en-US"/>
        </w:rPr>
        <w:lastRenderedPageBreak/>
        <w:t>Rogoff</w:t>
      </w:r>
      <w:r w:rsidRPr="00C17AA1">
        <w:rPr>
          <w:rFonts w:eastAsia="Calibri"/>
          <w:kern w:val="14"/>
          <w:lang w:val="en-US"/>
        </w:rPr>
        <w:t xml:space="preserve">, Martin </w:t>
      </w:r>
      <w:proofErr w:type="gramStart"/>
      <w:r w:rsidRPr="00C17AA1">
        <w:rPr>
          <w:rFonts w:eastAsia="Calibri"/>
          <w:kern w:val="14"/>
          <w:lang w:val="en-US"/>
        </w:rPr>
        <w:t>A</w:t>
      </w:r>
      <w:r w:rsidRPr="00F22925">
        <w:rPr>
          <w:rFonts w:eastAsia="Calibri"/>
          <w:kern w:val="14"/>
          <w:lang w:val="en-US"/>
        </w:rPr>
        <w:t>.</w:t>
      </w:r>
      <w:proofErr w:type="gramEnd"/>
      <w:r w:rsidRPr="00C17AA1">
        <w:rPr>
          <w:rFonts w:eastAsia="Calibri"/>
          <w:kern w:val="14"/>
          <w:lang w:val="en-US"/>
        </w:rPr>
        <w:t xml:space="preserve"> and Barbara E</w:t>
      </w:r>
      <w:r w:rsidRPr="00F22925">
        <w:rPr>
          <w:rFonts w:eastAsia="Calibri"/>
          <w:kern w:val="14"/>
          <w:lang w:val="en-US"/>
        </w:rPr>
        <w:t>.</w:t>
      </w:r>
      <w:r w:rsidRPr="00C17AA1">
        <w:rPr>
          <w:rFonts w:eastAsia="Calibri"/>
          <w:kern w:val="14"/>
          <w:lang w:val="en-US"/>
        </w:rPr>
        <w:t xml:space="preserve"> </w:t>
      </w:r>
      <w:proofErr w:type="spellStart"/>
      <w:r w:rsidRPr="00C17AA1">
        <w:rPr>
          <w:rFonts w:eastAsia="Calibri"/>
          <w:kern w:val="14"/>
          <w:lang w:val="en-US"/>
        </w:rPr>
        <w:t>Gauditz</w:t>
      </w:r>
      <w:proofErr w:type="spellEnd"/>
      <w:r w:rsidRPr="00F22925">
        <w:rPr>
          <w:rFonts w:eastAsia="Calibri"/>
          <w:kern w:val="14"/>
          <w:lang w:val="en-US"/>
        </w:rPr>
        <w:t>.</w:t>
      </w:r>
      <w:r w:rsidRPr="00C17AA1">
        <w:rPr>
          <w:rFonts w:eastAsia="Calibri"/>
          <w:kern w:val="14"/>
          <w:lang w:val="en-US"/>
        </w:rPr>
        <w:t xml:space="preserve"> The provisional application of international agreements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Maine Law Review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39, No</w:t>
      </w:r>
      <w:r w:rsidRPr="00F22925">
        <w:rPr>
          <w:rFonts w:eastAsia="Calibri"/>
          <w:kern w:val="14"/>
          <w:lang w:val="en-US"/>
        </w:rPr>
        <w:t>.</w:t>
      </w:r>
      <w:r w:rsidRPr="00C17AA1">
        <w:rPr>
          <w:rFonts w:eastAsia="Calibri"/>
          <w:kern w:val="14"/>
          <w:lang w:val="en-US"/>
        </w:rPr>
        <w:t xml:space="preserve"> 1 (1987)</w:t>
      </w:r>
      <w:r w:rsidRPr="00F22925">
        <w:rPr>
          <w:rFonts w:eastAsia="Calibri"/>
          <w:kern w:val="14"/>
          <w:lang w:val="en-US"/>
        </w:rPr>
        <w:t>.</w:t>
      </w:r>
      <w:r w:rsidRPr="00C17AA1">
        <w:rPr>
          <w:rFonts w:eastAsia="Calibri"/>
          <w:kern w:val="14"/>
          <w:lang w:val="en-US"/>
        </w:rPr>
        <w:t xml:space="preserve"> </w:t>
      </w:r>
    </w:p>
    <w:p w14:paraId="6E94CB1F" w14:textId="77777777" w:rsidR="00014CBC" w:rsidRDefault="00014CBC" w:rsidP="00014CBC">
      <w:pPr>
        <w:pStyle w:val="SingleTxtG"/>
        <w:ind w:left="1701" w:hanging="567"/>
        <w:rPr>
          <w:rFonts w:eastAsia="Calibri"/>
          <w:kern w:val="14"/>
          <w:lang w:val="en-US"/>
        </w:rPr>
      </w:pPr>
      <w:proofErr w:type="spellStart"/>
      <w:r w:rsidRPr="00C17AA1">
        <w:rPr>
          <w:lang w:val="en-US"/>
        </w:rPr>
        <w:t>Rosenne</w:t>
      </w:r>
      <w:proofErr w:type="spellEnd"/>
      <w:r w:rsidRPr="00C17AA1">
        <w:rPr>
          <w:rFonts w:eastAsia="Calibri"/>
          <w:kern w:val="14"/>
          <w:lang w:val="en-US"/>
        </w:rPr>
        <w:t>, Shabtai</w:t>
      </w:r>
      <w:r w:rsidRPr="00F22925">
        <w:rPr>
          <w:rFonts w:eastAsia="Calibri"/>
          <w:kern w:val="14"/>
          <w:lang w:val="en-US"/>
        </w:rPr>
        <w:t>.</w:t>
      </w:r>
      <w:r w:rsidRPr="00C17AA1">
        <w:rPr>
          <w:rFonts w:eastAsia="Calibri"/>
          <w:kern w:val="14"/>
          <w:lang w:val="en-US"/>
        </w:rPr>
        <w:t xml:space="preserve"> </w:t>
      </w:r>
      <w:r>
        <w:rPr>
          <w:rFonts w:eastAsia="Calibri"/>
          <w:kern w:val="14"/>
          <w:lang w:val="en-US"/>
        </w:rPr>
        <w:t>The depositary of international treaties</w:t>
      </w:r>
      <w:r w:rsidRPr="00F22925">
        <w:rPr>
          <w:rFonts w:eastAsia="Calibri"/>
          <w:kern w:val="14"/>
          <w:lang w:val="en-US"/>
        </w:rPr>
        <w:t>.</w:t>
      </w:r>
      <w:r>
        <w:rPr>
          <w:rFonts w:eastAsia="Calibri"/>
          <w:kern w:val="14"/>
          <w:lang w:val="en-US"/>
        </w:rPr>
        <w:t xml:space="preserve"> </w:t>
      </w:r>
      <w:r w:rsidRPr="00C17AA1">
        <w:rPr>
          <w:rFonts w:eastAsia="Calibri"/>
          <w:i/>
          <w:iCs/>
          <w:kern w:val="14"/>
          <w:lang w:val="en-US"/>
        </w:rPr>
        <w:t>American Journal of International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6</w:t>
      </w:r>
      <w:r>
        <w:rPr>
          <w:rFonts w:eastAsia="Calibri"/>
          <w:kern w:val="14"/>
          <w:lang w:val="en-US"/>
        </w:rPr>
        <w:t>1</w:t>
      </w:r>
      <w:r w:rsidRPr="00C17AA1">
        <w:rPr>
          <w:rFonts w:eastAsia="Calibri"/>
          <w:kern w:val="14"/>
          <w:lang w:val="en-US"/>
        </w:rPr>
        <w:t>, No</w:t>
      </w:r>
      <w:r w:rsidRPr="00F22925">
        <w:rPr>
          <w:rFonts w:eastAsia="Calibri"/>
          <w:kern w:val="14"/>
          <w:lang w:val="en-US"/>
        </w:rPr>
        <w:t>.</w:t>
      </w:r>
      <w:r w:rsidRPr="00C17AA1">
        <w:rPr>
          <w:rFonts w:eastAsia="Calibri"/>
          <w:kern w:val="14"/>
          <w:lang w:val="en-US"/>
        </w:rPr>
        <w:t xml:space="preserve"> </w:t>
      </w:r>
      <w:r>
        <w:rPr>
          <w:rFonts w:eastAsia="Calibri"/>
          <w:kern w:val="14"/>
          <w:lang w:val="en-US"/>
        </w:rPr>
        <w:t>4</w:t>
      </w:r>
      <w:r w:rsidRPr="00C17AA1">
        <w:rPr>
          <w:rFonts w:eastAsia="Calibri"/>
          <w:kern w:val="14"/>
          <w:lang w:val="en-US"/>
        </w:rPr>
        <w:t xml:space="preserve"> (October 19</w:t>
      </w:r>
      <w:r>
        <w:rPr>
          <w:rFonts w:eastAsia="Calibri"/>
          <w:kern w:val="14"/>
          <w:lang w:val="en-US"/>
        </w:rPr>
        <w:t>67</w:t>
      </w:r>
      <w:r w:rsidRPr="00C17AA1">
        <w:rPr>
          <w:rFonts w:eastAsia="Calibri"/>
          <w:kern w:val="14"/>
          <w:lang w:val="en-US"/>
        </w:rPr>
        <w:t>)</w:t>
      </w:r>
      <w:r w:rsidRPr="00F22925">
        <w:rPr>
          <w:rFonts w:eastAsia="Calibri"/>
          <w:kern w:val="14"/>
          <w:lang w:val="en-US"/>
        </w:rPr>
        <w:t>.</w:t>
      </w:r>
    </w:p>
    <w:p w14:paraId="5D415BC5" w14:textId="77777777" w:rsidR="00014CBC" w:rsidRPr="00C17AA1" w:rsidRDefault="00014CBC" w:rsidP="00014CBC">
      <w:pPr>
        <w:pStyle w:val="SingleTxtG"/>
        <w:ind w:left="1701" w:hanging="567"/>
        <w:rPr>
          <w:rFonts w:eastAsia="Calibri"/>
          <w:kern w:val="14"/>
          <w:lang w:val="en-US"/>
        </w:rPr>
      </w:pPr>
      <w:r w:rsidRPr="001F7160">
        <w:rPr>
          <w:lang w:val="en-US"/>
        </w:rPr>
        <w:t>_______</w:t>
      </w:r>
      <w:r w:rsidRPr="00F22925">
        <w:rPr>
          <w:lang w:val="en-US"/>
        </w:rPr>
        <w:t>.</w:t>
      </w:r>
      <w:r w:rsidRPr="001F7160">
        <w:rPr>
          <w:lang w:val="en-US"/>
        </w:rPr>
        <w:t xml:space="preserve"> </w:t>
      </w:r>
      <w:r w:rsidRPr="00C17AA1">
        <w:rPr>
          <w:rFonts w:eastAsia="Calibri"/>
          <w:kern w:val="14"/>
          <w:lang w:val="en-US"/>
        </w:rPr>
        <w:t>More on the depositary of international treaties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American Journal of International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64, No</w:t>
      </w:r>
      <w:r w:rsidRPr="00F22925">
        <w:rPr>
          <w:rFonts w:eastAsia="Calibri"/>
          <w:kern w:val="14"/>
          <w:lang w:val="en-US"/>
        </w:rPr>
        <w:t>.</w:t>
      </w:r>
      <w:r w:rsidRPr="00C17AA1">
        <w:rPr>
          <w:rFonts w:eastAsia="Calibri"/>
          <w:kern w:val="14"/>
          <w:lang w:val="en-US"/>
        </w:rPr>
        <w:t xml:space="preserve"> 5 (October 1970)</w:t>
      </w:r>
      <w:r w:rsidRPr="00F22925">
        <w:rPr>
          <w:rFonts w:eastAsia="Calibri"/>
          <w:kern w:val="14"/>
          <w:lang w:val="en-US"/>
        </w:rPr>
        <w:t>.</w:t>
      </w:r>
      <w:r w:rsidRPr="00C17AA1">
        <w:rPr>
          <w:rFonts w:eastAsia="Calibri"/>
          <w:kern w:val="14"/>
          <w:lang w:val="en-US"/>
        </w:rPr>
        <w:t xml:space="preserve"> </w:t>
      </w:r>
    </w:p>
    <w:p w14:paraId="2F6A89FB"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Sagar, David</w:t>
      </w:r>
      <w:r w:rsidRPr="00F22925">
        <w:rPr>
          <w:rFonts w:eastAsia="Calibri"/>
          <w:kern w:val="14"/>
          <w:lang w:val="en-US"/>
        </w:rPr>
        <w:t>.</w:t>
      </w:r>
      <w:r w:rsidRPr="00C17AA1">
        <w:rPr>
          <w:rFonts w:eastAsia="Calibri"/>
          <w:kern w:val="14"/>
          <w:lang w:val="en-US"/>
        </w:rPr>
        <w:t xml:space="preserve"> Provisional application in an international organization</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Journal of Space Law</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27, No</w:t>
      </w:r>
      <w:r w:rsidRPr="00F22925">
        <w:rPr>
          <w:rFonts w:eastAsia="Calibri"/>
          <w:kern w:val="14"/>
          <w:lang w:val="en-US"/>
        </w:rPr>
        <w:t>.</w:t>
      </w:r>
      <w:r w:rsidRPr="00C17AA1">
        <w:rPr>
          <w:rFonts w:eastAsia="Calibri"/>
          <w:kern w:val="14"/>
          <w:lang w:val="en-US"/>
        </w:rPr>
        <w:t xml:space="preserve"> 2 (1999)</w:t>
      </w:r>
      <w:r w:rsidRPr="00F22925">
        <w:rPr>
          <w:rFonts w:eastAsia="Calibri"/>
          <w:kern w:val="14"/>
          <w:lang w:val="en-US"/>
        </w:rPr>
        <w:t>.</w:t>
      </w:r>
    </w:p>
    <w:p w14:paraId="253C2DDD" w14:textId="77777777" w:rsidR="00014CBC" w:rsidRPr="00C6687F" w:rsidRDefault="00014CBC" w:rsidP="00014CBC">
      <w:pPr>
        <w:pStyle w:val="SingleTxtG"/>
        <w:ind w:left="1701" w:hanging="567"/>
        <w:rPr>
          <w:rFonts w:eastAsia="Calibri"/>
          <w:kern w:val="14"/>
          <w:lang w:val="fr-CA"/>
        </w:rPr>
      </w:pPr>
      <w:proofErr w:type="spellStart"/>
      <w:r w:rsidRPr="00C17AA1">
        <w:rPr>
          <w:lang w:val="en-US"/>
        </w:rPr>
        <w:t>Schaus</w:t>
      </w:r>
      <w:proofErr w:type="spellEnd"/>
      <w:r w:rsidRPr="00C17AA1">
        <w:rPr>
          <w:rFonts w:eastAsia="Calibri"/>
          <w:kern w:val="14"/>
          <w:lang w:val="en-US"/>
        </w:rPr>
        <w:t xml:space="preserve">, </w:t>
      </w:r>
      <w:proofErr w:type="spellStart"/>
      <w:r w:rsidRPr="00C17AA1">
        <w:rPr>
          <w:rFonts w:eastAsia="Calibri"/>
          <w:kern w:val="14"/>
          <w:lang w:val="en-US"/>
        </w:rPr>
        <w:t>Annemie</w:t>
      </w:r>
      <w:proofErr w:type="spellEnd"/>
      <w:r w:rsidRPr="00F22925">
        <w:rPr>
          <w:rFonts w:eastAsia="Calibri"/>
          <w:kern w:val="14"/>
          <w:lang w:val="en-US"/>
        </w:rPr>
        <w:t>.</w:t>
      </w:r>
      <w:r w:rsidRPr="00C17AA1">
        <w:rPr>
          <w:rFonts w:eastAsia="Calibri"/>
          <w:kern w:val="14"/>
          <w:lang w:val="en-US"/>
        </w:rPr>
        <w:t xml:space="preserve"> Article 27</w:t>
      </w:r>
      <w:r w:rsidRPr="00F22925">
        <w:rPr>
          <w:rFonts w:eastAsia="Calibri"/>
          <w:kern w:val="14"/>
          <w:lang w:val="en-US"/>
        </w:rPr>
        <w:t>.</w:t>
      </w:r>
      <w:r w:rsidRPr="00C17AA1">
        <w:rPr>
          <w:rFonts w:eastAsia="Calibri"/>
          <w:kern w:val="14"/>
          <w:lang w:val="en-US"/>
        </w:rPr>
        <w:t xml:space="preserve"> Convention of 1969</w:t>
      </w:r>
      <w:r w:rsidRPr="00F22925">
        <w:rPr>
          <w:rFonts w:eastAsia="Calibri"/>
          <w:kern w:val="14"/>
          <w:lang w:val="en-US"/>
        </w:rPr>
        <w:t>.</w:t>
      </w:r>
      <w:r w:rsidRPr="00C17AA1">
        <w:rPr>
          <w:rFonts w:eastAsia="Calibri"/>
          <w:kern w:val="14"/>
          <w:lang w:val="en-US"/>
        </w:rPr>
        <w:t xml:space="preserve"> </w:t>
      </w:r>
      <w:r w:rsidRPr="00C6687F">
        <w:rPr>
          <w:rFonts w:eastAsia="Calibri"/>
          <w:kern w:val="14"/>
          <w:lang w:val="de-CH"/>
        </w:rPr>
        <w:t xml:space="preserve">In Olivier </w:t>
      </w:r>
      <w:proofErr w:type="spellStart"/>
      <w:r w:rsidRPr="00C6687F">
        <w:rPr>
          <w:rFonts w:eastAsia="Calibri"/>
          <w:kern w:val="14"/>
          <w:lang w:val="de-CH"/>
        </w:rPr>
        <w:t>Corten</w:t>
      </w:r>
      <w:proofErr w:type="spellEnd"/>
      <w:r w:rsidRPr="00C6687F">
        <w:rPr>
          <w:rFonts w:eastAsia="Calibri"/>
          <w:kern w:val="14"/>
          <w:lang w:val="de-CH"/>
        </w:rPr>
        <w:t xml:space="preserve"> </w:t>
      </w:r>
      <w:proofErr w:type="spellStart"/>
      <w:r w:rsidRPr="00C6687F">
        <w:rPr>
          <w:rFonts w:eastAsia="Calibri"/>
          <w:kern w:val="14"/>
          <w:lang w:val="de-CH"/>
        </w:rPr>
        <w:t>and</w:t>
      </w:r>
      <w:proofErr w:type="spellEnd"/>
      <w:r w:rsidRPr="00C6687F">
        <w:rPr>
          <w:rFonts w:eastAsia="Calibri"/>
          <w:kern w:val="14"/>
          <w:lang w:val="de-CH"/>
        </w:rPr>
        <w:t xml:space="preserve"> Pierre Klein, </w:t>
      </w:r>
      <w:proofErr w:type="spellStart"/>
      <w:r w:rsidRPr="00C6687F">
        <w:rPr>
          <w:rFonts w:eastAsia="Calibri"/>
          <w:kern w:val="14"/>
          <w:lang w:val="de-CH"/>
        </w:rPr>
        <w:t>eds</w:t>
      </w:r>
      <w:proofErr w:type="spellEnd"/>
      <w:r w:rsidRPr="00F22925">
        <w:rPr>
          <w:rFonts w:eastAsia="Calibri"/>
          <w:kern w:val="14"/>
          <w:lang w:val="de-CH"/>
        </w:rPr>
        <w:t>.</w:t>
      </w:r>
      <w:r w:rsidRPr="00C6687F">
        <w:rPr>
          <w:rFonts w:eastAsia="Calibri"/>
          <w:kern w:val="14"/>
          <w:lang w:val="de-CH"/>
        </w:rPr>
        <w:t xml:space="preserve"> </w:t>
      </w:r>
      <w:r w:rsidRPr="00C17AA1">
        <w:rPr>
          <w:rFonts w:eastAsia="Calibri"/>
          <w:i/>
          <w:iCs/>
          <w:kern w:val="14"/>
          <w:lang w:val="en-US"/>
        </w:rPr>
        <w:t>The Vienna Conventions on the Law of Treaties: A Commentary</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w:t>
      </w:r>
      <w:r w:rsidRPr="00C6687F">
        <w:rPr>
          <w:rFonts w:eastAsia="Calibri"/>
          <w:kern w:val="14"/>
          <w:lang w:val="fr-CA"/>
        </w:rPr>
        <w:t>I</w:t>
      </w:r>
      <w:r w:rsidRPr="00F22925">
        <w:rPr>
          <w:rFonts w:eastAsia="Calibri"/>
          <w:kern w:val="14"/>
          <w:lang w:val="fr-CA"/>
        </w:rPr>
        <w:t>.</w:t>
      </w:r>
      <w:r w:rsidRPr="00C6687F">
        <w:rPr>
          <w:rFonts w:eastAsia="Calibri"/>
          <w:kern w:val="14"/>
          <w:lang w:val="fr-CA"/>
        </w:rPr>
        <w:t xml:space="preserve"> Oxford: Oxford </w:t>
      </w:r>
      <w:proofErr w:type="spellStart"/>
      <w:r w:rsidRPr="00C6687F">
        <w:rPr>
          <w:rFonts w:eastAsia="Calibri"/>
          <w:kern w:val="14"/>
          <w:lang w:val="fr-CA"/>
        </w:rPr>
        <w:t>University</w:t>
      </w:r>
      <w:proofErr w:type="spellEnd"/>
      <w:r w:rsidRPr="00C6687F">
        <w:rPr>
          <w:rFonts w:eastAsia="Calibri"/>
          <w:kern w:val="14"/>
          <w:lang w:val="fr-CA"/>
        </w:rPr>
        <w:t xml:space="preserve"> </w:t>
      </w:r>
      <w:proofErr w:type="spellStart"/>
      <w:r w:rsidRPr="00C6687F">
        <w:rPr>
          <w:rFonts w:eastAsia="Calibri"/>
          <w:kern w:val="14"/>
          <w:lang w:val="fr-CA"/>
        </w:rPr>
        <w:t>Press</w:t>
      </w:r>
      <w:proofErr w:type="spellEnd"/>
      <w:r w:rsidRPr="00C6687F">
        <w:rPr>
          <w:rFonts w:eastAsia="Calibri"/>
          <w:kern w:val="14"/>
          <w:lang w:val="fr-CA"/>
        </w:rPr>
        <w:t>, 2011</w:t>
      </w:r>
      <w:r w:rsidRPr="00F22925">
        <w:rPr>
          <w:rFonts w:eastAsia="Calibri"/>
          <w:kern w:val="14"/>
          <w:lang w:val="fr-CA"/>
        </w:rPr>
        <w:t>.</w:t>
      </w:r>
    </w:p>
    <w:p w14:paraId="10B83C4C" w14:textId="77777777" w:rsidR="00014CBC" w:rsidRPr="00C17AA1" w:rsidRDefault="00014CBC" w:rsidP="00014CBC">
      <w:pPr>
        <w:pStyle w:val="SingleTxtG"/>
        <w:ind w:left="1701" w:hanging="567"/>
        <w:rPr>
          <w:rFonts w:eastAsia="Calibri"/>
          <w:kern w:val="14"/>
          <w:lang w:val="fr-FR"/>
        </w:rPr>
      </w:pPr>
      <w:proofErr w:type="spellStart"/>
      <w:r w:rsidRPr="00E91727">
        <w:rPr>
          <w:lang w:val="fr-FR"/>
        </w:rPr>
        <w:t>Schenker</w:t>
      </w:r>
      <w:proofErr w:type="spellEnd"/>
      <w:r w:rsidRPr="00C17AA1">
        <w:rPr>
          <w:rFonts w:eastAsia="Calibri"/>
          <w:kern w:val="14"/>
          <w:lang w:val="fr-FR"/>
        </w:rPr>
        <w:t>, Claude</w:t>
      </w:r>
      <w:r w:rsidRPr="00F22925">
        <w:rPr>
          <w:rFonts w:eastAsia="Calibri"/>
          <w:kern w:val="14"/>
          <w:lang w:val="fr-FR"/>
        </w:rPr>
        <w:t>.</w:t>
      </w:r>
      <w:r w:rsidRPr="00C17AA1">
        <w:rPr>
          <w:rFonts w:eastAsia="Calibri"/>
          <w:kern w:val="14"/>
          <w:lang w:val="fr-FR"/>
        </w:rPr>
        <w:t xml:space="preserve"> L</w:t>
      </w:r>
      <w:r>
        <w:rPr>
          <w:rFonts w:eastAsia="Calibri"/>
          <w:kern w:val="14"/>
          <w:lang w:val="fr-FR"/>
        </w:rPr>
        <w:t>’</w:t>
      </w:r>
      <w:r w:rsidRPr="00C17AA1">
        <w:rPr>
          <w:rFonts w:eastAsia="Calibri"/>
          <w:kern w:val="14"/>
          <w:lang w:val="fr-FR"/>
        </w:rPr>
        <w:t xml:space="preserve">application provisoire des </w:t>
      </w:r>
      <w:proofErr w:type="gramStart"/>
      <w:r w:rsidRPr="00C17AA1">
        <w:rPr>
          <w:rFonts w:eastAsia="Calibri"/>
          <w:kern w:val="14"/>
          <w:lang w:val="fr-FR"/>
        </w:rPr>
        <w:t>traités:</w:t>
      </w:r>
      <w:proofErr w:type="gramEnd"/>
      <w:r w:rsidRPr="00C17AA1">
        <w:rPr>
          <w:rFonts w:eastAsia="Calibri"/>
          <w:kern w:val="14"/>
          <w:lang w:val="fr-FR"/>
        </w:rPr>
        <w:t xml:space="preserve"> droit et pratique suisses</w:t>
      </w:r>
      <w:r w:rsidRPr="00F22925">
        <w:rPr>
          <w:rFonts w:eastAsia="Calibri"/>
          <w:kern w:val="14"/>
          <w:lang w:val="fr-FR"/>
        </w:rPr>
        <w:t>.</w:t>
      </w:r>
      <w:r w:rsidRPr="00C17AA1">
        <w:rPr>
          <w:rFonts w:eastAsia="Calibri"/>
          <w:kern w:val="14"/>
          <w:lang w:val="fr-FR"/>
        </w:rPr>
        <w:t xml:space="preserve"> </w:t>
      </w:r>
      <w:proofErr w:type="spellStart"/>
      <w:r w:rsidRPr="00C17AA1">
        <w:rPr>
          <w:rFonts w:eastAsia="Calibri"/>
          <w:i/>
          <w:iCs/>
          <w:kern w:val="14"/>
          <w:lang w:val="fr-FR"/>
        </w:rPr>
        <w:t>Schweizerische</w:t>
      </w:r>
      <w:proofErr w:type="spellEnd"/>
      <w:r w:rsidRPr="00C17AA1">
        <w:rPr>
          <w:rFonts w:eastAsia="Calibri"/>
          <w:i/>
          <w:iCs/>
          <w:kern w:val="14"/>
          <w:lang w:val="fr-FR"/>
        </w:rPr>
        <w:t xml:space="preserve"> </w:t>
      </w:r>
      <w:proofErr w:type="spellStart"/>
      <w:r w:rsidRPr="00C17AA1">
        <w:rPr>
          <w:rFonts w:eastAsia="Calibri"/>
          <w:i/>
          <w:iCs/>
          <w:kern w:val="14"/>
          <w:lang w:val="fr-FR"/>
        </w:rPr>
        <w:t>Zeitschrift</w:t>
      </w:r>
      <w:proofErr w:type="spellEnd"/>
      <w:r w:rsidRPr="00C17AA1">
        <w:rPr>
          <w:rFonts w:eastAsia="Calibri"/>
          <w:i/>
          <w:iCs/>
          <w:kern w:val="14"/>
          <w:lang w:val="fr-FR"/>
        </w:rPr>
        <w:t xml:space="preserve"> </w:t>
      </w:r>
      <w:proofErr w:type="spellStart"/>
      <w:r w:rsidRPr="00C17AA1">
        <w:rPr>
          <w:rFonts w:eastAsia="Calibri"/>
          <w:i/>
          <w:iCs/>
          <w:kern w:val="14"/>
          <w:lang w:val="fr-FR"/>
        </w:rPr>
        <w:t>für</w:t>
      </w:r>
      <w:proofErr w:type="spellEnd"/>
      <w:r w:rsidRPr="00C17AA1">
        <w:rPr>
          <w:rFonts w:eastAsia="Calibri"/>
          <w:i/>
          <w:iCs/>
          <w:kern w:val="14"/>
          <w:lang w:val="fr-FR"/>
        </w:rPr>
        <w:t xml:space="preserve"> internationales </w:t>
      </w:r>
      <w:proofErr w:type="spellStart"/>
      <w:r w:rsidRPr="00C17AA1">
        <w:rPr>
          <w:rFonts w:eastAsia="Calibri"/>
          <w:i/>
          <w:iCs/>
          <w:kern w:val="14"/>
          <w:lang w:val="fr-FR"/>
        </w:rPr>
        <w:t>und</w:t>
      </w:r>
      <w:proofErr w:type="spellEnd"/>
      <w:r w:rsidRPr="00C17AA1">
        <w:rPr>
          <w:rFonts w:eastAsia="Calibri"/>
          <w:i/>
          <w:iCs/>
          <w:kern w:val="14"/>
          <w:lang w:val="fr-FR"/>
        </w:rPr>
        <w:t xml:space="preserve"> </w:t>
      </w:r>
      <w:proofErr w:type="spellStart"/>
      <w:r w:rsidRPr="00C17AA1">
        <w:rPr>
          <w:rFonts w:eastAsia="Calibri"/>
          <w:i/>
          <w:iCs/>
          <w:kern w:val="14"/>
          <w:lang w:val="fr-FR"/>
        </w:rPr>
        <w:t>europäisches</w:t>
      </w:r>
      <w:proofErr w:type="spellEnd"/>
      <w:r w:rsidRPr="00C17AA1">
        <w:rPr>
          <w:rFonts w:eastAsia="Calibri"/>
          <w:i/>
          <w:iCs/>
          <w:kern w:val="14"/>
          <w:lang w:val="fr-FR"/>
        </w:rPr>
        <w:t xml:space="preserve"> </w:t>
      </w:r>
      <w:proofErr w:type="spellStart"/>
      <w:proofErr w:type="gramStart"/>
      <w:r w:rsidRPr="00C17AA1">
        <w:rPr>
          <w:rFonts w:eastAsia="Calibri"/>
          <w:i/>
          <w:iCs/>
          <w:kern w:val="14"/>
          <w:lang w:val="fr-FR"/>
        </w:rPr>
        <w:t>Recht</w:t>
      </w:r>
      <w:proofErr w:type="spellEnd"/>
      <w:r w:rsidRPr="00C17AA1">
        <w:rPr>
          <w:rFonts w:eastAsia="Calibri"/>
          <w:i/>
          <w:iCs/>
          <w:kern w:val="14"/>
          <w:lang w:val="fr-FR"/>
        </w:rPr>
        <w:t>:</w:t>
      </w:r>
      <w:proofErr w:type="gramEnd"/>
      <w:r w:rsidRPr="00C17AA1">
        <w:rPr>
          <w:rFonts w:eastAsia="Calibri"/>
          <w:i/>
          <w:iCs/>
          <w:kern w:val="14"/>
          <w:lang w:val="fr-FR"/>
        </w:rPr>
        <w:t xml:space="preserve"> Revue suisse de droit international et </w:t>
      </w:r>
      <w:proofErr w:type="spellStart"/>
      <w:r w:rsidRPr="00C17AA1">
        <w:rPr>
          <w:rFonts w:eastAsia="Calibri"/>
          <w:i/>
          <w:iCs/>
          <w:kern w:val="14"/>
          <w:lang w:val="fr-FR"/>
        </w:rPr>
        <w:t>européen</w:t>
      </w:r>
      <w:proofErr w:type="spellEnd"/>
      <w:r w:rsidRPr="00C17AA1">
        <w:rPr>
          <w:rFonts w:eastAsia="Calibri"/>
          <w:kern w:val="14"/>
          <w:lang w:val="fr-FR"/>
        </w:rPr>
        <w:t>, 2015, vol</w:t>
      </w:r>
      <w:r w:rsidRPr="00F22925">
        <w:rPr>
          <w:rFonts w:eastAsia="Calibri"/>
          <w:kern w:val="14"/>
          <w:lang w:val="fr-FR"/>
        </w:rPr>
        <w:t>.</w:t>
      </w:r>
      <w:r w:rsidRPr="00C17AA1">
        <w:rPr>
          <w:rFonts w:eastAsia="Calibri"/>
          <w:kern w:val="14"/>
          <w:lang w:val="fr-FR"/>
        </w:rPr>
        <w:t xml:space="preserve"> 25, No</w:t>
      </w:r>
      <w:r w:rsidRPr="00F22925">
        <w:rPr>
          <w:rFonts w:eastAsia="Calibri"/>
          <w:kern w:val="14"/>
          <w:lang w:val="fr-FR"/>
        </w:rPr>
        <w:t>.</w:t>
      </w:r>
      <w:r w:rsidRPr="00C17AA1">
        <w:rPr>
          <w:rFonts w:eastAsia="Calibri"/>
          <w:kern w:val="14"/>
          <w:lang w:val="fr-FR"/>
        </w:rPr>
        <w:t xml:space="preserve"> 2, 217</w:t>
      </w:r>
      <w:r>
        <w:rPr>
          <w:rFonts w:eastAsia="Calibri"/>
          <w:kern w:val="14"/>
          <w:lang w:val="fr-FR"/>
        </w:rPr>
        <w:t>-</w:t>
      </w:r>
      <w:r w:rsidRPr="00C17AA1">
        <w:rPr>
          <w:rFonts w:eastAsia="Calibri"/>
          <w:kern w:val="14"/>
          <w:lang w:val="fr-FR"/>
        </w:rPr>
        <w:t>238</w:t>
      </w:r>
      <w:r w:rsidRPr="00F22925">
        <w:rPr>
          <w:rFonts w:eastAsia="Calibri"/>
          <w:kern w:val="14"/>
          <w:lang w:val="fr-FR"/>
        </w:rPr>
        <w:t>.</w:t>
      </w:r>
    </w:p>
    <w:p w14:paraId="06EDEE41" w14:textId="77777777" w:rsidR="00014CBC" w:rsidRPr="00C17AA1" w:rsidRDefault="00014CBC" w:rsidP="00014CBC">
      <w:pPr>
        <w:pStyle w:val="SingleTxtG"/>
        <w:ind w:left="1701" w:hanging="567"/>
        <w:rPr>
          <w:rFonts w:eastAsia="Calibri"/>
          <w:kern w:val="14"/>
          <w:lang w:val="en-US"/>
        </w:rPr>
      </w:pPr>
      <w:proofErr w:type="spellStart"/>
      <w:r w:rsidRPr="002C70D3">
        <w:rPr>
          <w:lang w:val="fr-FR"/>
        </w:rPr>
        <w:t>Simma</w:t>
      </w:r>
      <w:proofErr w:type="spellEnd"/>
      <w:r w:rsidRPr="002C70D3">
        <w:rPr>
          <w:rFonts w:eastAsia="Calibri"/>
          <w:kern w:val="14"/>
          <w:lang w:val="fr-FR"/>
        </w:rPr>
        <w:t xml:space="preserve">, Bruno, and Christian J. </w:t>
      </w:r>
      <w:proofErr w:type="spellStart"/>
      <w:r w:rsidRPr="002C70D3">
        <w:rPr>
          <w:rFonts w:eastAsia="Calibri"/>
          <w:kern w:val="14"/>
          <w:lang w:val="fr-FR"/>
        </w:rPr>
        <w:t>Tams</w:t>
      </w:r>
      <w:proofErr w:type="spellEnd"/>
      <w:r w:rsidRPr="002C70D3">
        <w:rPr>
          <w:rFonts w:eastAsia="Calibri"/>
          <w:kern w:val="14"/>
          <w:lang w:val="fr-FR"/>
        </w:rPr>
        <w:t xml:space="preserve">. </w:t>
      </w:r>
      <w:r w:rsidRPr="00C17AA1">
        <w:rPr>
          <w:rFonts w:eastAsia="Calibri"/>
          <w:kern w:val="14"/>
          <w:lang w:val="en-US"/>
        </w:rPr>
        <w:t>Article 60</w:t>
      </w:r>
      <w:r w:rsidRPr="00F22925">
        <w:rPr>
          <w:rFonts w:eastAsia="Calibri"/>
          <w:kern w:val="14"/>
          <w:lang w:val="en-US"/>
        </w:rPr>
        <w:t>.</w:t>
      </w:r>
      <w:r w:rsidRPr="00C17AA1">
        <w:rPr>
          <w:rFonts w:eastAsia="Calibri"/>
          <w:kern w:val="14"/>
          <w:lang w:val="en-US"/>
        </w:rPr>
        <w:t xml:space="preserve"> In Olivier Corten and Pierre Klein,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The Vienna Conventions on the Law of Treaties: A Commentary</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II</w:t>
      </w:r>
      <w:r w:rsidRPr="00F22925">
        <w:rPr>
          <w:rFonts w:eastAsia="Calibri"/>
          <w:kern w:val="14"/>
          <w:lang w:val="en-US"/>
        </w:rPr>
        <w:t>.</w:t>
      </w:r>
      <w:r w:rsidRPr="00C17AA1">
        <w:rPr>
          <w:rFonts w:eastAsia="Calibri"/>
          <w:kern w:val="14"/>
          <w:lang w:val="en-US"/>
        </w:rPr>
        <w:t xml:space="preserve"> Oxford: Oxford University Press, 2011</w:t>
      </w:r>
      <w:r w:rsidRPr="00F22925">
        <w:rPr>
          <w:rFonts w:eastAsia="Calibri"/>
          <w:kern w:val="14"/>
          <w:lang w:val="en-US"/>
        </w:rPr>
        <w:t>.</w:t>
      </w:r>
    </w:p>
    <w:p w14:paraId="70D9E164" w14:textId="77777777" w:rsidR="00014CBC" w:rsidRPr="00C6687F" w:rsidRDefault="00014CBC" w:rsidP="00014CBC">
      <w:pPr>
        <w:pStyle w:val="SingleTxtG"/>
        <w:ind w:left="1701" w:hanging="567"/>
        <w:rPr>
          <w:rFonts w:eastAsia="Calibri"/>
          <w:i/>
          <w:kern w:val="14"/>
          <w:lang w:val="fr-CA"/>
        </w:rPr>
      </w:pPr>
      <w:proofErr w:type="spellStart"/>
      <w:r w:rsidRPr="00C17AA1">
        <w:rPr>
          <w:lang w:val="en-US"/>
        </w:rPr>
        <w:t>Talmon</w:t>
      </w:r>
      <w:proofErr w:type="spellEnd"/>
      <w:r w:rsidRPr="00C17AA1">
        <w:rPr>
          <w:rFonts w:eastAsia="Calibri"/>
          <w:kern w:val="14"/>
          <w:lang w:val="en-US"/>
        </w:rPr>
        <w:t xml:space="preserve"> Stefan, and Anneliese Quast </w:t>
      </w:r>
      <w:proofErr w:type="spellStart"/>
      <w:r w:rsidRPr="00C17AA1">
        <w:rPr>
          <w:rFonts w:eastAsia="Calibri"/>
          <w:kern w:val="14"/>
          <w:lang w:val="en-US"/>
        </w:rPr>
        <w:t>Mertsch</w:t>
      </w:r>
      <w:proofErr w:type="spellEnd"/>
      <w:r w:rsidRPr="00F22925">
        <w:rPr>
          <w:rFonts w:eastAsia="Calibri"/>
          <w:kern w:val="14"/>
          <w:lang w:val="en-US"/>
        </w:rPr>
        <w:t>.</w:t>
      </w:r>
      <w:r w:rsidRPr="00C17AA1">
        <w:rPr>
          <w:rFonts w:eastAsia="Calibri"/>
          <w:kern w:val="14"/>
          <w:lang w:val="en-US"/>
        </w:rPr>
        <w:t xml:space="preserve"> Germany</w:t>
      </w:r>
      <w:r>
        <w:rPr>
          <w:rFonts w:eastAsia="Calibri"/>
          <w:kern w:val="14"/>
          <w:lang w:val="en-US"/>
        </w:rPr>
        <w:t>’</w:t>
      </w:r>
      <w:r w:rsidRPr="00C17AA1">
        <w:rPr>
          <w:rFonts w:eastAsia="Calibri"/>
          <w:kern w:val="14"/>
          <w:lang w:val="en-US"/>
        </w:rPr>
        <w:t>s position and practice on provisional application of treaties</w:t>
      </w:r>
      <w:r w:rsidRPr="00F22925">
        <w:rPr>
          <w:rFonts w:eastAsia="Calibri"/>
          <w:kern w:val="14"/>
          <w:lang w:val="en-US"/>
        </w:rPr>
        <w:t>.</w:t>
      </w:r>
      <w:r w:rsidRPr="00C17AA1">
        <w:rPr>
          <w:rFonts w:eastAsia="Calibri"/>
          <w:kern w:val="14"/>
          <w:lang w:val="en-US"/>
        </w:rPr>
        <w:t xml:space="preserve"> </w:t>
      </w:r>
      <w:r w:rsidRPr="00C6687F">
        <w:rPr>
          <w:rFonts w:eastAsia="Calibri"/>
          <w:iCs/>
          <w:kern w:val="14"/>
          <w:lang w:val="fr-CA"/>
        </w:rPr>
        <w:t xml:space="preserve">GPIL - </w:t>
      </w:r>
      <w:proofErr w:type="spellStart"/>
      <w:r w:rsidRPr="00C6687F">
        <w:rPr>
          <w:rFonts w:eastAsia="Calibri"/>
          <w:iCs/>
          <w:kern w:val="14"/>
          <w:lang w:val="fr-CA"/>
        </w:rPr>
        <w:t>German</w:t>
      </w:r>
      <w:proofErr w:type="spellEnd"/>
      <w:r w:rsidRPr="00C6687F">
        <w:rPr>
          <w:rFonts w:eastAsia="Calibri"/>
          <w:iCs/>
          <w:kern w:val="14"/>
          <w:lang w:val="fr-CA"/>
        </w:rPr>
        <w:t xml:space="preserve"> Practice in International Law, 25 </w:t>
      </w:r>
      <w:proofErr w:type="spellStart"/>
      <w:r w:rsidRPr="00C6687F">
        <w:rPr>
          <w:rFonts w:eastAsia="Calibri"/>
          <w:iCs/>
          <w:kern w:val="14"/>
          <w:lang w:val="fr-CA"/>
        </w:rPr>
        <w:t>February</w:t>
      </w:r>
      <w:proofErr w:type="spellEnd"/>
      <w:r w:rsidRPr="00C6687F">
        <w:rPr>
          <w:rFonts w:eastAsia="Calibri"/>
          <w:i/>
          <w:kern w:val="14"/>
          <w:lang w:val="fr-CA"/>
        </w:rPr>
        <w:t xml:space="preserve"> </w:t>
      </w:r>
      <w:r w:rsidRPr="00C6687F">
        <w:rPr>
          <w:rFonts w:eastAsia="Calibri"/>
          <w:kern w:val="14"/>
          <w:lang w:val="fr-CA"/>
        </w:rPr>
        <w:t>2021</w:t>
      </w:r>
      <w:r w:rsidRPr="00F22925">
        <w:rPr>
          <w:rFonts w:eastAsia="Calibri"/>
          <w:kern w:val="14"/>
          <w:lang w:val="fr-CA"/>
        </w:rPr>
        <w:t>.</w:t>
      </w:r>
    </w:p>
    <w:p w14:paraId="71A8B8DA" w14:textId="77777777" w:rsidR="00014CBC" w:rsidRPr="00C17AA1" w:rsidRDefault="00014CBC" w:rsidP="00014CBC">
      <w:pPr>
        <w:pStyle w:val="SingleTxtG"/>
        <w:ind w:left="1701" w:hanging="567"/>
        <w:rPr>
          <w:rFonts w:eastAsia="Calibri"/>
          <w:kern w:val="14"/>
          <w:lang w:val="fr-FR"/>
        </w:rPr>
      </w:pPr>
      <w:proofErr w:type="spellStart"/>
      <w:r w:rsidRPr="00E91727">
        <w:rPr>
          <w:lang w:val="fr-FR"/>
        </w:rPr>
        <w:t>Treves</w:t>
      </w:r>
      <w:proofErr w:type="spellEnd"/>
      <w:r w:rsidRPr="00C17AA1">
        <w:rPr>
          <w:rFonts w:eastAsia="Calibri"/>
          <w:kern w:val="14"/>
          <w:lang w:val="fr-FR"/>
        </w:rPr>
        <w:t>, Tullio</w:t>
      </w:r>
      <w:r w:rsidRPr="00F22925">
        <w:rPr>
          <w:rFonts w:eastAsia="Calibri"/>
          <w:kern w:val="14"/>
          <w:lang w:val="fr-FR"/>
        </w:rPr>
        <w:t>.</w:t>
      </w:r>
      <w:r w:rsidRPr="00C17AA1">
        <w:rPr>
          <w:rFonts w:eastAsia="Calibri"/>
          <w:kern w:val="14"/>
          <w:lang w:val="fr-FR"/>
        </w:rPr>
        <w:t xml:space="preserve"> L</w:t>
      </w:r>
      <w:r>
        <w:rPr>
          <w:rFonts w:eastAsia="Calibri"/>
          <w:kern w:val="14"/>
          <w:lang w:val="fr-FR"/>
        </w:rPr>
        <w:t>’</w:t>
      </w:r>
      <w:r w:rsidRPr="00C17AA1">
        <w:rPr>
          <w:rFonts w:eastAsia="Calibri"/>
          <w:kern w:val="14"/>
          <w:lang w:val="fr-FR"/>
        </w:rPr>
        <w:t>entrée en vigueur de la Convention des Nations Unies sur le droit de la mer et les conditions de son universalisme</w:t>
      </w:r>
      <w:r w:rsidRPr="00F22925">
        <w:rPr>
          <w:rFonts w:eastAsia="Calibri"/>
          <w:kern w:val="14"/>
          <w:lang w:val="fr-FR"/>
        </w:rPr>
        <w:t>.</w:t>
      </w:r>
      <w:r w:rsidRPr="00C17AA1">
        <w:rPr>
          <w:rFonts w:eastAsia="Calibri"/>
          <w:kern w:val="14"/>
          <w:lang w:val="fr-FR"/>
        </w:rPr>
        <w:t xml:space="preserve"> </w:t>
      </w:r>
      <w:r w:rsidRPr="00C17AA1">
        <w:rPr>
          <w:rFonts w:eastAsia="Calibri"/>
          <w:i/>
          <w:iCs/>
          <w:kern w:val="14"/>
          <w:lang w:val="fr-FR"/>
        </w:rPr>
        <w:t>Annuaire français de droit international</w:t>
      </w:r>
      <w:r w:rsidRPr="00C17AA1">
        <w:rPr>
          <w:rFonts w:eastAsia="Calibri"/>
          <w:kern w:val="14"/>
          <w:lang w:val="fr-FR"/>
        </w:rPr>
        <w:t>, vol</w:t>
      </w:r>
      <w:r w:rsidRPr="00F22925">
        <w:rPr>
          <w:rFonts w:eastAsia="Calibri"/>
          <w:kern w:val="14"/>
          <w:lang w:val="fr-FR"/>
        </w:rPr>
        <w:t>.</w:t>
      </w:r>
      <w:r w:rsidRPr="00C17AA1">
        <w:rPr>
          <w:rFonts w:eastAsia="Calibri"/>
          <w:kern w:val="14"/>
          <w:lang w:val="fr-FR"/>
        </w:rPr>
        <w:t xml:space="preserve"> 39 (1993)</w:t>
      </w:r>
      <w:r w:rsidRPr="00F22925">
        <w:rPr>
          <w:rFonts w:eastAsia="Calibri"/>
          <w:kern w:val="14"/>
          <w:lang w:val="fr-FR"/>
        </w:rPr>
        <w:t>.</w:t>
      </w:r>
    </w:p>
    <w:p w14:paraId="70C88964" w14:textId="77777777" w:rsidR="00014CBC" w:rsidRPr="00C6687F" w:rsidRDefault="00014CBC" w:rsidP="00014CBC">
      <w:pPr>
        <w:pStyle w:val="SingleTxtG"/>
        <w:ind w:left="1701" w:hanging="567"/>
        <w:rPr>
          <w:rFonts w:eastAsia="Calibri"/>
          <w:kern w:val="14"/>
          <w:lang w:val="fr-CA"/>
        </w:rPr>
      </w:pPr>
      <w:r w:rsidRPr="00E91727">
        <w:rPr>
          <w:lang w:val="fr-FR"/>
        </w:rPr>
        <w:t>Vignes</w:t>
      </w:r>
      <w:r w:rsidRPr="00C17AA1">
        <w:rPr>
          <w:rFonts w:eastAsia="Calibri"/>
          <w:kern w:val="14"/>
          <w:lang w:val="fr-FR"/>
        </w:rPr>
        <w:t>, Daniel</w:t>
      </w:r>
      <w:r w:rsidRPr="00F22925">
        <w:rPr>
          <w:rFonts w:eastAsia="Calibri"/>
          <w:kern w:val="14"/>
          <w:lang w:val="fr-FR"/>
        </w:rPr>
        <w:t>.</w:t>
      </w:r>
      <w:r w:rsidRPr="00C17AA1">
        <w:rPr>
          <w:rFonts w:eastAsia="Calibri"/>
          <w:kern w:val="14"/>
          <w:lang w:val="fr-FR"/>
        </w:rPr>
        <w:t xml:space="preserve"> Une notion ambigüe : l</w:t>
      </w:r>
      <w:r>
        <w:rPr>
          <w:rFonts w:eastAsia="Calibri"/>
          <w:kern w:val="14"/>
          <w:lang w:val="fr-FR"/>
        </w:rPr>
        <w:t>’</w:t>
      </w:r>
      <w:r w:rsidRPr="00C17AA1">
        <w:rPr>
          <w:rFonts w:eastAsia="Calibri"/>
          <w:kern w:val="14"/>
          <w:lang w:val="fr-FR"/>
        </w:rPr>
        <w:t>application à titre provisoire des traités</w:t>
      </w:r>
      <w:r w:rsidRPr="00F22925">
        <w:rPr>
          <w:rFonts w:eastAsia="Calibri"/>
          <w:kern w:val="14"/>
          <w:lang w:val="fr-FR"/>
        </w:rPr>
        <w:t>.</w:t>
      </w:r>
      <w:r w:rsidRPr="00C17AA1">
        <w:rPr>
          <w:rFonts w:eastAsia="Calibri"/>
          <w:kern w:val="14"/>
          <w:lang w:val="fr-FR"/>
        </w:rPr>
        <w:t xml:space="preserve"> </w:t>
      </w:r>
      <w:r w:rsidRPr="00C6687F">
        <w:rPr>
          <w:rFonts w:eastAsia="Calibri"/>
          <w:i/>
          <w:iCs/>
          <w:kern w:val="14"/>
          <w:lang w:val="fr-CA"/>
        </w:rPr>
        <w:t>Annuaire français de droit international</w:t>
      </w:r>
      <w:r w:rsidRPr="00C6687F">
        <w:rPr>
          <w:rFonts w:eastAsia="Calibri"/>
          <w:kern w:val="14"/>
          <w:lang w:val="fr-CA"/>
        </w:rPr>
        <w:t>, vol</w:t>
      </w:r>
      <w:r w:rsidRPr="00F22925">
        <w:rPr>
          <w:rFonts w:eastAsia="Calibri"/>
          <w:kern w:val="14"/>
          <w:lang w:val="fr-CA"/>
        </w:rPr>
        <w:t>.</w:t>
      </w:r>
      <w:r w:rsidRPr="00C6687F">
        <w:rPr>
          <w:rFonts w:eastAsia="Calibri"/>
          <w:kern w:val="14"/>
          <w:lang w:val="fr-CA"/>
        </w:rPr>
        <w:t xml:space="preserve"> 18 (1972)</w:t>
      </w:r>
      <w:r w:rsidRPr="00F22925">
        <w:rPr>
          <w:rFonts w:eastAsia="Calibri"/>
          <w:kern w:val="14"/>
          <w:lang w:val="fr-CA"/>
        </w:rPr>
        <w:t>.</w:t>
      </w:r>
    </w:p>
    <w:p w14:paraId="584BA774" w14:textId="77777777" w:rsidR="00014CBC" w:rsidRPr="00C17AA1" w:rsidRDefault="00014CBC" w:rsidP="00014CBC">
      <w:pPr>
        <w:pStyle w:val="SingleTxtG"/>
        <w:ind w:left="1701" w:hanging="567"/>
        <w:rPr>
          <w:rFonts w:eastAsia="Calibri"/>
          <w:spacing w:val="4"/>
          <w:kern w:val="14"/>
          <w:lang w:val="en-US"/>
        </w:rPr>
      </w:pPr>
      <w:proofErr w:type="spellStart"/>
      <w:r w:rsidRPr="00E91727">
        <w:rPr>
          <w:lang w:val="fr-FR"/>
        </w:rPr>
        <w:t>Yihdego</w:t>
      </w:r>
      <w:proofErr w:type="spellEnd"/>
      <w:r w:rsidRPr="00C17AA1">
        <w:rPr>
          <w:rFonts w:eastAsia="Calibri"/>
          <w:kern w:val="14"/>
          <w:lang w:val="fr-FR"/>
        </w:rPr>
        <w:t xml:space="preserve">, </w:t>
      </w:r>
      <w:proofErr w:type="spellStart"/>
      <w:r w:rsidRPr="00C17AA1">
        <w:rPr>
          <w:rFonts w:eastAsia="Calibri"/>
          <w:kern w:val="14"/>
          <w:lang w:val="fr-FR"/>
        </w:rPr>
        <w:t>Zeray</w:t>
      </w:r>
      <w:proofErr w:type="spellEnd"/>
      <w:r w:rsidRPr="00F22925">
        <w:rPr>
          <w:rFonts w:eastAsia="Calibri"/>
          <w:kern w:val="14"/>
          <w:lang w:val="fr-FR"/>
        </w:rPr>
        <w:t>.</w:t>
      </w:r>
      <w:r w:rsidRPr="00C17AA1">
        <w:rPr>
          <w:rFonts w:eastAsia="Calibri"/>
          <w:kern w:val="14"/>
          <w:lang w:val="fr-FR"/>
        </w:rPr>
        <w:t xml:space="preserve"> Article </w:t>
      </w:r>
      <w:proofErr w:type="gramStart"/>
      <w:r w:rsidRPr="00C17AA1">
        <w:rPr>
          <w:rFonts w:eastAsia="Calibri"/>
          <w:kern w:val="14"/>
          <w:lang w:val="fr-FR"/>
        </w:rPr>
        <w:t>23:</w:t>
      </w:r>
      <w:proofErr w:type="gramEnd"/>
      <w:r w:rsidRPr="00C17AA1">
        <w:rPr>
          <w:rFonts w:eastAsia="Calibri"/>
          <w:kern w:val="14"/>
          <w:lang w:val="fr-FR"/>
        </w:rPr>
        <w:t xml:space="preserve"> </w:t>
      </w:r>
      <w:proofErr w:type="spellStart"/>
      <w:r w:rsidRPr="00C17AA1">
        <w:rPr>
          <w:rFonts w:eastAsia="Calibri"/>
          <w:kern w:val="14"/>
          <w:lang w:val="fr-FR"/>
        </w:rPr>
        <w:t>provisional</w:t>
      </w:r>
      <w:proofErr w:type="spellEnd"/>
      <w:r w:rsidRPr="00C17AA1">
        <w:rPr>
          <w:rFonts w:eastAsia="Calibri"/>
          <w:kern w:val="14"/>
          <w:lang w:val="fr-FR"/>
        </w:rPr>
        <w:t xml:space="preserve"> application</w:t>
      </w:r>
      <w:r w:rsidRPr="00F22925">
        <w:rPr>
          <w:rFonts w:eastAsia="Calibri"/>
          <w:kern w:val="14"/>
          <w:lang w:val="fr-FR"/>
        </w:rPr>
        <w:t>.</w:t>
      </w:r>
      <w:r w:rsidRPr="00C17AA1">
        <w:rPr>
          <w:rFonts w:eastAsia="Calibri"/>
          <w:kern w:val="14"/>
          <w:lang w:val="fr-FR"/>
        </w:rPr>
        <w:t xml:space="preserve"> </w:t>
      </w:r>
      <w:r w:rsidRPr="00C17AA1">
        <w:rPr>
          <w:rFonts w:eastAsia="Calibri"/>
          <w:kern w:val="14"/>
          <w:lang w:val="en-US"/>
        </w:rPr>
        <w:t>In Clare da Silva and Brian Wood, eds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Weapons and International Law: The Arms Trade Treaty</w:t>
      </w:r>
      <w:r w:rsidRPr="00F22925">
        <w:rPr>
          <w:rFonts w:eastAsia="Calibri"/>
          <w:kern w:val="14"/>
          <w:lang w:val="en-US"/>
        </w:rPr>
        <w:t>.</w:t>
      </w:r>
      <w:r w:rsidRPr="00C17AA1">
        <w:rPr>
          <w:rFonts w:eastAsia="Calibri"/>
          <w:kern w:val="14"/>
          <w:lang w:val="en-US"/>
        </w:rPr>
        <w:t xml:space="preserve"> Brussels: </w:t>
      </w:r>
      <w:proofErr w:type="spellStart"/>
      <w:r w:rsidRPr="00C17AA1">
        <w:rPr>
          <w:rFonts w:eastAsia="Calibri"/>
          <w:kern w:val="14"/>
          <w:lang w:val="en-US"/>
        </w:rPr>
        <w:t>Larcier</w:t>
      </w:r>
      <w:proofErr w:type="spellEnd"/>
      <w:r w:rsidRPr="00C17AA1">
        <w:rPr>
          <w:rFonts w:eastAsia="Calibri"/>
          <w:kern w:val="14"/>
          <w:lang w:val="en-US"/>
        </w:rPr>
        <w:t>, 2015</w:t>
      </w:r>
      <w:r w:rsidRPr="00F22925">
        <w:rPr>
          <w:rFonts w:eastAsia="Calibri"/>
          <w:kern w:val="14"/>
          <w:lang w:val="en-US"/>
        </w:rPr>
        <w:t>.</w:t>
      </w:r>
    </w:p>
    <w:p w14:paraId="6963FD28" w14:textId="77777777" w:rsidR="00014CBC" w:rsidRPr="00C17AA1" w:rsidRDefault="00014CBC" w:rsidP="00014CBC">
      <w:pPr>
        <w:pStyle w:val="H1G"/>
        <w:rPr>
          <w:lang w:val="en-US"/>
        </w:rPr>
      </w:pPr>
      <w:r w:rsidRPr="00C17AA1">
        <w:rPr>
          <w:lang w:val="en-US"/>
        </w:rPr>
        <w:tab/>
        <w:t>C</w:t>
      </w:r>
      <w:r w:rsidRPr="00F22925">
        <w:rPr>
          <w:lang w:val="en-US"/>
        </w:rPr>
        <w:t>.</w:t>
      </w:r>
      <w:r w:rsidRPr="00C17AA1">
        <w:rPr>
          <w:lang w:val="en-US"/>
        </w:rPr>
        <w:tab/>
        <w:t>Jurisprudence</w:t>
      </w:r>
    </w:p>
    <w:p w14:paraId="3BF3D693"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General </w:t>
      </w:r>
      <w:r w:rsidRPr="00E91727">
        <w:rPr>
          <w:rFonts w:eastAsia="Calibri"/>
          <w:kern w:val="14"/>
          <w:lang w:val="en-US"/>
        </w:rPr>
        <w:t>Agreement</w:t>
      </w:r>
      <w:r w:rsidRPr="00C17AA1">
        <w:rPr>
          <w:rFonts w:eastAsia="Calibri"/>
          <w:kern w:val="14"/>
          <w:lang w:val="en-US"/>
        </w:rPr>
        <w:t xml:space="preserve"> on Tariffs and Trade</w:t>
      </w:r>
      <w:r w:rsidRPr="00F22925">
        <w:rPr>
          <w:rFonts w:eastAsia="Calibri"/>
          <w:kern w:val="14"/>
          <w:lang w:val="en-US"/>
        </w:rPr>
        <w:t>.</w:t>
      </w:r>
      <w:r w:rsidRPr="00C17AA1">
        <w:rPr>
          <w:rFonts w:eastAsia="Calibri"/>
          <w:kern w:val="14"/>
          <w:lang w:val="en-US"/>
        </w:rPr>
        <w:t xml:space="preserve"> Canada — Import, </w:t>
      </w:r>
      <w:proofErr w:type="gramStart"/>
      <w:r w:rsidRPr="00C17AA1">
        <w:rPr>
          <w:rFonts w:eastAsia="Calibri"/>
          <w:kern w:val="14"/>
          <w:lang w:val="en-US"/>
        </w:rPr>
        <w:t>distribution</w:t>
      </w:r>
      <w:proofErr w:type="gramEnd"/>
      <w:r w:rsidRPr="00C17AA1">
        <w:rPr>
          <w:rFonts w:eastAsia="Calibri"/>
          <w:kern w:val="14"/>
          <w:lang w:val="en-US"/>
        </w:rPr>
        <w:t xml:space="preserve"> and sale of certain alcoholic drinks by provincial marketing agencies, Report of the Panel, DS17/R, adopted on 18 February 1992</w:t>
      </w:r>
      <w:r w:rsidRPr="00F22925">
        <w:rPr>
          <w:rFonts w:eastAsia="Calibri"/>
          <w:kern w:val="14"/>
          <w:lang w:val="en-US"/>
        </w:rPr>
        <w:t>.</w:t>
      </w:r>
    </w:p>
    <w:p w14:paraId="147BA696"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____</w:t>
      </w:r>
      <w:r w:rsidRPr="00F22925">
        <w:rPr>
          <w:rFonts w:eastAsia="Calibri"/>
          <w:kern w:val="14"/>
          <w:lang w:val="en-US"/>
        </w:rPr>
        <w:t>.</w:t>
      </w:r>
      <w:r w:rsidRPr="00C17AA1">
        <w:rPr>
          <w:rFonts w:eastAsia="Calibri"/>
          <w:kern w:val="14"/>
          <w:lang w:val="en-US"/>
        </w:rPr>
        <w:t xml:space="preserve"> Report of the Panel, Norway — Restrictions on imports of apples and pears, L/6474, adopted on 22 June 1989</w:t>
      </w:r>
      <w:r w:rsidRPr="00F22925">
        <w:rPr>
          <w:rFonts w:eastAsia="Calibri"/>
          <w:kern w:val="14"/>
          <w:lang w:val="en-US"/>
        </w:rPr>
        <w:t>.</w:t>
      </w:r>
    </w:p>
    <w:p w14:paraId="66B29285"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____</w:t>
      </w:r>
      <w:r w:rsidRPr="00F22925">
        <w:rPr>
          <w:rFonts w:eastAsia="Calibri"/>
          <w:kern w:val="14"/>
          <w:lang w:val="en-US"/>
        </w:rPr>
        <w:t>.</w:t>
      </w:r>
      <w:r w:rsidRPr="00C17AA1">
        <w:rPr>
          <w:rFonts w:eastAsia="Calibri"/>
          <w:kern w:val="14"/>
          <w:lang w:val="en-US"/>
        </w:rPr>
        <w:t xml:space="preserve"> Report of the Panel, Thailand — Restrictions on importation of and internal taxes on cigarettes, DS10/R, adopted on 7 November 1990</w:t>
      </w:r>
      <w:r w:rsidRPr="00F22925">
        <w:rPr>
          <w:rFonts w:eastAsia="Calibri"/>
          <w:kern w:val="14"/>
          <w:lang w:val="en-US"/>
        </w:rPr>
        <w:t>.</w:t>
      </w:r>
    </w:p>
    <w:p w14:paraId="6BABE3D6" w14:textId="77777777" w:rsidR="00014CBC" w:rsidRDefault="00014CBC" w:rsidP="00014CBC">
      <w:pPr>
        <w:pStyle w:val="SingleTxtG"/>
        <w:ind w:left="1701" w:hanging="567"/>
        <w:rPr>
          <w:rFonts w:eastAsia="Calibri"/>
          <w:kern w:val="14"/>
          <w:lang w:val="en-US"/>
        </w:rPr>
      </w:pPr>
      <w:r w:rsidRPr="00C17AA1">
        <w:rPr>
          <w:rFonts w:eastAsia="Calibri"/>
          <w:kern w:val="14"/>
          <w:lang w:val="en-US"/>
        </w:rPr>
        <w:t>____</w:t>
      </w:r>
      <w:r w:rsidRPr="00F22925">
        <w:rPr>
          <w:rFonts w:eastAsia="Calibri"/>
          <w:kern w:val="14"/>
          <w:lang w:val="en-US"/>
        </w:rPr>
        <w:t>.</w:t>
      </w:r>
      <w:r w:rsidRPr="00C17AA1">
        <w:rPr>
          <w:rFonts w:eastAsia="Calibri"/>
          <w:kern w:val="14"/>
          <w:lang w:val="en-US"/>
        </w:rPr>
        <w:t xml:space="preserve"> Report of the Panel, United States — Measures affecting alcoholic and malt beverages, DS23/R, adopted on 19 June 1992</w:t>
      </w:r>
      <w:r w:rsidRPr="00F22925">
        <w:rPr>
          <w:rFonts w:eastAsia="Calibri"/>
          <w:kern w:val="14"/>
          <w:lang w:val="en-US"/>
        </w:rPr>
        <w:t>.</w:t>
      </w:r>
    </w:p>
    <w:p w14:paraId="3C507BAF" w14:textId="77777777" w:rsidR="00014CBC" w:rsidRDefault="00014CBC" w:rsidP="00014CBC">
      <w:pPr>
        <w:pStyle w:val="SingleTxtG"/>
        <w:ind w:left="1701" w:hanging="567"/>
        <w:rPr>
          <w:rFonts w:eastAsia="Calibri"/>
          <w:kern w:val="14"/>
          <w:lang w:val="en-US"/>
        </w:rPr>
      </w:pPr>
      <w:r w:rsidRPr="00E91727">
        <w:rPr>
          <w:rFonts w:eastAsia="Calibri"/>
          <w:kern w:val="14"/>
          <w:lang w:val="en-US"/>
        </w:rPr>
        <w:t>Netherlands</w:t>
      </w:r>
      <w:r w:rsidRPr="00C17AA1">
        <w:rPr>
          <w:rFonts w:eastAsia="Calibri"/>
          <w:kern w:val="14"/>
          <w:lang w:val="en-US"/>
        </w:rPr>
        <w:t>, The Hague District Court, Cases Nos</w:t>
      </w:r>
      <w:r w:rsidRPr="00F22925">
        <w:rPr>
          <w:rFonts w:eastAsia="Calibri"/>
          <w:kern w:val="14"/>
          <w:lang w:val="en-US"/>
        </w:rPr>
        <w:t>.</w:t>
      </w:r>
      <w:r w:rsidRPr="00C17AA1">
        <w:rPr>
          <w:rFonts w:eastAsia="Calibri"/>
          <w:kern w:val="14"/>
          <w:lang w:val="en-US"/>
        </w:rPr>
        <w:t xml:space="preserve"> </w:t>
      </w:r>
      <w:r w:rsidRPr="00C17AA1">
        <w:rPr>
          <w:rFonts w:eastAsia="Calibri"/>
          <w:kern w:val="14"/>
          <w:lang w:val="pl-PL"/>
        </w:rPr>
        <w:t xml:space="preserve">C/09/477160/HA ZA 15-1; C/09/477162/HA ZA 15-2; C/09/481619/HA ZA 15-112, </w:t>
      </w:r>
      <w:proofErr w:type="spellStart"/>
      <w:r w:rsidRPr="00C17AA1">
        <w:rPr>
          <w:rFonts w:eastAsia="Calibri"/>
          <w:kern w:val="14"/>
          <w:lang w:val="pl-PL"/>
        </w:rPr>
        <w:t>Judgment</w:t>
      </w:r>
      <w:proofErr w:type="spellEnd"/>
      <w:r w:rsidRPr="00C17AA1">
        <w:rPr>
          <w:rFonts w:eastAsia="Calibri"/>
          <w:kern w:val="14"/>
          <w:lang w:val="pl-PL"/>
        </w:rPr>
        <w:t xml:space="preserve">, 20 </w:t>
      </w:r>
      <w:proofErr w:type="spellStart"/>
      <w:r w:rsidRPr="00C17AA1">
        <w:rPr>
          <w:rFonts w:eastAsia="Calibri"/>
          <w:kern w:val="14"/>
          <w:lang w:val="pl-PL"/>
        </w:rPr>
        <w:t>April</w:t>
      </w:r>
      <w:proofErr w:type="spellEnd"/>
      <w:r w:rsidRPr="00C17AA1">
        <w:rPr>
          <w:rFonts w:eastAsia="Calibri"/>
          <w:kern w:val="14"/>
          <w:lang w:val="pl-PL"/>
        </w:rPr>
        <w:t xml:space="preserve"> 2016</w:t>
      </w:r>
      <w:r w:rsidRPr="00F22925">
        <w:rPr>
          <w:rFonts w:eastAsia="Calibri"/>
          <w:kern w:val="14"/>
          <w:lang w:val="pl-PL"/>
        </w:rPr>
        <w:t>.</w:t>
      </w:r>
      <w:r w:rsidRPr="00C17AA1">
        <w:rPr>
          <w:rFonts w:eastAsia="Calibri"/>
          <w:kern w:val="14"/>
          <w:lang w:val="pl-PL"/>
        </w:rPr>
        <w:t xml:space="preserve"> </w:t>
      </w:r>
      <w:r w:rsidRPr="00C17AA1">
        <w:rPr>
          <w:rFonts w:eastAsia="Calibri"/>
          <w:kern w:val="14"/>
          <w:lang w:val="en-US"/>
        </w:rPr>
        <w:t xml:space="preserve">Available at </w:t>
      </w:r>
      <w:hyperlink r:id="rId9" w:history="1">
        <w:r w:rsidRPr="001F7160">
          <w:rPr>
            <w:rFonts w:eastAsia="Calibri"/>
            <w:color w:val="0000FF"/>
            <w:kern w:val="14"/>
            <w:lang w:val="en-US"/>
          </w:rPr>
          <w:t>http://uitspraken</w:t>
        </w:r>
        <w:r w:rsidRPr="00F22925">
          <w:rPr>
            <w:rFonts w:eastAsia="Calibri"/>
            <w:color w:val="0000FF"/>
            <w:kern w:val="14"/>
            <w:lang w:val="en-US"/>
          </w:rPr>
          <w:t>.</w:t>
        </w:r>
        <w:r w:rsidRPr="001F7160">
          <w:rPr>
            <w:rFonts w:eastAsia="Calibri"/>
            <w:color w:val="0000FF"/>
            <w:kern w:val="14"/>
            <w:lang w:val="en-US"/>
          </w:rPr>
          <w:t>rechtspraak</w:t>
        </w:r>
        <w:r w:rsidRPr="00F22925">
          <w:rPr>
            <w:rFonts w:eastAsia="Calibri"/>
            <w:color w:val="0000FF"/>
            <w:kern w:val="14"/>
            <w:lang w:val="en-US"/>
          </w:rPr>
          <w:t>.</w:t>
        </w:r>
        <w:r w:rsidRPr="001F7160">
          <w:rPr>
            <w:rFonts w:eastAsia="Calibri"/>
            <w:color w:val="0000FF"/>
            <w:kern w:val="14"/>
            <w:lang w:val="en-US"/>
          </w:rPr>
          <w:t>nl/inziendocument?id=ECLI:NL:RBDHA: 2016:4230</w:t>
        </w:r>
      </w:hyperlink>
      <w:r w:rsidRPr="00F22925">
        <w:rPr>
          <w:rFonts w:eastAsia="Calibri"/>
          <w:kern w:val="14"/>
          <w:lang w:val="en-US"/>
        </w:rPr>
        <w:t>.</w:t>
      </w:r>
      <w:r w:rsidRPr="00C17AA1">
        <w:rPr>
          <w:rFonts w:eastAsia="Calibri"/>
          <w:kern w:val="14"/>
          <w:lang w:val="en-US"/>
        </w:rPr>
        <w:t xml:space="preserve"> </w:t>
      </w:r>
    </w:p>
    <w:p w14:paraId="76A5B4A0" w14:textId="77777777" w:rsidR="00014CBC" w:rsidRPr="00C17AA1" w:rsidRDefault="00014CBC" w:rsidP="00014CBC">
      <w:pPr>
        <w:pStyle w:val="SingleTxtG"/>
        <w:ind w:left="1701" w:hanging="567"/>
        <w:rPr>
          <w:rFonts w:eastAsia="Calibri"/>
          <w:kern w:val="14"/>
          <w:highlight w:val="yellow"/>
          <w:lang w:val="en-US"/>
        </w:rPr>
      </w:pPr>
      <w:r w:rsidRPr="00F73568">
        <w:rPr>
          <w:lang w:val="en-US"/>
        </w:rPr>
        <w:lastRenderedPageBreak/>
        <w:t>Netherlands, The Hague Appeals Court, Case No</w:t>
      </w:r>
      <w:r w:rsidRPr="00F22925">
        <w:rPr>
          <w:lang w:val="en-US"/>
        </w:rPr>
        <w:t>.</w:t>
      </w:r>
      <w:r w:rsidRPr="00F73568">
        <w:rPr>
          <w:lang w:val="en-US"/>
        </w:rPr>
        <w:t xml:space="preserve"> 200</w:t>
      </w:r>
      <w:r w:rsidRPr="00F22925">
        <w:rPr>
          <w:lang w:val="en-US"/>
        </w:rPr>
        <w:t>.</w:t>
      </w:r>
      <w:r w:rsidRPr="00F73568">
        <w:rPr>
          <w:lang w:val="en-US"/>
        </w:rPr>
        <w:t>197</w:t>
      </w:r>
      <w:r w:rsidRPr="00F22925">
        <w:rPr>
          <w:lang w:val="en-US"/>
        </w:rPr>
        <w:t>.</w:t>
      </w:r>
      <w:r w:rsidRPr="00F73568">
        <w:rPr>
          <w:lang w:val="en-US"/>
        </w:rPr>
        <w:t>079/01, Judgment, 18 February 2020</w:t>
      </w:r>
      <w:r w:rsidRPr="00F22925">
        <w:rPr>
          <w:lang w:val="en-US"/>
        </w:rPr>
        <w:t>.</w:t>
      </w:r>
      <w:r w:rsidRPr="00F73568">
        <w:rPr>
          <w:lang w:val="en-US"/>
        </w:rPr>
        <w:t xml:space="preserve"> Available at </w:t>
      </w:r>
      <w:hyperlink r:id="rId10" w:history="1">
        <w:r w:rsidRPr="001F7160">
          <w:rPr>
            <w:rStyle w:val="Hyperlink"/>
            <w:lang w:val="en-US"/>
          </w:rPr>
          <w:t>https://uitspraken</w:t>
        </w:r>
        <w:r w:rsidRPr="00F22925">
          <w:rPr>
            <w:rStyle w:val="Hyperlink"/>
            <w:lang w:val="en-US"/>
          </w:rPr>
          <w:t>.</w:t>
        </w:r>
        <w:r w:rsidRPr="001F7160">
          <w:rPr>
            <w:rStyle w:val="Hyperlink"/>
            <w:lang w:val="en-US"/>
          </w:rPr>
          <w:t>rechtspraak</w:t>
        </w:r>
        <w:r w:rsidRPr="00F22925">
          <w:rPr>
            <w:rStyle w:val="Hyperlink"/>
            <w:lang w:val="en-US"/>
          </w:rPr>
          <w:t>.</w:t>
        </w:r>
        <w:r w:rsidRPr="001F7160">
          <w:rPr>
            <w:rStyle w:val="Hyperlink"/>
            <w:lang w:val="en-US"/>
          </w:rPr>
          <w:t>nl/inziendocument?id=ECLI:NL:</w:t>
        </w:r>
        <w:r>
          <w:rPr>
            <w:rStyle w:val="Hyperlink"/>
            <w:lang w:val="en-US"/>
          </w:rPr>
          <w:t xml:space="preserve"> </w:t>
        </w:r>
        <w:r w:rsidRPr="001F7160">
          <w:rPr>
            <w:rStyle w:val="Hyperlink"/>
            <w:lang w:val="en-US"/>
          </w:rPr>
          <w:t>GHDHA:2020:234</w:t>
        </w:r>
      </w:hyperlink>
      <w:r w:rsidRPr="00F22925">
        <w:rPr>
          <w:lang w:val="en-US"/>
        </w:rPr>
        <w:t>.</w:t>
      </w:r>
    </w:p>
    <w:p w14:paraId="4E0F45FA"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International </w:t>
      </w:r>
      <w:r w:rsidRPr="0072387F">
        <w:rPr>
          <w:rFonts w:eastAsia="Calibri"/>
          <w:kern w:val="14"/>
          <w:lang w:val="en-US"/>
        </w:rPr>
        <w:t>Centre</w:t>
      </w:r>
      <w:r w:rsidRPr="00C17AA1">
        <w:rPr>
          <w:rFonts w:eastAsia="Calibri"/>
          <w:kern w:val="14"/>
          <w:lang w:val="en-US"/>
        </w:rPr>
        <w:t xml:space="preserve"> for Settlement of Investment Disputes,</w:t>
      </w:r>
      <w:r w:rsidRPr="00C17AA1">
        <w:rPr>
          <w:rFonts w:eastAsia="Calibri"/>
          <w:i/>
          <w:iCs/>
          <w:kern w:val="14"/>
          <w:lang w:val="en-US"/>
        </w:rPr>
        <w:t xml:space="preserve"> </w:t>
      </w:r>
      <w:proofErr w:type="spellStart"/>
      <w:r w:rsidRPr="00C17AA1">
        <w:rPr>
          <w:rFonts w:eastAsia="Calibri"/>
          <w:i/>
          <w:iCs/>
          <w:kern w:val="14"/>
          <w:lang w:val="en-US"/>
        </w:rPr>
        <w:t>Ioannis</w:t>
      </w:r>
      <w:proofErr w:type="spellEnd"/>
      <w:r w:rsidRPr="00C17AA1">
        <w:rPr>
          <w:rFonts w:eastAsia="Calibri"/>
          <w:i/>
          <w:iCs/>
          <w:kern w:val="14"/>
          <w:lang w:val="en-US"/>
        </w:rPr>
        <w:t xml:space="preserve"> </w:t>
      </w:r>
      <w:proofErr w:type="spellStart"/>
      <w:r w:rsidRPr="00C17AA1">
        <w:rPr>
          <w:rFonts w:eastAsia="Calibri"/>
          <w:i/>
          <w:iCs/>
          <w:kern w:val="14"/>
          <w:lang w:val="en-US"/>
        </w:rPr>
        <w:t>Kardassopoulos</w:t>
      </w:r>
      <w:proofErr w:type="spellEnd"/>
      <w:r w:rsidRPr="00C17AA1">
        <w:rPr>
          <w:rFonts w:eastAsia="Calibri"/>
          <w:i/>
          <w:iCs/>
          <w:kern w:val="14"/>
          <w:lang w:val="en-US"/>
        </w:rPr>
        <w:t xml:space="preserve"> v</w:t>
      </w:r>
      <w:r w:rsidRPr="00F22925">
        <w:rPr>
          <w:rFonts w:eastAsia="Calibri"/>
          <w:i/>
          <w:iCs/>
          <w:kern w:val="14"/>
          <w:lang w:val="en-US"/>
        </w:rPr>
        <w:t>.</w:t>
      </w:r>
      <w:r>
        <w:rPr>
          <w:rFonts w:eastAsia="Calibri"/>
          <w:i/>
          <w:iCs/>
          <w:kern w:val="14"/>
          <w:lang w:val="en-US"/>
        </w:rPr>
        <w:t> </w:t>
      </w:r>
      <w:r w:rsidRPr="00C17AA1">
        <w:rPr>
          <w:rFonts w:eastAsia="Calibri"/>
          <w:i/>
          <w:iCs/>
          <w:kern w:val="14"/>
          <w:lang w:val="en-US"/>
        </w:rPr>
        <w:t>Georgia</w:t>
      </w:r>
      <w:r w:rsidRPr="00C17AA1">
        <w:rPr>
          <w:rFonts w:eastAsia="Calibri"/>
          <w:kern w:val="14"/>
          <w:lang w:val="en-US"/>
        </w:rPr>
        <w:t>, ICSID Case No</w:t>
      </w:r>
      <w:r w:rsidRPr="00F22925">
        <w:rPr>
          <w:rFonts w:eastAsia="Calibri"/>
          <w:kern w:val="14"/>
          <w:lang w:val="en-US"/>
        </w:rPr>
        <w:t>.</w:t>
      </w:r>
      <w:r w:rsidRPr="00C17AA1">
        <w:rPr>
          <w:rFonts w:eastAsia="Calibri"/>
          <w:kern w:val="14"/>
          <w:lang w:val="en-US"/>
        </w:rPr>
        <w:t xml:space="preserve"> ARB/05/18, decision on jurisdiction, 6 July 2007</w:t>
      </w:r>
      <w:r w:rsidRPr="00F22925">
        <w:rPr>
          <w:rFonts w:eastAsia="Calibri"/>
          <w:kern w:val="14"/>
          <w:lang w:val="en-US"/>
        </w:rPr>
        <w:t>.</w:t>
      </w:r>
    </w:p>
    <w:p w14:paraId="3AFC585E" w14:textId="77777777" w:rsidR="00014CBC" w:rsidRPr="0083304B" w:rsidRDefault="00014CBC" w:rsidP="00014CBC">
      <w:pPr>
        <w:pStyle w:val="SingleTxtG"/>
        <w:ind w:left="1701" w:hanging="567"/>
        <w:rPr>
          <w:rFonts w:eastAsia="Calibri"/>
          <w:kern w:val="14"/>
          <w:lang w:val="en-US"/>
        </w:rPr>
      </w:pPr>
      <w:r w:rsidRPr="00C17AA1">
        <w:rPr>
          <w:rFonts w:eastAsia="Calibri"/>
          <w:kern w:val="14"/>
          <w:lang w:val="en-US"/>
        </w:rPr>
        <w:t xml:space="preserve">Permanent Court of Arbitration, </w:t>
      </w:r>
      <w:r w:rsidRPr="00C17AA1">
        <w:rPr>
          <w:rFonts w:eastAsia="Calibri"/>
          <w:i/>
          <w:iCs/>
          <w:kern w:val="14"/>
          <w:lang w:val="en-US"/>
        </w:rPr>
        <w:t>Yukos Universal Limited (Isle of Man) v</w:t>
      </w:r>
      <w:r w:rsidRPr="00F22925">
        <w:rPr>
          <w:rFonts w:eastAsia="Calibri"/>
          <w:i/>
          <w:iCs/>
          <w:kern w:val="14"/>
          <w:lang w:val="en-US"/>
        </w:rPr>
        <w:t>.</w:t>
      </w:r>
      <w:r w:rsidRPr="00C17AA1">
        <w:rPr>
          <w:rFonts w:eastAsia="Calibri"/>
          <w:i/>
          <w:iCs/>
          <w:kern w:val="14"/>
          <w:lang w:val="en-US"/>
        </w:rPr>
        <w:t xml:space="preserve"> the Russian Federation</w:t>
      </w:r>
      <w:r w:rsidRPr="00C17AA1">
        <w:rPr>
          <w:rFonts w:eastAsia="Calibri"/>
          <w:kern w:val="14"/>
          <w:lang w:val="en-US"/>
        </w:rPr>
        <w:t>, case No</w:t>
      </w:r>
      <w:r w:rsidRPr="00F22925">
        <w:rPr>
          <w:rFonts w:eastAsia="Calibri"/>
          <w:kern w:val="14"/>
          <w:lang w:val="en-US"/>
        </w:rPr>
        <w:t>.</w:t>
      </w:r>
      <w:r w:rsidRPr="00C17AA1">
        <w:rPr>
          <w:rFonts w:eastAsia="Calibri"/>
          <w:kern w:val="14"/>
          <w:lang w:val="en-US"/>
        </w:rPr>
        <w:t xml:space="preserve"> </w:t>
      </w:r>
      <w:r w:rsidRPr="0083304B">
        <w:rPr>
          <w:rFonts w:eastAsia="Calibri"/>
          <w:kern w:val="14"/>
          <w:lang w:val="en-US"/>
        </w:rPr>
        <w:t>AA 227, Interim Award on Jurisdiction and Admissibility, 30 November 2009</w:t>
      </w:r>
      <w:r w:rsidRPr="00F22925">
        <w:rPr>
          <w:rFonts w:eastAsia="Calibri"/>
          <w:kern w:val="14"/>
          <w:lang w:val="en-US"/>
        </w:rPr>
        <w:t>.</w:t>
      </w:r>
    </w:p>
    <w:p w14:paraId="7DD6F219" w14:textId="77777777" w:rsidR="00014CBC" w:rsidRPr="00C6687F" w:rsidRDefault="00014CBC" w:rsidP="00014CBC">
      <w:pPr>
        <w:pStyle w:val="SingleTxtG"/>
        <w:ind w:left="1701" w:hanging="567"/>
        <w:rPr>
          <w:rFonts w:eastAsia="Calibri"/>
          <w:spacing w:val="4"/>
          <w:kern w:val="14"/>
          <w:lang w:val="fr-CA"/>
        </w:rPr>
      </w:pPr>
      <w:r w:rsidRPr="00F73568">
        <w:rPr>
          <w:lang w:val="en-US"/>
        </w:rPr>
        <w:t xml:space="preserve">Permanent Court of Arbitration, </w:t>
      </w:r>
      <w:r w:rsidRPr="00F73568">
        <w:rPr>
          <w:i/>
          <w:iCs/>
          <w:lang w:val="en-US"/>
        </w:rPr>
        <w:t>Yukos Universal Limited (Isle of Man) v</w:t>
      </w:r>
      <w:r w:rsidRPr="00F22925">
        <w:rPr>
          <w:i/>
          <w:iCs/>
          <w:lang w:val="en-US"/>
        </w:rPr>
        <w:t>.</w:t>
      </w:r>
      <w:r w:rsidRPr="00F73568">
        <w:rPr>
          <w:i/>
          <w:iCs/>
          <w:lang w:val="en-US"/>
        </w:rPr>
        <w:t xml:space="preserve"> the Russian Federation</w:t>
      </w:r>
      <w:r w:rsidRPr="00F73568">
        <w:rPr>
          <w:lang w:val="en-US"/>
        </w:rPr>
        <w:t>, case No</w:t>
      </w:r>
      <w:r w:rsidRPr="00F22925">
        <w:rPr>
          <w:lang w:val="en-US"/>
        </w:rPr>
        <w:t>.</w:t>
      </w:r>
      <w:r w:rsidRPr="00F73568">
        <w:rPr>
          <w:lang w:val="en-US"/>
        </w:rPr>
        <w:t xml:space="preserve"> </w:t>
      </w:r>
      <w:r w:rsidRPr="0083304B">
        <w:rPr>
          <w:lang w:val="fr-CA"/>
        </w:rPr>
        <w:t xml:space="preserve">AA 227, Final </w:t>
      </w:r>
      <w:proofErr w:type="spellStart"/>
      <w:r w:rsidRPr="0083304B">
        <w:rPr>
          <w:lang w:val="fr-CA"/>
        </w:rPr>
        <w:t>Award</w:t>
      </w:r>
      <w:proofErr w:type="spellEnd"/>
      <w:r w:rsidRPr="0083304B">
        <w:rPr>
          <w:lang w:val="fr-CA"/>
        </w:rPr>
        <w:t>, 18 July 2014</w:t>
      </w:r>
      <w:r w:rsidRPr="00F22925">
        <w:rPr>
          <w:lang w:val="fr-CA"/>
        </w:rPr>
        <w:t>.</w:t>
      </w:r>
    </w:p>
    <w:p w14:paraId="3A12B520" w14:textId="77777777" w:rsidR="00014CBC" w:rsidRPr="00C17AA1" w:rsidRDefault="00014CBC" w:rsidP="00014CBC">
      <w:pPr>
        <w:pStyle w:val="H1G"/>
        <w:rPr>
          <w:lang w:val="fr-FR"/>
        </w:rPr>
      </w:pPr>
      <w:r w:rsidRPr="00C17AA1">
        <w:rPr>
          <w:lang w:val="fr-FR"/>
        </w:rPr>
        <w:tab/>
        <w:t>D</w:t>
      </w:r>
      <w:r w:rsidRPr="00F22925">
        <w:rPr>
          <w:lang w:val="fr-FR"/>
        </w:rPr>
        <w:t>.</w:t>
      </w:r>
      <w:r w:rsidRPr="00C17AA1">
        <w:rPr>
          <w:lang w:val="fr-FR"/>
        </w:rPr>
        <w:tab/>
        <w:t>Résolutions et décisions des organisations internationales</w:t>
      </w:r>
    </w:p>
    <w:p w14:paraId="7ABB52D4" w14:textId="77777777" w:rsidR="00014CBC" w:rsidRPr="00C17AA1" w:rsidRDefault="00014CBC" w:rsidP="00014CBC">
      <w:pPr>
        <w:pStyle w:val="SingleTxtG"/>
        <w:rPr>
          <w:rFonts w:eastAsia="Calibri"/>
          <w:kern w:val="14"/>
          <w:lang w:val="en-US"/>
        </w:rPr>
      </w:pPr>
      <w:r w:rsidRPr="00C17AA1">
        <w:rPr>
          <w:rFonts w:eastAsia="Calibri"/>
          <w:kern w:val="14"/>
          <w:lang w:val="en-US"/>
        </w:rPr>
        <w:t>Comprehensive Nuclear Test-Ban Treaty, Meeting of States Signatories, Resolution establishing the Preparatory Commission for the Comprehensive Nuclear-Test-Ban Treaty Organization</w:t>
      </w:r>
      <w:r w:rsidRPr="00F22925">
        <w:rPr>
          <w:rFonts w:eastAsia="Calibri"/>
          <w:kern w:val="14"/>
          <w:lang w:val="en-US"/>
        </w:rPr>
        <w:t>.</w:t>
      </w:r>
      <w:r w:rsidRPr="00C17AA1">
        <w:rPr>
          <w:rFonts w:eastAsia="Calibri"/>
          <w:kern w:val="14"/>
          <w:lang w:val="en-US"/>
        </w:rPr>
        <w:t xml:space="preserve"> CTBT/MSS/RES/1, adopted on 19 November 1996</w:t>
      </w:r>
      <w:r w:rsidRPr="00F22925">
        <w:rPr>
          <w:rFonts w:eastAsia="Calibri"/>
          <w:kern w:val="14"/>
          <w:lang w:val="en-US"/>
        </w:rPr>
        <w:t>.</w:t>
      </w:r>
    </w:p>
    <w:p w14:paraId="7F6596C8" w14:textId="77777777" w:rsidR="00014CBC" w:rsidRPr="00C17AA1" w:rsidRDefault="00014CBC" w:rsidP="00014CBC">
      <w:pPr>
        <w:pStyle w:val="SingleTxtG"/>
        <w:keepNext/>
        <w:keepLines/>
        <w:rPr>
          <w:rFonts w:eastAsia="Calibri"/>
          <w:kern w:val="14"/>
          <w:lang w:val="en-US"/>
        </w:rPr>
      </w:pPr>
      <w:r w:rsidRPr="00C17AA1">
        <w:rPr>
          <w:rFonts w:eastAsia="Calibri"/>
          <w:kern w:val="14"/>
          <w:lang w:val="en-US"/>
        </w:rPr>
        <w:t xml:space="preserve">European Union, </w:t>
      </w:r>
      <w:r w:rsidRPr="00E91727">
        <w:rPr>
          <w:rFonts w:eastAsia="Calibri"/>
          <w:kern w:val="14"/>
          <w:lang w:val="en-US"/>
        </w:rPr>
        <w:t>Council</w:t>
      </w:r>
      <w:r w:rsidRPr="00C17AA1">
        <w:rPr>
          <w:rFonts w:eastAsia="Calibri"/>
          <w:kern w:val="14"/>
          <w:lang w:val="en-US"/>
        </w:rPr>
        <w:t xml:space="preserve"> decision (EU) 2017/38 of 28 October 2016 on the provisional application of the Comprehensive Economic and Trade Agreement (CETA) between Canada, of the one part, and the European Union and its member States, of the other part, </w:t>
      </w:r>
      <w:r w:rsidRPr="00C17AA1">
        <w:rPr>
          <w:rFonts w:eastAsia="Calibri"/>
          <w:i/>
          <w:iCs/>
          <w:kern w:val="14"/>
          <w:lang w:val="en-US"/>
        </w:rPr>
        <w:t>Official Journal of the European Union</w:t>
      </w:r>
      <w:r w:rsidRPr="00C17AA1">
        <w:rPr>
          <w:rFonts w:eastAsia="Calibri"/>
          <w:kern w:val="14"/>
          <w:lang w:val="en-US"/>
        </w:rPr>
        <w:t>, L 11, 14 January 2017, p</w:t>
      </w:r>
      <w:r w:rsidRPr="00F22925">
        <w:rPr>
          <w:rFonts w:eastAsia="Calibri"/>
          <w:kern w:val="14"/>
          <w:lang w:val="en-US"/>
        </w:rPr>
        <w:t>.</w:t>
      </w:r>
      <w:r w:rsidRPr="00C17AA1">
        <w:rPr>
          <w:rFonts w:eastAsia="Calibri"/>
          <w:kern w:val="14"/>
          <w:lang w:val="en-US"/>
        </w:rPr>
        <w:t xml:space="preserve"> 1080</w:t>
      </w:r>
      <w:r w:rsidRPr="00F22925">
        <w:rPr>
          <w:rFonts w:eastAsia="Calibri"/>
          <w:kern w:val="14"/>
          <w:lang w:val="en-US"/>
        </w:rPr>
        <w:t>.</w:t>
      </w:r>
    </w:p>
    <w:p w14:paraId="77567BF3" w14:textId="77777777" w:rsidR="00014CBC" w:rsidRPr="00C17AA1" w:rsidRDefault="00014CBC" w:rsidP="00014CBC">
      <w:pPr>
        <w:pStyle w:val="SingleTxtG"/>
        <w:rPr>
          <w:rFonts w:eastAsia="Calibri"/>
          <w:kern w:val="14"/>
          <w:lang w:val="en-US"/>
        </w:rPr>
      </w:pPr>
      <w:r w:rsidRPr="00C17AA1">
        <w:rPr>
          <w:rFonts w:eastAsia="Calibri"/>
          <w:kern w:val="14"/>
          <w:lang w:val="en-US"/>
        </w:rPr>
        <w:t xml:space="preserve">United Nations, Framework Convention on Climate Change, </w:t>
      </w:r>
      <w:r w:rsidRPr="00F73568">
        <w:rPr>
          <w:rFonts w:eastAsia="Calibri"/>
          <w:kern w:val="14"/>
          <w:lang w:val="en-US"/>
        </w:rPr>
        <w:t>Ad Hoc Working Group on Further Commitments for Annex I Parties under the Kyoto Protocol</w:t>
      </w:r>
      <w:r w:rsidRPr="00F22925">
        <w:rPr>
          <w:rFonts w:eastAsia="Calibri"/>
          <w:kern w:val="14"/>
          <w:lang w:val="en-US"/>
        </w:rPr>
        <w:t>.</w:t>
      </w:r>
      <w:r w:rsidRPr="00C17AA1">
        <w:rPr>
          <w:rFonts w:eastAsia="Calibri"/>
          <w:kern w:val="14"/>
          <w:lang w:val="en-US"/>
        </w:rPr>
        <w:t xml:space="preserve"> Legal considerations relating to a possible gap between the first and subsequent commitment periods</w:t>
      </w:r>
      <w:r w:rsidRPr="00F22925">
        <w:rPr>
          <w:rFonts w:eastAsia="Calibri"/>
          <w:kern w:val="14"/>
          <w:lang w:val="en-US"/>
        </w:rPr>
        <w:t>.</w:t>
      </w:r>
      <w:r w:rsidRPr="00C17AA1">
        <w:rPr>
          <w:rFonts w:eastAsia="Calibri"/>
          <w:kern w:val="14"/>
          <w:lang w:val="en-US"/>
        </w:rPr>
        <w:t xml:space="preserve"> 20 July 2010</w:t>
      </w:r>
      <w:r w:rsidRPr="00F22925">
        <w:rPr>
          <w:rFonts w:eastAsia="Calibri"/>
          <w:kern w:val="14"/>
          <w:lang w:val="en-US"/>
        </w:rPr>
        <w:t>.</w:t>
      </w:r>
      <w:r w:rsidRPr="00C17AA1">
        <w:rPr>
          <w:rFonts w:eastAsia="Calibri"/>
          <w:kern w:val="14"/>
          <w:lang w:val="en-US"/>
        </w:rPr>
        <w:t xml:space="preserve"> </w:t>
      </w:r>
      <w:hyperlink r:id="rId11" w:history="1">
        <w:r w:rsidRPr="001F7160">
          <w:rPr>
            <w:rFonts w:eastAsia="Calibri"/>
            <w:color w:val="0000FF"/>
            <w:kern w:val="14"/>
            <w:lang w:val="en-US"/>
          </w:rPr>
          <w:t>FCCC/KP/AWG/2010/10</w:t>
        </w:r>
      </w:hyperlink>
      <w:r w:rsidRPr="00F22925">
        <w:rPr>
          <w:rFonts w:eastAsia="Calibri"/>
          <w:kern w:val="14"/>
          <w:lang w:val="en-US"/>
        </w:rPr>
        <w:t>.</w:t>
      </w:r>
      <w:r w:rsidRPr="00C17AA1">
        <w:rPr>
          <w:rFonts w:eastAsia="Calibri"/>
          <w:kern w:val="14"/>
          <w:lang w:val="en-US"/>
        </w:rPr>
        <w:t xml:space="preserve"> </w:t>
      </w:r>
    </w:p>
    <w:p w14:paraId="4BDE1EE0" w14:textId="77777777" w:rsidR="00014CBC" w:rsidRPr="00C17AA1" w:rsidRDefault="00014CBC" w:rsidP="00014CBC">
      <w:pPr>
        <w:pStyle w:val="SingleTxtG"/>
        <w:rPr>
          <w:rFonts w:eastAsia="Calibri"/>
          <w:kern w:val="14"/>
          <w:lang w:val="en-US"/>
        </w:rPr>
      </w:pPr>
      <w:r w:rsidRPr="00C17AA1">
        <w:rPr>
          <w:rFonts w:eastAsia="Calibri"/>
          <w:kern w:val="14"/>
          <w:lang w:val="en-US"/>
        </w:rPr>
        <w:t xml:space="preserve">____, </w:t>
      </w:r>
      <w:r w:rsidRPr="00F73568">
        <w:rPr>
          <w:rFonts w:eastAsia="Calibri"/>
          <w:kern w:val="14"/>
          <w:lang w:val="en-US"/>
        </w:rPr>
        <w:t>Conference of the Parties serving as the meeting of the Parties to the Kyoto Protocol</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Report of the Conference of the Parties serving as the meeting of the Parties to the Kyoto Protocol on its eighth session, held in Doha from 26 November to 8 December 2012</w:t>
      </w:r>
      <w:r w:rsidRPr="00F22925">
        <w:rPr>
          <w:rFonts w:eastAsia="Calibri"/>
          <w:kern w:val="14"/>
          <w:lang w:val="en-US"/>
        </w:rPr>
        <w:t>.</w:t>
      </w:r>
      <w:r w:rsidRPr="00C17AA1">
        <w:rPr>
          <w:rFonts w:eastAsia="Calibri"/>
          <w:kern w:val="14"/>
          <w:lang w:val="en-US"/>
        </w:rPr>
        <w:t xml:space="preserve"> 28 February 2013</w:t>
      </w:r>
      <w:r w:rsidRPr="00F22925">
        <w:rPr>
          <w:rFonts w:eastAsia="Calibri"/>
          <w:kern w:val="14"/>
          <w:lang w:val="en-US"/>
        </w:rPr>
        <w:t>.</w:t>
      </w:r>
      <w:r w:rsidRPr="00C17AA1">
        <w:rPr>
          <w:rFonts w:eastAsia="Calibri"/>
          <w:kern w:val="14"/>
          <w:lang w:val="en-US"/>
        </w:rPr>
        <w:t xml:space="preserve"> </w:t>
      </w:r>
      <w:hyperlink r:id="rId12" w:history="1">
        <w:r w:rsidRPr="001F7160">
          <w:rPr>
            <w:rFonts w:eastAsia="Calibri"/>
            <w:color w:val="0000FF"/>
            <w:kern w:val="14"/>
            <w:lang w:val="en-US"/>
          </w:rPr>
          <w:t>FCCC/KP/CMP/2012/13/Add</w:t>
        </w:r>
        <w:r w:rsidRPr="00F22925">
          <w:rPr>
            <w:rFonts w:eastAsia="Calibri"/>
            <w:color w:val="0000FF"/>
            <w:kern w:val="14"/>
            <w:lang w:val="en-US"/>
          </w:rPr>
          <w:t>.</w:t>
        </w:r>
        <w:r w:rsidRPr="001F7160">
          <w:rPr>
            <w:rFonts w:eastAsia="Calibri"/>
            <w:color w:val="0000FF"/>
            <w:kern w:val="14"/>
            <w:lang w:val="en-US"/>
          </w:rPr>
          <w:t>1</w:t>
        </w:r>
      </w:hyperlink>
      <w:r w:rsidRPr="00F22925">
        <w:rPr>
          <w:rFonts w:eastAsia="Calibri"/>
          <w:kern w:val="14"/>
          <w:lang w:val="en-US"/>
        </w:rPr>
        <w:t>.</w:t>
      </w:r>
    </w:p>
    <w:p w14:paraId="23534C1F" w14:textId="77777777" w:rsidR="00014CBC" w:rsidRPr="00C17AA1" w:rsidRDefault="00014CBC" w:rsidP="00014CBC">
      <w:pPr>
        <w:pStyle w:val="SingleTxtG"/>
        <w:rPr>
          <w:rFonts w:eastAsia="Calibri"/>
          <w:kern w:val="14"/>
          <w:lang w:val="en-US"/>
        </w:rPr>
      </w:pPr>
      <w:r w:rsidRPr="00C17AA1">
        <w:rPr>
          <w:rFonts w:eastAsia="Calibri"/>
          <w:kern w:val="14"/>
          <w:lang w:val="en-US"/>
        </w:rPr>
        <w:t xml:space="preserve">____, </w:t>
      </w:r>
      <w:r w:rsidRPr="00E91727">
        <w:rPr>
          <w:rFonts w:eastAsia="Calibri"/>
          <w:kern w:val="14"/>
          <w:lang w:val="en-US"/>
        </w:rPr>
        <w:t>Conference</w:t>
      </w:r>
      <w:r w:rsidRPr="00C17AA1">
        <w:rPr>
          <w:rFonts w:eastAsia="Calibri"/>
          <w:kern w:val="14"/>
          <w:lang w:val="en-US"/>
        </w:rPr>
        <w:t xml:space="preserve"> of the Parties</w:t>
      </w:r>
      <w:r w:rsidRPr="00F22925">
        <w:rPr>
          <w:rFonts w:eastAsia="Calibri"/>
          <w:kern w:val="14"/>
          <w:lang w:val="en-US"/>
        </w:rPr>
        <w:t>.</w:t>
      </w:r>
      <w:r w:rsidRPr="00C17AA1">
        <w:rPr>
          <w:rFonts w:eastAsia="Calibri"/>
          <w:kern w:val="14"/>
          <w:lang w:val="en-US"/>
        </w:rPr>
        <w:t xml:space="preserve"> Decision 1/CP</w:t>
      </w:r>
      <w:r w:rsidRPr="00F22925">
        <w:rPr>
          <w:rFonts w:eastAsia="Calibri"/>
          <w:kern w:val="14"/>
          <w:lang w:val="en-US"/>
        </w:rPr>
        <w:t>.</w:t>
      </w:r>
      <w:r w:rsidRPr="00C17AA1">
        <w:rPr>
          <w:rFonts w:eastAsia="Calibri"/>
          <w:kern w:val="14"/>
          <w:lang w:val="en-US"/>
        </w:rPr>
        <w:t>21 on adoption of the Paris Agreement, para</w:t>
      </w:r>
      <w:r w:rsidRPr="00F22925">
        <w:rPr>
          <w:rFonts w:eastAsia="Calibri"/>
          <w:kern w:val="14"/>
          <w:lang w:val="en-US"/>
        </w:rPr>
        <w:t>.</w:t>
      </w:r>
      <w:r w:rsidRPr="00C17AA1">
        <w:rPr>
          <w:rFonts w:eastAsia="Calibri"/>
          <w:kern w:val="14"/>
          <w:lang w:val="en-US"/>
        </w:rPr>
        <w:t xml:space="preserve"> 5, in </w:t>
      </w:r>
      <w:r w:rsidRPr="00F73568">
        <w:rPr>
          <w:rFonts w:eastAsia="Calibri"/>
          <w:i/>
          <w:iCs/>
          <w:kern w:val="14"/>
          <w:lang w:val="en-US"/>
        </w:rPr>
        <w:t>Report of the Conference of the Parties on its twenty-first session, held in Paris from 30 November to 13 December 2015 Addendum Part two: Action taken by the Conference of the Parties at its twenty-first session</w:t>
      </w:r>
      <w:r w:rsidRPr="00F22925">
        <w:rPr>
          <w:rFonts w:eastAsia="Calibri"/>
          <w:kern w:val="14"/>
          <w:lang w:val="en-US"/>
        </w:rPr>
        <w:t>.</w:t>
      </w:r>
      <w:r w:rsidRPr="00F73568">
        <w:rPr>
          <w:rFonts w:eastAsia="Calibri"/>
          <w:kern w:val="14"/>
          <w:lang w:val="en-US"/>
        </w:rPr>
        <w:t xml:space="preserve"> </w:t>
      </w:r>
      <w:hyperlink r:id="rId13" w:history="1">
        <w:r w:rsidRPr="001F7160">
          <w:rPr>
            <w:rStyle w:val="Hyperlink"/>
            <w:rFonts w:eastAsia="Calibri"/>
            <w:kern w:val="14"/>
            <w:lang w:val="en-US"/>
          </w:rPr>
          <w:t>FCCC/CP/2015/10/Add</w:t>
        </w:r>
        <w:r w:rsidRPr="00F22925">
          <w:rPr>
            <w:rStyle w:val="Hyperlink"/>
            <w:rFonts w:eastAsia="Calibri"/>
            <w:kern w:val="14"/>
            <w:lang w:val="en-US"/>
          </w:rPr>
          <w:t>.</w:t>
        </w:r>
        <w:r w:rsidRPr="001F7160">
          <w:rPr>
            <w:rStyle w:val="Hyperlink"/>
            <w:rFonts w:eastAsia="Calibri"/>
            <w:kern w:val="14"/>
            <w:lang w:val="en-US"/>
          </w:rPr>
          <w:t>1</w:t>
        </w:r>
      </w:hyperlink>
      <w:r w:rsidRPr="00F22925">
        <w:rPr>
          <w:rFonts w:eastAsia="Calibri"/>
          <w:kern w:val="14"/>
          <w:lang w:val="en-US"/>
        </w:rPr>
        <w:t>.</w:t>
      </w:r>
    </w:p>
    <w:p w14:paraId="4D9C0572" w14:textId="77777777" w:rsidR="00014CBC" w:rsidRPr="00C17AA1" w:rsidRDefault="00014CBC" w:rsidP="00014CBC">
      <w:pPr>
        <w:pStyle w:val="SingleTxtG"/>
        <w:rPr>
          <w:rFonts w:eastAsia="Calibri"/>
          <w:kern w:val="14"/>
          <w:lang w:val="en-US"/>
        </w:rPr>
      </w:pPr>
      <w:r w:rsidRPr="00C17AA1">
        <w:rPr>
          <w:rFonts w:eastAsia="Calibri"/>
          <w:kern w:val="14"/>
          <w:lang w:val="en-US"/>
        </w:rPr>
        <w:t xml:space="preserve">United Nations, </w:t>
      </w:r>
      <w:r w:rsidRPr="0072387F">
        <w:rPr>
          <w:rFonts w:eastAsia="Calibri"/>
          <w:kern w:val="14"/>
          <w:lang w:val="en-US"/>
        </w:rPr>
        <w:t>General</w:t>
      </w:r>
      <w:r w:rsidRPr="00C17AA1">
        <w:rPr>
          <w:rFonts w:eastAsia="Calibri"/>
          <w:kern w:val="14"/>
          <w:lang w:val="en-US"/>
        </w:rPr>
        <w:t xml:space="preserve"> Assembly resolution </w:t>
      </w:r>
      <w:hyperlink r:id="rId14" w:history="1">
        <w:r w:rsidRPr="001F7160">
          <w:rPr>
            <w:rFonts w:eastAsia="Calibri"/>
            <w:color w:val="0000FF"/>
            <w:kern w:val="14"/>
            <w:lang w:val="en-US"/>
          </w:rPr>
          <w:t>50/245</w:t>
        </w:r>
      </w:hyperlink>
      <w:r w:rsidRPr="001F7160">
        <w:rPr>
          <w:rFonts w:eastAsia="Calibri"/>
          <w:color w:val="0000FF"/>
          <w:kern w:val="14"/>
          <w:lang w:val="en-US"/>
        </w:rPr>
        <w:t xml:space="preserve"> </w:t>
      </w:r>
      <w:r w:rsidRPr="001F7160">
        <w:rPr>
          <w:rFonts w:eastAsia="Calibri"/>
          <w:kern w:val="14"/>
          <w:lang w:val="en-US"/>
        </w:rPr>
        <w:t xml:space="preserve">of 10 September 1996 </w:t>
      </w:r>
      <w:r w:rsidRPr="00F73568">
        <w:rPr>
          <w:lang w:val="en-US"/>
        </w:rPr>
        <w:t>on the Comprehensive Nuclear-Test-Ban Treaty</w:t>
      </w:r>
      <w:r w:rsidRPr="00F22925">
        <w:rPr>
          <w:rFonts w:eastAsia="Calibri"/>
          <w:kern w:val="14"/>
          <w:lang w:val="en-US"/>
        </w:rPr>
        <w:t>.</w:t>
      </w:r>
    </w:p>
    <w:p w14:paraId="7589CB7D" w14:textId="77777777" w:rsidR="00014CBC" w:rsidRPr="00C17AA1" w:rsidRDefault="00014CBC" w:rsidP="00014CBC">
      <w:pPr>
        <w:pStyle w:val="SingleTxtG"/>
        <w:rPr>
          <w:rFonts w:eastAsia="Calibri"/>
          <w:kern w:val="14"/>
          <w:lang w:val="en-US"/>
        </w:rPr>
      </w:pPr>
      <w:r w:rsidRPr="00C17AA1">
        <w:rPr>
          <w:rFonts w:eastAsia="Calibri"/>
          <w:kern w:val="14"/>
          <w:lang w:val="en-US"/>
        </w:rPr>
        <w:t xml:space="preserve">United Nations, </w:t>
      </w:r>
      <w:r w:rsidRPr="0072387F">
        <w:rPr>
          <w:rFonts w:eastAsia="Calibri"/>
          <w:kern w:val="14"/>
          <w:lang w:val="en-US"/>
        </w:rPr>
        <w:t>General</w:t>
      </w:r>
      <w:r w:rsidRPr="00C17AA1">
        <w:rPr>
          <w:rFonts w:eastAsia="Calibri"/>
          <w:kern w:val="14"/>
          <w:lang w:val="en-US"/>
        </w:rPr>
        <w:t xml:space="preserve"> Assembly resolution </w:t>
      </w:r>
      <w:hyperlink r:id="rId15" w:history="1">
        <w:r w:rsidRPr="001F7160">
          <w:rPr>
            <w:rFonts w:eastAsia="Calibri"/>
            <w:color w:val="0000FF"/>
            <w:kern w:val="14"/>
            <w:lang w:val="en-US"/>
          </w:rPr>
          <w:t>67/234 B</w:t>
        </w:r>
      </w:hyperlink>
      <w:r w:rsidRPr="001F7160">
        <w:rPr>
          <w:rFonts w:eastAsia="Calibri"/>
          <w:color w:val="0000FF"/>
          <w:kern w:val="14"/>
          <w:lang w:val="en-US"/>
        </w:rPr>
        <w:t xml:space="preserve"> </w:t>
      </w:r>
      <w:r w:rsidRPr="001F7160">
        <w:rPr>
          <w:rFonts w:eastAsia="Calibri"/>
          <w:kern w:val="14"/>
          <w:lang w:val="en-US"/>
        </w:rPr>
        <w:t xml:space="preserve">of 2 April 2013 </w:t>
      </w:r>
      <w:r w:rsidRPr="00F73568">
        <w:rPr>
          <w:lang w:val="en-US"/>
        </w:rPr>
        <w:t>on the Arms Trade Treaty</w:t>
      </w:r>
      <w:r w:rsidRPr="00F22925">
        <w:rPr>
          <w:rFonts w:eastAsia="Calibri"/>
          <w:kern w:val="14"/>
          <w:lang w:val="en-US"/>
        </w:rPr>
        <w:t>.</w:t>
      </w:r>
    </w:p>
    <w:p w14:paraId="42507BE3" w14:textId="77777777" w:rsidR="00014CBC" w:rsidRPr="00C17AA1" w:rsidRDefault="00014CBC" w:rsidP="00014CBC">
      <w:pPr>
        <w:pStyle w:val="SingleTxtG"/>
        <w:rPr>
          <w:rFonts w:eastAsia="Calibri"/>
          <w:spacing w:val="4"/>
          <w:kern w:val="14"/>
          <w:lang w:val="en-US"/>
        </w:rPr>
      </w:pPr>
      <w:r w:rsidRPr="00C17AA1">
        <w:rPr>
          <w:rFonts w:eastAsia="Calibri"/>
          <w:kern w:val="14"/>
          <w:lang w:val="en-US"/>
        </w:rPr>
        <w:t xml:space="preserve">United Nations, </w:t>
      </w:r>
      <w:r w:rsidRPr="0072387F">
        <w:rPr>
          <w:rFonts w:eastAsia="Calibri"/>
          <w:kern w:val="14"/>
          <w:lang w:val="en-US"/>
        </w:rPr>
        <w:t>General</w:t>
      </w:r>
      <w:r w:rsidRPr="00C17AA1">
        <w:rPr>
          <w:rFonts w:eastAsia="Calibri"/>
          <w:kern w:val="14"/>
          <w:lang w:val="en-US"/>
        </w:rPr>
        <w:t xml:space="preserve"> Assembly resolution 97(1) of 14 December 1946, modified by General Assembly resolutions 364 (IV) of 1 December 1949, 482 (V) of 12 December 1955 and </w:t>
      </w:r>
      <w:hyperlink r:id="rId16" w:history="1">
        <w:r w:rsidRPr="001F7160">
          <w:rPr>
            <w:rFonts w:eastAsia="Calibri"/>
            <w:color w:val="0000FF"/>
            <w:kern w:val="14"/>
            <w:lang w:val="en-US"/>
          </w:rPr>
          <w:t>33/141</w:t>
        </w:r>
      </w:hyperlink>
      <w:r w:rsidRPr="00C17AA1">
        <w:rPr>
          <w:rFonts w:eastAsia="Calibri"/>
          <w:kern w:val="14"/>
          <w:lang w:val="en-US"/>
        </w:rPr>
        <w:t xml:space="preserve"> of 19 December 1978</w:t>
      </w:r>
      <w:r>
        <w:rPr>
          <w:rFonts w:eastAsia="Calibri"/>
          <w:kern w:val="14"/>
          <w:lang w:val="en-US"/>
        </w:rPr>
        <w:t xml:space="preserve"> </w:t>
      </w:r>
      <w:r w:rsidRPr="00F73568">
        <w:rPr>
          <w:lang w:val="en-US"/>
        </w:rPr>
        <w:t>on registration and publication of treaties and international agreements pursuant to Article 102 of the Charter of the United Nations</w:t>
      </w:r>
      <w:r w:rsidRPr="00F22925">
        <w:rPr>
          <w:rFonts w:eastAsia="Calibri"/>
          <w:kern w:val="14"/>
          <w:lang w:val="en-US"/>
        </w:rPr>
        <w:t>.</w:t>
      </w:r>
    </w:p>
    <w:p w14:paraId="24AD8883" w14:textId="77777777" w:rsidR="00014CBC" w:rsidRPr="00C17AA1" w:rsidRDefault="00014CBC" w:rsidP="00014CBC">
      <w:pPr>
        <w:pStyle w:val="H1G"/>
        <w:rPr>
          <w:lang w:val="fr-FR"/>
        </w:rPr>
      </w:pPr>
      <w:r w:rsidRPr="00C17AA1">
        <w:rPr>
          <w:lang w:val="en-US"/>
        </w:rPr>
        <w:tab/>
      </w:r>
      <w:r w:rsidRPr="00C17AA1">
        <w:rPr>
          <w:lang w:val="fr-FR"/>
        </w:rPr>
        <w:t>E</w:t>
      </w:r>
      <w:r w:rsidRPr="00F22925">
        <w:rPr>
          <w:lang w:val="fr-FR"/>
        </w:rPr>
        <w:t>.</w:t>
      </w:r>
      <w:r w:rsidRPr="00C17AA1">
        <w:rPr>
          <w:lang w:val="fr-FR"/>
        </w:rPr>
        <w:tab/>
        <w:t>Autres documents</w:t>
      </w:r>
    </w:p>
    <w:p w14:paraId="305AC349" w14:textId="77777777" w:rsidR="00014CBC" w:rsidRPr="00C17AA1" w:rsidRDefault="00014CBC" w:rsidP="00014CBC">
      <w:pPr>
        <w:pStyle w:val="H23G"/>
        <w:rPr>
          <w:lang w:val="fr-FR"/>
        </w:rPr>
      </w:pPr>
      <w:r w:rsidRPr="00C17AA1">
        <w:rPr>
          <w:lang w:val="fr-FR"/>
        </w:rPr>
        <w:tab/>
        <w:t>1</w:t>
      </w:r>
      <w:r w:rsidRPr="00F22925">
        <w:rPr>
          <w:lang w:val="fr-FR"/>
        </w:rPr>
        <w:t>.</w:t>
      </w:r>
      <w:r w:rsidRPr="00C17AA1">
        <w:rPr>
          <w:lang w:val="fr-FR"/>
        </w:rPr>
        <w:tab/>
        <w:t>Organisations internationales</w:t>
      </w:r>
    </w:p>
    <w:p w14:paraId="25029C1E" w14:textId="77777777" w:rsidR="00014CBC" w:rsidRPr="00C17AA1" w:rsidRDefault="00014CBC" w:rsidP="00014CBC">
      <w:pPr>
        <w:pStyle w:val="SingleTxtG"/>
        <w:rPr>
          <w:rFonts w:eastAsia="Calibri"/>
          <w:kern w:val="14"/>
          <w:lang w:val="en-US"/>
        </w:rPr>
      </w:pPr>
      <w:r w:rsidRPr="00C6687F">
        <w:rPr>
          <w:rFonts w:eastAsia="Calibri"/>
          <w:kern w:val="14"/>
          <w:lang w:val="fr-CA"/>
        </w:rPr>
        <w:t xml:space="preserve">Council of </w:t>
      </w:r>
      <w:r w:rsidRPr="00C17AA1">
        <w:rPr>
          <w:rFonts w:eastAsia="Calibri"/>
          <w:kern w:val="14"/>
          <w:lang w:val="fr-FR"/>
        </w:rPr>
        <w:t>Europe</w:t>
      </w:r>
      <w:r w:rsidRPr="00C6687F">
        <w:rPr>
          <w:rFonts w:eastAsia="Calibri"/>
          <w:kern w:val="14"/>
          <w:lang w:val="fr-CA"/>
        </w:rPr>
        <w:t xml:space="preserve">, </w:t>
      </w:r>
      <w:proofErr w:type="spellStart"/>
      <w:r w:rsidRPr="00C6687F">
        <w:rPr>
          <w:rFonts w:eastAsia="Calibri"/>
          <w:kern w:val="14"/>
          <w:lang w:val="fr-CA"/>
        </w:rPr>
        <w:t>ed</w:t>
      </w:r>
      <w:proofErr w:type="spellEnd"/>
      <w:r w:rsidRPr="00F22925">
        <w:rPr>
          <w:rFonts w:eastAsia="Calibri"/>
          <w:kern w:val="14"/>
          <w:lang w:val="fr-CA"/>
        </w:rPr>
        <w:t>.</w:t>
      </w:r>
      <w:r w:rsidRPr="00C6687F">
        <w:rPr>
          <w:rFonts w:eastAsia="Calibri"/>
          <w:kern w:val="14"/>
          <w:lang w:val="fr-CA"/>
        </w:rPr>
        <w:t xml:space="preserve"> </w:t>
      </w:r>
      <w:r w:rsidRPr="00C17AA1">
        <w:rPr>
          <w:rFonts w:eastAsia="Calibri"/>
          <w:i/>
          <w:iCs/>
          <w:kern w:val="14"/>
          <w:lang w:val="en-US"/>
        </w:rPr>
        <w:t>Treaty Making — Expression of Consent by States to be Bound by a Treaty</w:t>
      </w:r>
      <w:r w:rsidRPr="00F22925">
        <w:rPr>
          <w:rFonts w:eastAsia="Calibri"/>
          <w:kern w:val="14"/>
          <w:lang w:val="en-US"/>
        </w:rPr>
        <w:t>.</w:t>
      </w:r>
      <w:r w:rsidRPr="00C17AA1">
        <w:rPr>
          <w:rFonts w:eastAsia="Calibri"/>
          <w:kern w:val="14"/>
          <w:lang w:val="en-US"/>
        </w:rPr>
        <w:t xml:space="preserve"> The Hague: Kluwer Law International, 2001</w:t>
      </w:r>
      <w:r w:rsidRPr="00F22925">
        <w:rPr>
          <w:rFonts w:eastAsia="Calibri"/>
          <w:kern w:val="14"/>
          <w:lang w:val="en-US"/>
        </w:rPr>
        <w:t>.</w:t>
      </w:r>
    </w:p>
    <w:p w14:paraId="702BE125" w14:textId="77777777" w:rsidR="00014CBC" w:rsidRPr="00C17AA1" w:rsidRDefault="00014CBC" w:rsidP="00014CBC">
      <w:pPr>
        <w:pStyle w:val="SingleTxtG"/>
        <w:rPr>
          <w:rFonts w:eastAsia="Calibri"/>
          <w:kern w:val="14"/>
          <w:lang w:val="en-US"/>
        </w:rPr>
      </w:pPr>
      <w:r w:rsidRPr="00C17AA1">
        <w:rPr>
          <w:rFonts w:eastAsia="Calibri"/>
          <w:kern w:val="14"/>
          <w:lang w:val="en-US"/>
        </w:rPr>
        <w:lastRenderedPageBreak/>
        <w:t xml:space="preserve">____, </w:t>
      </w:r>
      <w:r w:rsidRPr="00E91727">
        <w:rPr>
          <w:rFonts w:eastAsia="Calibri"/>
          <w:kern w:val="14"/>
          <w:lang w:val="en-US"/>
        </w:rPr>
        <w:t>Committee</w:t>
      </w:r>
      <w:r w:rsidRPr="00C17AA1">
        <w:rPr>
          <w:rFonts w:eastAsia="Calibri"/>
          <w:kern w:val="14"/>
          <w:lang w:val="en-US"/>
        </w:rPr>
        <w:t xml:space="preserve"> of Ministers</w:t>
      </w:r>
      <w:r w:rsidRPr="00F22925">
        <w:rPr>
          <w:rFonts w:eastAsia="Calibri"/>
          <w:kern w:val="14"/>
          <w:lang w:val="en-US"/>
        </w:rPr>
        <w:t>.</w:t>
      </w:r>
      <w:r w:rsidRPr="00C17AA1">
        <w:rPr>
          <w:rFonts w:eastAsia="Calibri"/>
          <w:kern w:val="14"/>
          <w:lang w:val="en-US"/>
        </w:rPr>
        <w:t xml:space="preserve"> Minutes of the sitting held at the Sofia Hotel Balkan, Sofia, Bulgaria, 12 December 2016</w:t>
      </w:r>
      <w:r w:rsidRPr="00F22925">
        <w:rPr>
          <w:rFonts w:eastAsia="Calibri"/>
          <w:kern w:val="14"/>
          <w:lang w:val="en-US"/>
        </w:rPr>
        <w:t>.</w:t>
      </w:r>
      <w:r w:rsidRPr="00C17AA1">
        <w:rPr>
          <w:rFonts w:eastAsia="Calibri"/>
          <w:kern w:val="14"/>
          <w:lang w:val="en-US"/>
        </w:rPr>
        <w:t xml:space="preserve"> CM/</w:t>
      </w:r>
      <w:proofErr w:type="gramStart"/>
      <w:r w:rsidRPr="00C17AA1">
        <w:rPr>
          <w:rFonts w:eastAsia="Calibri"/>
          <w:kern w:val="14"/>
          <w:lang w:val="en-US"/>
        </w:rPr>
        <w:t>PV(</w:t>
      </w:r>
      <w:proofErr w:type="gramEnd"/>
      <w:r w:rsidRPr="00C17AA1">
        <w:rPr>
          <w:rFonts w:eastAsia="Calibri"/>
          <w:kern w:val="14"/>
          <w:lang w:val="en-US"/>
        </w:rPr>
        <w:t xml:space="preserve">2016)126-final, appendix 3, decision on tackling violent extremism and </w:t>
      </w:r>
      <w:proofErr w:type="spellStart"/>
      <w:r w:rsidRPr="00C17AA1">
        <w:rPr>
          <w:rFonts w:eastAsia="Calibri"/>
          <w:kern w:val="14"/>
          <w:lang w:val="en-US"/>
        </w:rPr>
        <w:t>radicalisation</w:t>
      </w:r>
      <w:proofErr w:type="spellEnd"/>
      <w:r w:rsidRPr="00C17AA1">
        <w:rPr>
          <w:rFonts w:eastAsia="Calibri"/>
          <w:kern w:val="14"/>
          <w:lang w:val="en-US"/>
        </w:rPr>
        <w:t xml:space="preserve"> leading to terrorism para</w:t>
      </w:r>
      <w:r w:rsidRPr="00F22925">
        <w:rPr>
          <w:rFonts w:eastAsia="Calibri"/>
          <w:kern w:val="14"/>
          <w:lang w:val="en-US"/>
        </w:rPr>
        <w:t>.</w:t>
      </w:r>
      <w:r w:rsidRPr="00C17AA1">
        <w:rPr>
          <w:rFonts w:eastAsia="Calibri"/>
          <w:kern w:val="14"/>
          <w:lang w:val="en-US"/>
        </w:rPr>
        <w:t xml:space="preserve"> 3</w:t>
      </w:r>
      <w:r w:rsidRPr="00F22925">
        <w:rPr>
          <w:rFonts w:eastAsia="Calibri"/>
          <w:kern w:val="14"/>
          <w:lang w:val="en-US"/>
        </w:rPr>
        <w:t>.</w:t>
      </w:r>
      <w:r w:rsidRPr="00C17AA1">
        <w:rPr>
          <w:rFonts w:eastAsia="Calibri"/>
          <w:kern w:val="14"/>
          <w:lang w:val="en-US"/>
        </w:rPr>
        <w:t xml:space="preserve"> Available at </w:t>
      </w:r>
      <w:hyperlink r:id="rId17" w:history="1">
        <w:r w:rsidRPr="001F7160">
          <w:rPr>
            <w:rFonts w:eastAsia="Calibri"/>
            <w:color w:val="0000FF"/>
            <w:kern w:val="14"/>
            <w:lang w:val="en-US"/>
          </w:rPr>
          <w:t>https://search</w:t>
        </w:r>
        <w:r w:rsidRPr="00F22925">
          <w:rPr>
            <w:rFonts w:eastAsia="Calibri"/>
            <w:color w:val="0000FF"/>
            <w:kern w:val="14"/>
            <w:lang w:val="en-US"/>
          </w:rPr>
          <w:t>.</w:t>
        </w:r>
        <w:r w:rsidRPr="001F7160">
          <w:rPr>
            <w:rFonts w:eastAsia="Calibri"/>
            <w:color w:val="0000FF"/>
            <w:kern w:val="14"/>
            <w:lang w:val="en-US"/>
          </w:rPr>
          <w:t>coe</w:t>
        </w:r>
        <w:r w:rsidRPr="00F22925">
          <w:rPr>
            <w:rFonts w:eastAsia="Calibri"/>
            <w:color w:val="0000FF"/>
            <w:kern w:val="14"/>
            <w:lang w:val="en-US"/>
          </w:rPr>
          <w:t>.</w:t>
        </w:r>
        <w:r w:rsidRPr="001F7160">
          <w:rPr>
            <w:rFonts w:eastAsia="Calibri"/>
            <w:color w:val="0000FF"/>
            <w:kern w:val="14"/>
            <w:lang w:val="en-US"/>
          </w:rPr>
          <w:t>int/cm/Pages/result_details</w:t>
        </w:r>
        <w:r w:rsidRPr="00F22925">
          <w:rPr>
            <w:rFonts w:eastAsia="Calibri"/>
            <w:color w:val="0000FF"/>
            <w:kern w:val="14"/>
            <w:lang w:val="en-US"/>
          </w:rPr>
          <w:t>.</w:t>
        </w:r>
        <w:r w:rsidRPr="001F7160">
          <w:rPr>
            <w:rFonts w:eastAsia="Calibri"/>
            <w:color w:val="0000FF"/>
            <w:kern w:val="14"/>
            <w:lang w:val="en-US"/>
          </w:rPr>
          <w:t>aspx?ObjectID=09000016806c9744</w:t>
        </w:r>
      </w:hyperlink>
      <w:r w:rsidRPr="00F22925">
        <w:rPr>
          <w:rFonts w:eastAsia="Calibri"/>
          <w:kern w:val="14"/>
          <w:lang w:val="en-US"/>
        </w:rPr>
        <w:t>.</w:t>
      </w:r>
      <w:r w:rsidRPr="00C17AA1">
        <w:rPr>
          <w:rFonts w:eastAsia="Calibri"/>
          <w:kern w:val="14"/>
          <w:lang w:val="en-US"/>
        </w:rPr>
        <w:t xml:space="preserve"> </w:t>
      </w:r>
    </w:p>
    <w:p w14:paraId="5E6935C3" w14:textId="77777777" w:rsidR="00014CBC" w:rsidRPr="00C17AA1" w:rsidRDefault="00014CBC" w:rsidP="00014CBC">
      <w:pPr>
        <w:pStyle w:val="SingleTxtG"/>
        <w:rPr>
          <w:rFonts w:eastAsia="Calibri"/>
          <w:kern w:val="14"/>
          <w:lang w:val="en-US"/>
        </w:rPr>
      </w:pPr>
      <w:r w:rsidRPr="00C17AA1">
        <w:rPr>
          <w:rFonts w:eastAsia="Calibri"/>
          <w:kern w:val="14"/>
          <w:lang w:val="en-US"/>
        </w:rPr>
        <w:t>_____, Treaty Office</w:t>
      </w:r>
      <w:r w:rsidRPr="00F22925">
        <w:rPr>
          <w:rFonts w:eastAsia="Calibri"/>
          <w:kern w:val="14"/>
          <w:lang w:val="en-US"/>
        </w:rPr>
        <w:t>.</w:t>
      </w:r>
      <w:r w:rsidRPr="00C17AA1">
        <w:rPr>
          <w:rFonts w:eastAsia="Calibri"/>
          <w:kern w:val="14"/>
          <w:lang w:val="en-US"/>
        </w:rPr>
        <w:t xml:space="preserve"> </w:t>
      </w:r>
      <w:r w:rsidRPr="00F73568">
        <w:rPr>
          <w:rFonts w:eastAsia="Calibri"/>
          <w:kern w:val="14"/>
          <w:lang w:val="en-US"/>
        </w:rPr>
        <w:t>Draft model final clauses for conventions, additional protocols and amending protocols concluded within the Council of Europe</w:t>
      </w:r>
      <w:r w:rsidRPr="00F22925">
        <w:rPr>
          <w:rFonts w:eastAsia="Calibri"/>
          <w:kern w:val="14"/>
          <w:lang w:val="en-US"/>
        </w:rPr>
        <w:t>.</w:t>
      </w:r>
      <w:r w:rsidRPr="00F73568">
        <w:rPr>
          <w:rFonts w:eastAsia="Calibri"/>
          <w:kern w:val="14"/>
          <w:lang w:val="en-US"/>
        </w:rPr>
        <w:t xml:space="preserve"> </w:t>
      </w:r>
      <w:r w:rsidRPr="00C17AA1">
        <w:rPr>
          <w:rFonts w:eastAsia="Calibri"/>
          <w:kern w:val="14"/>
          <w:lang w:val="en-US"/>
        </w:rPr>
        <w:t>12 February 2016</w:t>
      </w:r>
      <w:r w:rsidRPr="00F22925">
        <w:rPr>
          <w:rFonts w:eastAsia="Calibri"/>
          <w:kern w:val="14"/>
          <w:lang w:val="en-US"/>
        </w:rPr>
        <w:t>.</w:t>
      </w:r>
      <w:r w:rsidRPr="00C17AA1">
        <w:rPr>
          <w:rFonts w:eastAsia="Calibri"/>
          <w:kern w:val="14"/>
          <w:lang w:val="en-US"/>
        </w:rPr>
        <w:t xml:space="preserve"> CAHDI (2016) 8</w:t>
      </w:r>
      <w:r w:rsidRPr="00F22925">
        <w:rPr>
          <w:rFonts w:eastAsia="Calibri"/>
          <w:kern w:val="14"/>
          <w:lang w:val="en-US"/>
        </w:rPr>
        <w:t>.</w:t>
      </w:r>
    </w:p>
    <w:p w14:paraId="05405448" w14:textId="77777777" w:rsidR="00014CBC" w:rsidRPr="00C17AA1" w:rsidRDefault="00014CBC" w:rsidP="00014CBC">
      <w:pPr>
        <w:pStyle w:val="SingleTxtG"/>
        <w:rPr>
          <w:rFonts w:eastAsia="Calibri"/>
          <w:kern w:val="14"/>
          <w:lang w:val="en-US"/>
        </w:rPr>
      </w:pPr>
      <w:r w:rsidRPr="00C17AA1">
        <w:rPr>
          <w:rFonts w:eastAsia="Calibri"/>
          <w:kern w:val="14"/>
          <w:lang w:val="en-US"/>
        </w:rPr>
        <w:t>European Commission</w:t>
      </w:r>
      <w:r w:rsidRPr="00F22925">
        <w:rPr>
          <w:rFonts w:eastAsia="Calibri"/>
          <w:kern w:val="14"/>
          <w:lang w:val="en-US"/>
        </w:rPr>
        <w:t>.</w:t>
      </w:r>
      <w:r w:rsidRPr="00C17AA1">
        <w:rPr>
          <w:rFonts w:eastAsia="Calibri"/>
          <w:kern w:val="14"/>
          <w:lang w:val="en-US"/>
        </w:rPr>
        <w:t xml:space="preserve"> Provisional application of new agreement between the European Union and Afghanistan signals new phase in cooperation</w:t>
      </w:r>
      <w:r w:rsidRPr="00F22925">
        <w:rPr>
          <w:rFonts w:eastAsia="Calibri"/>
          <w:kern w:val="14"/>
          <w:lang w:val="en-US"/>
        </w:rPr>
        <w:t>.</w:t>
      </w:r>
      <w:r w:rsidRPr="00C17AA1">
        <w:rPr>
          <w:rFonts w:eastAsia="Calibri"/>
          <w:kern w:val="14"/>
          <w:lang w:val="en-US"/>
        </w:rPr>
        <w:t xml:space="preserve"> Press release, 30 November 2017</w:t>
      </w:r>
      <w:r w:rsidRPr="00F22925">
        <w:rPr>
          <w:rFonts w:eastAsia="Calibri"/>
          <w:kern w:val="14"/>
          <w:lang w:val="en-US"/>
        </w:rPr>
        <w:t>.</w:t>
      </w:r>
      <w:r w:rsidRPr="00C17AA1">
        <w:rPr>
          <w:rFonts w:eastAsia="Calibri"/>
          <w:kern w:val="14"/>
          <w:lang w:val="en-US"/>
        </w:rPr>
        <w:t xml:space="preserve"> Available at </w:t>
      </w:r>
      <w:hyperlink r:id="rId18" w:history="1">
        <w:r w:rsidRPr="001F7160">
          <w:rPr>
            <w:rFonts w:eastAsia="Calibri"/>
            <w:color w:val="0000FF"/>
            <w:kern w:val="14"/>
            <w:lang w:val="en-US"/>
          </w:rPr>
          <w:t>http://europa</w:t>
        </w:r>
        <w:r w:rsidRPr="00F22925">
          <w:rPr>
            <w:rFonts w:eastAsia="Calibri"/>
            <w:color w:val="0000FF"/>
            <w:kern w:val="14"/>
            <w:lang w:val="en-US"/>
          </w:rPr>
          <w:t>.</w:t>
        </w:r>
        <w:r w:rsidRPr="001F7160">
          <w:rPr>
            <w:rFonts w:eastAsia="Calibri"/>
            <w:color w:val="0000FF"/>
            <w:kern w:val="14"/>
            <w:lang w:val="en-US"/>
          </w:rPr>
          <w:t>eu/rapid/press-release_IP-17-5008_en</w:t>
        </w:r>
        <w:r w:rsidRPr="00F22925">
          <w:rPr>
            <w:rFonts w:eastAsia="Calibri"/>
            <w:color w:val="0000FF"/>
            <w:kern w:val="14"/>
            <w:lang w:val="en-US"/>
          </w:rPr>
          <w:t>.</w:t>
        </w:r>
        <w:r w:rsidRPr="001F7160">
          <w:rPr>
            <w:rFonts w:eastAsia="Calibri"/>
            <w:color w:val="0000FF"/>
            <w:kern w:val="14"/>
            <w:lang w:val="en-US"/>
          </w:rPr>
          <w:t>htm</w:t>
        </w:r>
      </w:hyperlink>
      <w:r w:rsidRPr="00F22925">
        <w:rPr>
          <w:rFonts w:eastAsia="Calibri"/>
          <w:kern w:val="14"/>
          <w:lang w:val="en-US"/>
        </w:rPr>
        <w:t>.</w:t>
      </w:r>
      <w:r w:rsidRPr="00C17AA1">
        <w:rPr>
          <w:rFonts w:eastAsia="Calibri"/>
          <w:kern w:val="14"/>
          <w:lang w:val="en-US"/>
        </w:rPr>
        <w:t xml:space="preserve"> </w:t>
      </w:r>
    </w:p>
    <w:p w14:paraId="0FEE0ADA" w14:textId="77777777" w:rsidR="00014CBC" w:rsidRPr="00C17AA1" w:rsidRDefault="00014CBC" w:rsidP="00014CBC">
      <w:pPr>
        <w:pStyle w:val="SingleTxtG"/>
        <w:rPr>
          <w:rFonts w:eastAsia="Calibri"/>
          <w:kern w:val="14"/>
          <w:lang w:val="en-US"/>
        </w:rPr>
      </w:pPr>
      <w:r w:rsidRPr="00C17AA1">
        <w:rPr>
          <w:rFonts w:eastAsia="Calibri"/>
          <w:kern w:val="14"/>
          <w:lang w:val="en-US"/>
        </w:rPr>
        <w:t>Organization for the Prohibition of Chemical Weapons</w:t>
      </w:r>
      <w:r w:rsidRPr="00F22925">
        <w:rPr>
          <w:rFonts w:eastAsia="Calibri"/>
          <w:kern w:val="14"/>
          <w:lang w:val="en-US"/>
        </w:rPr>
        <w:t>.</w:t>
      </w:r>
      <w:r w:rsidRPr="00C17AA1">
        <w:rPr>
          <w:rFonts w:eastAsia="Calibri"/>
          <w:kern w:val="14"/>
          <w:lang w:val="en-US"/>
        </w:rPr>
        <w:t xml:space="preserve"> Syria</w:t>
      </w:r>
      <w:r>
        <w:rPr>
          <w:rFonts w:eastAsia="Calibri"/>
          <w:kern w:val="14"/>
          <w:lang w:val="en-US"/>
        </w:rPr>
        <w:t>’</w:t>
      </w:r>
      <w:r w:rsidRPr="00C17AA1">
        <w:rPr>
          <w:rFonts w:eastAsia="Calibri"/>
          <w:kern w:val="14"/>
          <w:lang w:val="en-US"/>
        </w:rPr>
        <w:t>s accession to the Chemical Weapons Convention enters into force</w:t>
      </w:r>
      <w:r w:rsidRPr="00F22925">
        <w:rPr>
          <w:rFonts w:eastAsia="Calibri"/>
          <w:kern w:val="14"/>
          <w:lang w:val="en-US"/>
        </w:rPr>
        <w:t>.</w:t>
      </w:r>
      <w:r w:rsidRPr="00C17AA1">
        <w:rPr>
          <w:rFonts w:eastAsia="Calibri"/>
          <w:kern w:val="14"/>
          <w:lang w:val="en-US"/>
        </w:rPr>
        <w:t xml:space="preserve"> 14 October 2013</w:t>
      </w:r>
      <w:r w:rsidRPr="00F22925">
        <w:rPr>
          <w:rFonts w:eastAsia="Calibri"/>
          <w:kern w:val="14"/>
          <w:lang w:val="en-US"/>
        </w:rPr>
        <w:t>.</w:t>
      </w:r>
      <w:r w:rsidRPr="00C17AA1">
        <w:rPr>
          <w:rFonts w:eastAsia="Calibri"/>
          <w:kern w:val="14"/>
          <w:lang w:val="en-US"/>
        </w:rPr>
        <w:t xml:space="preserve"> Available at </w:t>
      </w:r>
      <w:hyperlink r:id="rId19" w:history="1">
        <w:r w:rsidRPr="00F73568">
          <w:rPr>
            <w:rFonts w:eastAsia="Calibri"/>
            <w:color w:val="0563C1"/>
            <w:kern w:val="14"/>
            <w:lang w:val="en-US"/>
          </w:rPr>
          <w:t>w</w:t>
        </w:r>
        <w:r w:rsidRPr="001F7160">
          <w:rPr>
            <w:rFonts w:eastAsia="Calibri"/>
            <w:color w:val="0000FF"/>
            <w:kern w:val="14"/>
            <w:lang w:val="en-US"/>
          </w:rPr>
          <w:t>ww</w:t>
        </w:r>
        <w:r w:rsidRPr="00F22925">
          <w:rPr>
            <w:rFonts w:eastAsia="Calibri"/>
            <w:color w:val="0000FF"/>
            <w:kern w:val="14"/>
            <w:lang w:val="en-US"/>
          </w:rPr>
          <w:t>.</w:t>
        </w:r>
        <w:r w:rsidRPr="001F7160">
          <w:rPr>
            <w:rFonts w:eastAsia="Calibri"/>
            <w:color w:val="0000FF"/>
            <w:kern w:val="14"/>
            <w:lang w:val="en-US"/>
          </w:rPr>
          <w:t>opcw</w:t>
        </w:r>
        <w:r w:rsidRPr="00F22925">
          <w:rPr>
            <w:rFonts w:eastAsia="Calibri"/>
            <w:color w:val="0000FF"/>
            <w:kern w:val="14"/>
            <w:lang w:val="en-US"/>
          </w:rPr>
          <w:t>.</w:t>
        </w:r>
        <w:r w:rsidRPr="001F7160">
          <w:rPr>
            <w:rFonts w:eastAsia="Calibri"/>
            <w:color w:val="0000FF"/>
            <w:kern w:val="14"/>
            <w:lang w:val="en-US"/>
          </w:rPr>
          <w:t>org/news/article/syrias-accession-to-the-chemical-weapons-convention-enters-into-force/</w:t>
        </w:r>
      </w:hyperlink>
      <w:r w:rsidRPr="00F22925">
        <w:rPr>
          <w:rFonts w:eastAsia="Calibri"/>
          <w:kern w:val="14"/>
          <w:lang w:val="en-US"/>
        </w:rPr>
        <w:t>.</w:t>
      </w:r>
      <w:r w:rsidRPr="00C17AA1">
        <w:rPr>
          <w:rFonts w:eastAsia="Calibri"/>
          <w:kern w:val="14"/>
          <w:lang w:val="en-US"/>
        </w:rPr>
        <w:t xml:space="preserve"> </w:t>
      </w:r>
    </w:p>
    <w:p w14:paraId="3A23059E" w14:textId="77777777" w:rsidR="00014CBC" w:rsidRPr="00C17AA1" w:rsidRDefault="00014CBC" w:rsidP="00014CBC">
      <w:pPr>
        <w:pStyle w:val="SingleTxtG"/>
        <w:rPr>
          <w:rFonts w:eastAsia="Calibri"/>
          <w:kern w:val="14"/>
          <w:lang w:val="en-US"/>
        </w:rPr>
      </w:pPr>
      <w:r w:rsidRPr="00F73568">
        <w:rPr>
          <w:rFonts w:eastAsia="Calibri"/>
          <w:kern w:val="14"/>
          <w:lang w:val="en-US"/>
        </w:rPr>
        <w:t xml:space="preserve">United Nations, General Assembly, </w:t>
      </w:r>
      <w:r w:rsidRPr="00C17AA1">
        <w:rPr>
          <w:rFonts w:eastAsia="Calibri"/>
          <w:kern w:val="14"/>
          <w:lang w:val="en-US"/>
        </w:rPr>
        <w:t xml:space="preserve">Report of the Secretary-General on examples of precedents of provisional application, </w:t>
      </w:r>
      <w:r w:rsidRPr="00E91727">
        <w:rPr>
          <w:rFonts w:eastAsia="Calibri"/>
          <w:kern w:val="14"/>
          <w:lang w:val="en-US"/>
        </w:rPr>
        <w:t>pending</w:t>
      </w:r>
      <w:r w:rsidRPr="00C17AA1">
        <w:rPr>
          <w:rFonts w:eastAsia="Calibri"/>
          <w:kern w:val="14"/>
          <w:lang w:val="en-US"/>
        </w:rPr>
        <w:t xml:space="preserve"> their entry into force, of multilateral treaties, especially treaties which have established international organizations and/or regimes</w:t>
      </w:r>
      <w:r w:rsidRPr="00F22925">
        <w:rPr>
          <w:rFonts w:eastAsia="Calibri"/>
          <w:kern w:val="14"/>
          <w:lang w:val="en-US"/>
        </w:rPr>
        <w:t>.</w:t>
      </w:r>
      <w:r w:rsidRPr="00C17AA1">
        <w:rPr>
          <w:rFonts w:eastAsia="Calibri"/>
          <w:kern w:val="14"/>
          <w:lang w:val="en-US"/>
        </w:rPr>
        <w:t xml:space="preserve"> 12 June 1973</w:t>
      </w:r>
      <w:r w:rsidRPr="00F22925">
        <w:rPr>
          <w:rFonts w:eastAsia="Calibri"/>
          <w:kern w:val="14"/>
          <w:lang w:val="en-US"/>
        </w:rPr>
        <w:t>.</w:t>
      </w:r>
      <w:r w:rsidRPr="00C17AA1">
        <w:rPr>
          <w:rFonts w:eastAsia="Calibri"/>
          <w:kern w:val="14"/>
          <w:lang w:val="en-US"/>
        </w:rPr>
        <w:t xml:space="preserve"> </w:t>
      </w:r>
      <w:hyperlink r:id="rId20" w:history="1">
        <w:r w:rsidRPr="001F7160">
          <w:rPr>
            <w:rFonts w:eastAsia="Calibri"/>
            <w:color w:val="0000FF"/>
            <w:kern w:val="14"/>
            <w:lang w:val="en-US"/>
          </w:rPr>
          <w:t>A/AC</w:t>
        </w:r>
        <w:r w:rsidRPr="00F22925">
          <w:rPr>
            <w:rFonts w:eastAsia="Calibri"/>
            <w:color w:val="0000FF"/>
            <w:kern w:val="14"/>
            <w:lang w:val="en-US"/>
          </w:rPr>
          <w:t>.</w:t>
        </w:r>
        <w:r w:rsidRPr="001F7160">
          <w:rPr>
            <w:rFonts w:eastAsia="Calibri"/>
            <w:color w:val="0000FF"/>
            <w:kern w:val="14"/>
            <w:lang w:val="en-US"/>
          </w:rPr>
          <w:t>138/88</w:t>
        </w:r>
      </w:hyperlink>
      <w:r w:rsidRPr="00F22925">
        <w:rPr>
          <w:rFonts w:eastAsia="Calibri"/>
          <w:kern w:val="14"/>
          <w:lang w:val="en-US"/>
        </w:rPr>
        <w:t>.</w:t>
      </w:r>
    </w:p>
    <w:p w14:paraId="6C9B4F9E" w14:textId="77777777" w:rsidR="00014CBC" w:rsidRPr="00C17AA1" w:rsidRDefault="00014CBC" w:rsidP="00014CBC">
      <w:pPr>
        <w:pStyle w:val="SingleTxtG"/>
        <w:rPr>
          <w:rFonts w:eastAsia="Calibri"/>
          <w:kern w:val="14"/>
          <w:lang w:val="en-US"/>
        </w:rPr>
      </w:pPr>
      <w:r w:rsidRPr="00C17AA1">
        <w:rPr>
          <w:rFonts w:eastAsia="Calibri"/>
          <w:kern w:val="14"/>
          <w:lang w:val="en-US"/>
        </w:rPr>
        <w:t xml:space="preserve">_______, General </w:t>
      </w:r>
      <w:r w:rsidRPr="00E91727">
        <w:rPr>
          <w:rFonts w:eastAsia="Calibri"/>
          <w:kern w:val="14"/>
          <w:lang w:val="en-US"/>
        </w:rPr>
        <w:t>Assembly</w:t>
      </w:r>
      <w:r w:rsidRPr="00F22925">
        <w:rPr>
          <w:rFonts w:eastAsia="Calibri"/>
          <w:kern w:val="14"/>
          <w:lang w:val="en-US"/>
        </w:rPr>
        <w:t>.</w:t>
      </w:r>
      <w:r w:rsidRPr="00C17AA1">
        <w:rPr>
          <w:rFonts w:eastAsia="Calibri"/>
          <w:kern w:val="14"/>
          <w:lang w:val="en-US"/>
        </w:rPr>
        <w:t xml:space="preserve"> Report of the Secretary-General on strengthening and coordinating United Nations rule of law activities</w:t>
      </w:r>
      <w:r w:rsidRPr="00F22925">
        <w:rPr>
          <w:rFonts w:eastAsia="Calibri"/>
          <w:kern w:val="14"/>
          <w:lang w:val="en-US"/>
        </w:rPr>
        <w:t>.</w:t>
      </w:r>
      <w:r w:rsidRPr="00C17AA1">
        <w:rPr>
          <w:rFonts w:eastAsia="Calibri"/>
          <w:kern w:val="14"/>
          <w:lang w:val="en-US"/>
        </w:rPr>
        <w:t xml:space="preserve"> 27 July 2015</w:t>
      </w:r>
      <w:r w:rsidRPr="00F22925">
        <w:rPr>
          <w:rFonts w:eastAsia="Calibri"/>
          <w:kern w:val="14"/>
          <w:lang w:val="en-US"/>
        </w:rPr>
        <w:t>.</w:t>
      </w:r>
      <w:r w:rsidRPr="00C17AA1">
        <w:rPr>
          <w:rFonts w:eastAsia="Calibri"/>
          <w:kern w:val="14"/>
          <w:lang w:val="en-US"/>
        </w:rPr>
        <w:t xml:space="preserve"> </w:t>
      </w:r>
      <w:hyperlink r:id="rId21" w:history="1">
        <w:r w:rsidRPr="001F7160">
          <w:rPr>
            <w:rFonts w:eastAsia="Calibri"/>
            <w:color w:val="0000FF"/>
            <w:kern w:val="14"/>
            <w:lang w:val="en-US"/>
          </w:rPr>
          <w:t>A/70/206</w:t>
        </w:r>
      </w:hyperlink>
      <w:r w:rsidRPr="00C17AA1">
        <w:rPr>
          <w:rFonts w:eastAsia="Calibri"/>
          <w:kern w:val="14"/>
          <w:lang w:val="en-US"/>
        </w:rPr>
        <w:t>, para</w:t>
      </w:r>
      <w:r w:rsidRPr="00F22925">
        <w:rPr>
          <w:rFonts w:eastAsia="Calibri"/>
          <w:kern w:val="14"/>
          <w:lang w:val="en-US"/>
        </w:rPr>
        <w:t>.</w:t>
      </w:r>
      <w:r w:rsidRPr="00C17AA1">
        <w:rPr>
          <w:rFonts w:eastAsia="Calibri"/>
          <w:kern w:val="14"/>
          <w:lang w:val="en-US"/>
        </w:rPr>
        <w:t xml:space="preserve"> 11</w:t>
      </w:r>
      <w:r w:rsidRPr="00F22925">
        <w:rPr>
          <w:rFonts w:eastAsia="Calibri"/>
          <w:kern w:val="14"/>
          <w:lang w:val="en-US"/>
        </w:rPr>
        <w:t>.</w:t>
      </w:r>
    </w:p>
    <w:p w14:paraId="1D4A5CB5" w14:textId="77777777" w:rsidR="00014CBC" w:rsidRPr="00C17AA1" w:rsidRDefault="00014CBC" w:rsidP="00014CBC">
      <w:pPr>
        <w:pStyle w:val="SingleTxtG"/>
        <w:rPr>
          <w:rFonts w:eastAsia="Calibri"/>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Final Clauses of Multilateral Treaties: Handbook</w:t>
      </w:r>
      <w:r w:rsidRPr="00C17AA1">
        <w:rPr>
          <w:rFonts w:eastAsia="Calibri"/>
          <w:kern w:val="14"/>
          <w:lang w:val="en-US"/>
        </w:rPr>
        <w:t xml:space="preserve"> (United Nations publication, Sales No</w:t>
      </w:r>
      <w:r w:rsidRPr="00F22925">
        <w:rPr>
          <w:rFonts w:eastAsia="Calibri"/>
          <w:kern w:val="14"/>
          <w:lang w:val="en-US"/>
        </w:rPr>
        <w:t>.</w:t>
      </w:r>
      <w:r w:rsidRPr="00C17AA1">
        <w:rPr>
          <w:rFonts w:eastAsia="Calibri"/>
          <w:kern w:val="14"/>
          <w:lang w:val="en-US"/>
        </w:rPr>
        <w:t xml:space="preserve"> E</w:t>
      </w:r>
      <w:r w:rsidRPr="00F22925">
        <w:rPr>
          <w:rFonts w:eastAsia="Calibri"/>
          <w:kern w:val="14"/>
          <w:lang w:val="en-US"/>
        </w:rPr>
        <w:t>.</w:t>
      </w:r>
      <w:r w:rsidRPr="00C17AA1">
        <w:rPr>
          <w:rFonts w:eastAsia="Calibri"/>
          <w:kern w:val="14"/>
          <w:lang w:val="en-US"/>
        </w:rPr>
        <w:t>04</w:t>
      </w:r>
      <w:r w:rsidRPr="00F22925">
        <w:rPr>
          <w:rFonts w:eastAsia="Calibri"/>
          <w:kern w:val="14"/>
          <w:lang w:val="en-US"/>
        </w:rPr>
        <w:t>.</w:t>
      </w:r>
      <w:r w:rsidRPr="00C17AA1">
        <w:rPr>
          <w:rFonts w:eastAsia="Calibri"/>
          <w:kern w:val="14"/>
          <w:lang w:val="en-US"/>
        </w:rPr>
        <w:t>V</w:t>
      </w:r>
      <w:r w:rsidRPr="00F22925">
        <w:rPr>
          <w:rFonts w:eastAsia="Calibri"/>
          <w:kern w:val="14"/>
          <w:lang w:val="en-US"/>
        </w:rPr>
        <w:t>.</w:t>
      </w:r>
      <w:r w:rsidRPr="00C17AA1">
        <w:rPr>
          <w:rFonts w:eastAsia="Calibri"/>
          <w:kern w:val="14"/>
          <w:lang w:val="en-US"/>
        </w:rPr>
        <w:t>3)</w:t>
      </w:r>
      <w:r w:rsidRPr="00F22925">
        <w:rPr>
          <w:rFonts w:eastAsia="Calibri"/>
          <w:kern w:val="14"/>
          <w:lang w:val="en-US"/>
        </w:rPr>
        <w:t>.</w:t>
      </w:r>
    </w:p>
    <w:p w14:paraId="48D34C6B" w14:textId="77777777" w:rsidR="00014CBC" w:rsidRPr="00C17AA1" w:rsidRDefault="00014CBC" w:rsidP="00014CBC">
      <w:pPr>
        <w:pStyle w:val="SingleTxtG"/>
        <w:rPr>
          <w:rFonts w:eastAsia="Calibri"/>
          <w:kern w:val="14"/>
          <w:lang w:val="en-US"/>
        </w:rPr>
      </w:pPr>
      <w:r w:rsidRPr="00C17AA1">
        <w:rPr>
          <w:rFonts w:eastAsia="Calibri"/>
          <w:kern w:val="14"/>
          <w:lang w:val="en-US"/>
        </w:rPr>
        <w:t>_______, Office of Legal Affairs</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Treaty Handbook</w:t>
      </w:r>
      <w:r w:rsidRPr="00C17AA1">
        <w:rPr>
          <w:rFonts w:eastAsia="Calibri"/>
          <w:kern w:val="14"/>
          <w:lang w:val="en-US"/>
        </w:rPr>
        <w:t>, (United Nations publication, Sales No</w:t>
      </w:r>
      <w:r w:rsidRPr="00F22925">
        <w:rPr>
          <w:rFonts w:eastAsia="Calibri"/>
          <w:kern w:val="14"/>
          <w:lang w:val="en-US"/>
        </w:rPr>
        <w:t>.</w:t>
      </w:r>
      <w:r w:rsidRPr="00C17AA1">
        <w:rPr>
          <w:rFonts w:eastAsia="Calibri"/>
          <w:kern w:val="14"/>
          <w:lang w:val="en-US"/>
        </w:rPr>
        <w:t xml:space="preserve"> E</w:t>
      </w:r>
      <w:r w:rsidRPr="00F22925">
        <w:rPr>
          <w:rFonts w:eastAsia="Calibri"/>
          <w:kern w:val="14"/>
          <w:lang w:val="en-US"/>
        </w:rPr>
        <w:t>.</w:t>
      </w:r>
      <w:r w:rsidRPr="00C17AA1">
        <w:rPr>
          <w:rFonts w:eastAsia="Calibri"/>
          <w:kern w:val="14"/>
          <w:lang w:val="en-US"/>
        </w:rPr>
        <w:t>12</w:t>
      </w:r>
      <w:r w:rsidRPr="00F22925">
        <w:rPr>
          <w:rFonts w:eastAsia="Calibri"/>
          <w:kern w:val="14"/>
          <w:lang w:val="en-US"/>
        </w:rPr>
        <w:t>.</w:t>
      </w:r>
      <w:r w:rsidRPr="00C17AA1">
        <w:rPr>
          <w:rFonts w:eastAsia="Calibri"/>
          <w:kern w:val="14"/>
          <w:lang w:val="en-US"/>
        </w:rPr>
        <w:t>V</w:t>
      </w:r>
      <w:r w:rsidRPr="00F22925">
        <w:rPr>
          <w:rFonts w:eastAsia="Calibri"/>
          <w:kern w:val="14"/>
          <w:lang w:val="en-US"/>
        </w:rPr>
        <w:t>.</w:t>
      </w:r>
      <w:r w:rsidRPr="00C17AA1">
        <w:rPr>
          <w:rFonts w:eastAsia="Calibri"/>
          <w:kern w:val="14"/>
          <w:lang w:val="en-US"/>
        </w:rPr>
        <w:t>1)</w:t>
      </w:r>
      <w:r w:rsidRPr="00F22925">
        <w:rPr>
          <w:rFonts w:eastAsia="Calibri"/>
          <w:kern w:val="14"/>
          <w:lang w:val="en-US"/>
        </w:rPr>
        <w:t>.</w:t>
      </w:r>
      <w:r w:rsidRPr="00C17AA1">
        <w:rPr>
          <w:rFonts w:eastAsia="Calibri"/>
          <w:kern w:val="14"/>
          <w:lang w:val="en-US"/>
        </w:rPr>
        <w:t xml:space="preserve"> </w:t>
      </w:r>
    </w:p>
    <w:p w14:paraId="6D277557" w14:textId="77777777" w:rsidR="00014CBC" w:rsidRPr="00C17AA1" w:rsidRDefault="00014CBC" w:rsidP="00014CBC">
      <w:pPr>
        <w:pStyle w:val="SingleTxtG"/>
        <w:rPr>
          <w:rFonts w:eastAsia="Calibri"/>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Repertory of Practice of United Nations Organs, Supplement No</w:t>
      </w:r>
      <w:r w:rsidRPr="00F22925">
        <w:rPr>
          <w:rFonts w:eastAsia="Calibri"/>
          <w:i/>
          <w:iCs/>
          <w:kern w:val="14"/>
          <w:lang w:val="en-US"/>
        </w:rPr>
        <w:t>.</w:t>
      </w:r>
      <w:r w:rsidRPr="00C17AA1">
        <w:rPr>
          <w:rFonts w:eastAsia="Calibri"/>
          <w:i/>
          <w:iCs/>
          <w:kern w:val="14"/>
          <w:lang w:val="en-US"/>
        </w:rPr>
        <w:t xml:space="preserve"> 3</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IV, arts</w:t>
      </w:r>
      <w:r w:rsidRPr="00F22925">
        <w:rPr>
          <w:rFonts w:eastAsia="Calibri"/>
          <w:kern w:val="14"/>
          <w:lang w:val="en-US"/>
        </w:rPr>
        <w:t>.</w:t>
      </w:r>
      <w:r w:rsidRPr="00C17AA1">
        <w:rPr>
          <w:rFonts w:eastAsia="Calibri"/>
          <w:kern w:val="14"/>
          <w:lang w:val="en-US"/>
        </w:rPr>
        <w:t xml:space="preserve"> 92–111 of the Charter (United Nations publication, Sales No</w:t>
      </w:r>
      <w:r w:rsidRPr="00F22925">
        <w:rPr>
          <w:rFonts w:eastAsia="Calibri"/>
          <w:kern w:val="14"/>
          <w:lang w:val="en-US"/>
        </w:rPr>
        <w:t>.</w:t>
      </w:r>
      <w:r w:rsidRPr="00C17AA1">
        <w:rPr>
          <w:rFonts w:eastAsia="Calibri"/>
          <w:kern w:val="14"/>
          <w:lang w:val="en-US"/>
        </w:rPr>
        <w:t>: E</w:t>
      </w:r>
      <w:r w:rsidRPr="00F22925">
        <w:rPr>
          <w:rFonts w:eastAsia="Calibri"/>
          <w:kern w:val="14"/>
          <w:lang w:val="en-US"/>
        </w:rPr>
        <w:t>.</w:t>
      </w:r>
      <w:r w:rsidRPr="00C17AA1">
        <w:rPr>
          <w:rFonts w:eastAsia="Calibri"/>
          <w:kern w:val="14"/>
          <w:lang w:val="en-US"/>
        </w:rPr>
        <w:t>73</w:t>
      </w:r>
      <w:r w:rsidRPr="00F22925">
        <w:rPr>
          <w:rFonts w:eastAsia="Calibri"/>
          <w:kern w:val="14"/>
          <w:lang w:val="en-US"/>
        </w:rPr>
        <w:t>.</w:t>
      </w:r>
      <w:r w:rsidRPr="00C17AA1">
        <w:rPr>
          <w:rFonts w:eastAsia="Calibri"/>
          <w:kern w:val="14"/>
          <w:lang w:val="en-US"/>
        </w:rPr>
        <w:t>V</w:t>
      </w:r>
      <w:r w:rsidRPr="00F22925">
        <w:rPr>
          <w:rFonts w:eastAsia="Calibri"/>
          <w:kern w:val="14"/>
          <w:lang w:val="en-US"/>
        </w:rPr>
        <w:t>.</w:t>
      </w:r>
      <w:r w:rsidRPr="00C17AA1">
        <w:rPr>
          <w:rFonts w:eastAsia="Calibri"/>
          <w:kern w:val="14"/>
          <w:lang w:val="en-US"/>
        </w:rPr>
        <w:t>2)</w:t>
      </w:r>
      <w:r w:rsidRPr="00F22925">
        <w:rPr>
          <w:rFonts w:eastAsia="Calibri"/>
          <w:kern w:val="14"/>
          <w:lang w:val="en-US"/>
        </w:rPr>
        <w:t>.</w:t>
      </w:r>
      <w:r w:rsidRPr="00C17AA1">
        <w:rPr>
          <w:rFonts w:eastAsia="Calibri"/>
          <w:kern w:val="14"/>
          <w:lang w:val="en-US"/>
        </w:rPr>
        <w:t xml:space="preserve"> </w:t>
      </w:r>
    </w:p>
    <w:p w14:paraId="1DCD8DF5" w14:textId="77777777" w:rsidR="00014CBC" w:rsidRPr="00C17AA1" w:rsidRDefault="00014CBC" w:rsidP="00014CBC">
      <w:pPr>
        <w:pStyle w:val="SingleTxtG"/>
        <w:rPr>
          <w:rFonts w:eastAsia="Calibri"/>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Repertory of Practice of United Nations Organs</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V, Articles 92–111 of the Charter (United Nations publication, Sales No: 1955</w:t>
      </w:r>
      <w:r w:rsidRPr="00F22925">
        <w:rPr>
          <w:rFonts w:eastAsia="Calibri"/>
          <w:kern w:val="14"/>
          <w:lang w:val="en-US"/>
        </w:rPr>
        <w:t>.</w:t>
      </w:r>
      <w:r w:rsidRPr="00C17AA1">
        <w:rPr>
          <w:rFonts w:eastAsia="Calibri"/>
          <w:kern w:val="14"/>
          <w:lang w:val="en-US"/>
        </w:rPr>
        <w:t>V</w:t>
      </w:r>
      <w:r w:rsidRPr="00F22925">
        <w:rPr>
          <w:rFonts w:eastAsia="Calibri"/>
          <w:kern w:val="14"/>
          <w:lang w:val="en-US"/>
        </w:rPr>
        <w:t>.</w:t>
      </w:r>
      <w:r w:rsidRPr="00C17AA1">
        <w:rPr>
          <w:rFonts w:eastAsia="Calibri"/>
          <w:kern w:val="14"/>
          <w:lang w:val="en-US"/>
        </w:rPr>
        <w:t>2 (vol</w:t>
      </w:r>
      <w:r w:rsidRPr="00F22925">
        <w:rPr>
          <w:rFonts w:eastAsia="Calibri"/>
          <w:kern w:val="14"/>
          <w:lang w:val="en-US"/>
        </w:rPr>
        <w:t>.</w:t>
      </w:r>
      <w:r w:rsidRPr="00C17AA1">
        <w:rPr>
          <w:rFonts w:eastAsia="Calibri"/>
          <w:kern w:val="14"/>
          <w:lang w:val="en-US"/>
        </w:rPr>
        <w:t xml:space="preserve"> V))</w:t>
      </w:r>
      <w:r w:rsidRPr="00F22925">
        <w:rPr>
          <w:rFonts w:eastAsia="Calibri"/>
          <w:kern w:val="14"/>
          <w:lang w:val="en-US"/>
        </w:rPr>
        <w:t>.</w:t>
      </w:r>
    </w:p>
    <w:p w14:paraId="71CBB383" w14:textId="77777777" w:rsidR="00014CBC" w:rsidRPr="00C17AA1" w:rsidRDefault="00014CBC" w:rsidP="00014CBC">
      <w:pPr>
        <w:pStyle w:val="SingleTxtG"/>
        <w:rPr>
          <w:rFonts w:eastAsia="Calibri"/>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Summary of Practice of the Secretary-General as Depositary of Multilateral Treaties</w:t>
      </w:r>
      <w:r w:rsidRPr="00C17AA1">
        <w:rPr>
          <w:rFonts w:eastAsia="Calibri"/>
          <w:kern w:val="14"/>
          <w:lang w:val="en-US"/>
        </w:rPr>
        <w:t>, ST/LEG/7/Rev</w:t>
      </w:r>
      <w:r w:rsidRPr="00F22925">
        <w:rPr>
          <w:rFonts w:eastAsia="Calibri"/>
          <w:kern w:val="14"/>
          <w:lang w:val="en-US"/>
        </w:rPr>
        <w:t>.</w:t>
      </w:r>
      <w:r w:rsidRPr="00C17AA1">
        <w:rPr>
          <w:rFonts w:eastAsia="Calibri"/>
          <w:kern w:val="14"/>
          <w:lang w:val="en-US"/>
        </w:rPr>
        <w:t>1 (United Nations publication, Sales No</w:t>
      </w:r>
      <w:r w:rsidRPr="00F22925">
        <w:rPr>
          <w:rFonts w:eastAsia="Calibri"/>
          <w:kern w:val="14"/>
          <w:lang w:val="en-US"/>
        </w:rPr>
        <w:t>.</w:t>
      </w:r>
      <w:r w:rsidRPr="00C17AA1">
        <w:rPr>
          <w:rFonts w:eastAsia="Calibri"/>
          <w:kern w:val="14"/>
          <w:lang w:val="en-US"/>
        </w:rPr>
        <w:t xml:space="preserve"> E</w:t>
      </w:r>
      <w:r w:rsidRPr="00F22925">
        <w:rPr>
          <w:rFonts w:eastAsia="Calibri"/>
          <w:kern w:val="14"/>
          <w:lang w:val="en-US"/>
        </w:rPr>
        <w:t>.</w:t>
      </w:r>
      <w:r w:rsidRPr="00C17AA1">
        <w:rPr>
          <w:rFonts w:eastAsia="Calibri"/>
          <w:kern w:val="14"/>
          <w:lang w:val="en-US"/>
        </w:rPr>
        <w:t>94</w:t>
      </w:r>
      <w:r w:rsidRPr="00F22925">
        <w:rPr>
          <w:rFonts w:eastAsia="Calibri"/>
          <w:kern w:val="14"/>
          <w:lang w:val="en-US"/>
        </w:rPr>
        <w:t>.</w:t>
      </w:r>
      <w:r w:rsidRPr="00C17AA1">
        <w:rPr>
          <w:rFonts w:eastAsia="Calibri"/>
          <w:kern w:val="14"/>
          <w:lang w:val="en-US"/>
        </w:rPr>
        <w:t>V</w:t>
      </w:r>
      <w:r w:rsidRPr="00F22925">
        <w:rPr>
          <w:rFonts w:eastAsia="Calibri"/>
          <w:kern w:val="14"/>
          <w:lang w:val="en-US"/>
        </w:rPr>
        <w:t>.</w:t>
      </w:r>
      <w:r w:rsidRPr="00C17AA1">
        <w:rPr>
          <w:rFonts w:eastAsia="Calibri"/>
          <w:kern w:val="14"/>
          <w:lang w:val="en-US"/>
        </w:rPr>
        <w:t>15), paras</w:t>
      </w:r>
      <w:r w:rsidRPr="00F22925">
        <w:rPr>
          <w:rFonts w:eastAsia="Calibri"/>
          <w:kern w:val="14"/>
          <w:lang w:val="en-US"/>
        </w:rPr>
        <w:t>.</w:t>
      </w:r>
      <w:r w:rsidRPr="00C17AA1">
        <w:rPr>
          <w:rFonts w:eastAsia="Calibri"/>
          <w:kern w:val="14"/>
          <w:lang w:val="en-US"/>
        </w:rPr>
        <w:t xml:space="preserve"> 237</w:t>
      </w:r>
      <w:r>
        <w:rPr>
          <w:rFonts w:eastAsia="Calibri"/>
          <w:kern w:val="14"/>
          <w:lang w:val="en-US"/>
        </w:rPr>
        <w:noBreakHyphen/>
      </w:r>
      <w:r w:rsidRPr="00C17AA1">
        <w:rPr>
          <w:rFonts w:eastAsia="Calibri"/>
          <w:kern w:val="14"/>
          <w:lang w:val="en-US"/>
        </w:rPr>
        <w:t>241</w:t>
      </w:r>
      <w:r w:rsidRPr="00F22925">
        <w:rPr>
          <w:rFonts w:eastAsia="Calibri"/>
          <w:kern w:val="14"/>
          <w:lang w:val="en-US"/>
        </w:rPr>
        <w:t>.</w:t>
      </w:r>
    </w:p>
    <w:p w14:paraId="2EB29BAE" w14:textId="77777777" w:rsidR="00014CBC" w:rsidRPr="00C17AA1" w:rsidRDefault="00014CBC" w:rsidP="00014CBC">
      <w:pPr>
        <w:pStyle w:val="SingleTxtG"/>
        <w:rPr>
          <w:rFonts w:eastAsia="Calibri"/>
          <w:spacing w:val="4"/>
          <w:kern w:val="14"/>
          <w:lang w:val="en-US"/>
        </w:rPr>
      </w:pPr>
      <w:r w:rsidRPr="00C17AA1">
        <w:rPr>
          <w:rFonts w:eastAsia="Calibri"/>
          <w:kern w:val="14"/>
          <w:lang w:val="en-US"/>
        </w:rPr>
        <w:t>_______</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Summary of Practice of the Secretary-General as Depositary of Multilateral Treaties</w:t>
      </w:r>
      <w:r w:rsidRPr="00C17AA1">
        <w:rPr>
          <w:rFonts w:eastAsia="Calibri"/>
          <w:kern w:val="14"/>
          <w:lang w:val="en-US"/>
        </w:rPr>
        <w:t>, ST/LEG/7/Rev</w:t>
      </w:r>
      <w:r w:rsidRPr="00F22925">
        <w:rPr>
          <w:rFonts w:eastAsia="Calibri"/>
          <w:kern w:val="14"/>
          <w:lang w:val="en-US"/>
        </w:rPr>
        <w:t>.</w:t>
      </w:r>
      <w:r w:rsidRPr="00C17AA1">
        <w:rPr>
          <w:rFonts w:eastAsia="Calibri"/>
          <w:kern w:val="14"/>
          <w:lang w:val="en-US"/>
        </w:rPr>
        <w:t>1</w:t>
      </w:r>
      <w:r w:rsidRPr="00F22925">
        <w:rPr>
          <w:rFonts w:eastAsia="Calibri"/>
          <w:kern w:val="14"/>
          <w:lang w:val="en-US"/>
        </w:rPr>
        <w:t>.</w:t>
      </w:r>
      <w:r w:rsidRPr="00C17AA1">
        <w:rPr>
          <w:rFonts w:eastAsia="Calibri"/>
          <w:kern w:val="14"/>
          <w:lang w:val="en-US"/>
        </w:rPr>
        <w:t xml:space="preserve"> (United Nations publication, Sales No</w:t>
      </w:r>
      <w:r w:rsidRPr="00F22925">
        <w:rPr>
          <w:rFonts w:eastAsia="Calibri"/>
          <w:kern w:val="14"/>
          <w:lang w:val="en-US"/>
        </w:rPr>
        <w:t>.</w:t>
      </w:r>
      <w:r w:rsidRPr="00C17AA1">
        <w:rPr>
          <w:rFonts w:eastAsia="Calibri"/>
          <w:kern w:val="14"/>
          <w:lang w:val="en-US"/>
        </w:rPr>
        <w:t xml:space="preserve"> E/94/V</w:t>
      </w:r>
      <w:r w:rsidRPr="00F22925">
        <w:rPr>
          <w:rFonts w:eastAsia="Calibri"/>
          <w:kern w:val="14"/>
          <w:lang w:val="en-US"/>
        </w:rPr>
        <w:t>.</w:t>
      </w:r>
      <w:r w:rsidRPr="00C17AA1">
        <w:rPr>
          <w:rFonts w:eastAsia="Calibri"/>
          <w:kern w:val="14"/>
          <w:lang w:val="en-US"/>
        </w:rPr>
        <w:t>5)</w:t>
      </w:r>
      <w:r w:rsidRPr="00F22925">
        <w:rPr>
          <w:rFonts w:eastAsia="Calibri"/>
          <w:kern w:val="14"/>
          <w:lang w:val="en-US"/>
        </w:rPr>
        <w:t>.</w:t>
      </w:r>
    </w:p>
    <w:p w14:paraId="150B3C0E" w14:textId="77777777" w:rsidR="00014CBC" w:rsidRPr="00C17AA1" w:rsidRDefault="00014CBC" w:rsidP="00014CBC">
      <w:pPr>
        <w:pStyle w:val="H23G"/>
        <w:rPr>
          <w:rFonts w:eastAsia="Calibri"/>
          <w:bCs/>
          <w:spacing w:val="4"/>
          <w:kern w:val="14"/>
          <w:lang w:val="en-US"/>
        </w:rPr>
      </w:pPr>
      <w:r w:rsidRPr="00C17AA1">
        <w:rPr>
          <w:rFonts w:eastAsia="Calibri"/>
          <w:bCs/>
          <w:spacing w:val="4"/>
          <w:kern w:val="14"/>
          <w:lang w:val="en-US"/>
        </w:rPr>
        <w:tab/>
        <w:t>2</w:t>
      </w:r>
      <w:r w:rsidRPr="00F22925">
        <w:rPr>
          <w:rFonts w:eastAsia="Calibri"/>
          <w:bCs/>
          <w:spacing w:val="4"/>
          <w:kern w:val="14"/>
          <w:lang w:val="en-US"/>
        </w:rPr>
        <w:t>.</w:t>
      </w:r>
      <w:r w:rsidRPr="00C17AA1">
        <w:rPr>
          <w:rFonts w:eastAsia="Calibri"/>
          <w:bCs/>
          <w:spacing w:val="4"/>
          <w:kern w:val="14"/>
          <w:lang w:val="en-US"/>
        </w:rPr>
        <w:tab/>
      </w:r>
      <w:proofErr w:type="spellStart"/>
      <w:r w:rsidRPr="00E91727">
        <w:rPr>
          <w:lang w:val="en-US"/>
        </w:rPr>
        <w:t>États</w:t>
      </w:r>
      <w:proofErr w:type="spellEnd"/>
    </w:p>
    <w:p w14:paraId="6B0B9064" w14:textId="77777777" w:rsidR="00014CBC" w:rsidRPr="00C17AA1" w:rsidRDefault="00014CBC" w:rsidP="00014CBC">
      <w:pPr>
        <w:pStyle w:val="SingleTxtG"/>
        <w:rPr>
          <w:rFonts w:eastAsia="Calibri"/>
          <w:kern w:val="14"/>
          <w:lang w:val="en-US"/>
        </w:rPr>
      </w:pPr>
      <w:r w:rsidRPr="00C17AA1">
        <w:rPr>
          <w:rFonts w:eastAsia="Calibri"/>
          <w:kern w:val="14"/>
          <w:lang w:val="en-US"/>
        </w:rPr>
        <w:t xml:space="preserve">Estonia, Foreign Relations Act, adopted on 15 June 2006, </w:t>
      </w:r>
      <w:proofErr w:type="spellStart"/>
      <w:r w:rsidRPr="00C17AA1">
        <w:rPr>
          <w:rFonts w:eastAsia="Calibri"/>
          <w:i/>
          <w:iCs/>
          <w:kern w:val="14"/>
          <w:lang w:val="en-US"/>
        </w:rPr>
        <w:t>Rigii</w:t>
      </w:r>
      <w:proofErr w:type="spellEnd"/>
      <w:r w:rsidRPr="00C17AA1">
        <w:rPr>
          <w:rFonts w:eastAsia="Calibri"/>
          <w:i/>
          <w:iCs/>
          <w:kern w:val="14"/>
          <w:lang w:val="en-US"/>
        </w:rPr>
        <w:t xml:space="preserve"> </w:t>
      </w:r>
      <w:proofErr w:type="spellStart"/>
      <w:r w:rsidRPr="00C17AA1">
        <w:rPr>
          <w:rFonts w:eastAsia="Calibri"/>
          <w:i/>
          <w:iCs/>
          <w:kern w:val="14"/>
          <w:lang w:val="en-US"/>
        </w:rPr>
        <w:t>Teataja</w:t>
      </w:r>
      <w:proofErr w:type="spellEnd"/>
      <w:r w:rsidRPr="00C17AA1">
        <w:rPr>
          <w:rFonts w:eastAsia="Calibri"/>
          <w:kern w:val="14"/>
          <w:lang w:val="en-US"/>
        </w:rPr>
        <w:t>, I 2006, 32, 248, entered into force on 1 January 2007</w:t>
      </w:r>
      <w:r w:rsidRPr="00F22925">
        <w:rPr>
          <w:rFonts w:eastAsia="Calibri"/>
          <w:kern w:val="14"/>
          <w:lang w:val="en-US"/>
        </w:rPr>
        <w:t>.</w:t>
      </w:r>
      <w:r w:rsidRPr="00C17AA1">
        <w:rPr>
          <w:rFonts w:eastAsia="Calibri"/>
          <w:kern w:val="14"/>
          <w:lang w:val="en-US"/>
        </w:rPr>
        <w:t xml:space="preserve"> Available at </w:t>
      </w:r>
      <w:hyperlink r:id="rId22" w:history="1">
        <w:r w:rsidRPr="00A939D1">
          <w:rPr>
            <w:rFonts w:eastAsia="Calibri"/>
            <w:color w:val="0000FF"/>
            <w:kern w:val="14"/>
            <w:lang w:val="en-US"/>
          </w:rPr>
          <w:t>www</w:t>
        </w:r>
        <w:r w:rsidRPr="00F22925">
          <w:rPr>
            <w:rFonts w:eastAsia="Calibri"/>
            <w:color w:val="0000FF"/>
            <w:kern w:val="14"/>
            <w:lang w:val="en-US"/>
          </w:rPr>
          <w:t>.</w:t>
        </w:r>
        <w:r w:rsidRPr="00A939D1">
          <w:rPr>
            <w:rFonts w:eastAsia="Calibri"/>
            <w:color w:val="0000FF"/>
            <w:kern w:val="14"/>
            <w:lang w:val="en-US"/>
          </w:rPr>
          <w:t>riigiteataja</w:t>
        </w:r>
        <w:r w:rsidRPr="00F22925">
          <w:rPr>
            <w:rFonts w:eastAsia="Calibri"/>
            <w:color w:val="0000FF"/>
            <w:kern w:val="14"/>
            <w:lang w:val="en-US"/>
          </w:rPr>
          <w:t>.</w:t>
        </w:r>
        <w:r w:rsidRPr="00A939D1">
          <w:rPr>
            <w:rFonts w:eastAsia="Calibri"/>
            <w:color w:val="0000FF"/>
            <w:kern w:val="14"/>
            <w:lang w:val="en-US"/>
          </w:rPr>
          <w:t>ee/en/eli/</w:t>
        </w:r>
        <w:r w:rsidRPr="00A939D1">
          <w:rPr>
            <w:rFonts w:eastAsia="Calibri"/>
            <w:color w:val="0000FF"/>
            <w:kern w:val="14"/>
            <w:lang w:val="en-US"/>
          </w:rPr>
          <w:br/>
          <w:t>517012014001/</w:t>
        </w:r>
        <w:proofErr w:type="spellStart"/>
        <w:r w:rsidRPr="00A939D1">
          <w:rPr>
            <w:rFonts w:eastAsia="Calibri"/>
            <w:color w:val="0000FF"/>
            <w:kern w:val="14"/>
            <w:lang w:val="en-US"/>
          </w:rPr>
          <w:t>consolide</w:t>
        </w:r>
        <w:proofErr w:type="spellEnd"/>
      </w:hyperlink>
      <w:r w:rsidRPr="00F22925">
        <w:rPr>
          <w:rFonts w:eastAsia="Calibri"/>
          <w:kern w:val="14"/>
          <w:lang w:val="en-US"/>
        </w:rPr>
        <w:t>.</w:t>
      </w:r>
      <w:r w:rsidRPr="00C17AA1">
        <w:rPr>
          <w:rFonts w:eastAsia="Calibri"/>
          <w:kern w:val="14"/>
          <w:lang w:val="en-US"/>
        </w:rPr>
        <w:t xml:space="preserve"> </w:t>
      </w:r>
    </w:p>
    <w:p w14:paraId="35AF4C15" w14:textId="77777777" w:rsidR="00014CBC" w:rsidRPr="00C17AA1" w:rsidRDefault="00014CBC" w:rsidP="00014CBC">
      <w:pPr>
        <w:pStyle w:val="SingleTxtG"/>
        <w:rPr>
          <w:rFonts w:eastAsia="Calibri"/>
          <w:kern w:val="14"/>
          <w:lang w:val="en-US"/>
        </w:rPr>
      </w:pPr>
      <w:r w:rsidRPr="00C17AA1">
        <w:rPr>
          <w:rFonts w:eastAsia="Calibri"/>
          <w:kern w:val="14"/>
          <w:lang w:val="en-US"/>
        </w:rPr>
        <w:t xml:space="preserve">France, Circular of 30 May 1997 on the preparation and conclusion of international agreements, </w:t>
      </w:r>
      <w:r w:rsidRPr="00C17AA1">
        <w:rPr>
          <w:rFonts w:eastAsia="Calibri"/>
          <w:i/>
          <w:iCs/>
          <w:kern w:val="14"/>
          <w:lang w:val="en-US"/>
        </w:rPr>
        <w:t xml:space="preserve">Journal </w:t>
      </w:r>
      <w:proofErr w:type="spellStart"/>
      <w:r w:rsidRPr="00C17AA1">
        <w:rPr>
          <w:rFonts w:eastAsia="Calibri"/>
          <w:i/>
          <w:iCs/>
          <w:kern w:val="14"/>
          <w:lang w:val="en-US"/>
        </w:rPr>
        <w:t>officiel</w:t>
      </w:r>
      <w:proofErr w:type="spellEnd"/>
      <w:r w:rsidRPr="00C17AA1">
        <w:rPr>
          <w:rFonts w:eastAsia="Calibri"/>
          <w:i/>
          <w:iCs/>
          <w:kern w:val="14"/>
          <w:lang w:val="en-US"/>
        </w:rPr>
        <w:t xml:space="preserve"> de la </w:t>
      </w:r>
      <w:proofErr w:type="spellStart"/>
      <w:r w:rsidRPr="00C17AA1">
        <w:rPr>
          <w:rFonts w:eastAsia="Calibri"/>
          <w:i/>
          <w:iCs/>
          <w:kern w:val="14"/>
          <w:lang w:val="en-US"/>
        </w:rPr>
        <w:t>République</w:t>
      </w:r>
      <w:proofErr w:type="spellEnd"/>
      <w:r w:rsidRPr="00C17AA1">
        <w:rPr>
          <w:rFonts w:eastAsia="Calibri"/>
          <w:i/>
          <w:iCs/>
          <w:kern w:val="14"/>
          <w:lang w:val="en-US"/>
        </w:rPr>
        <w:t xml:space="preserve"> </w:t>
      </w:r>
      <w:proofErr w:type="spellStart"/>
      <w:r w:rsidRPr="00C17AA1">
        <w:rPr>
          <w:rFonts w:eastAsia="Calibri"/>
          <w:i/>
          <w:iCs/>
          <w:kern w:val="14"/>
          <w:lang w:val="en-US"/>
        </w:rPr>
        <w:t>française</w:t>
      </w:r>
      <w:proofErr w:type="spellEnd"/>
      <w:r w:rsidRPr="00C17AA1">
        <w:rPr>
          <w:rFonts w:eastAsia="Calibri"/>
          <w:kern w:val="14"/>
          <w:lang w:val="en-US"/>
        </w:rPr>
        <w:t>, No</w:t>
      </w:r>
      <w:r w:rsidRPr="00F22925">
        <w:rPr>
          <w:rFonts w:eastAsia="Calibri"/>
          <w:kern w:val="14"/>
          <w:lang w:val="en-US"/>
        </w:rPr>
        <w:t>.</w:t>
      </w:r>
      <w:r w:rsidRPr="00C17AA1">
        <w:rPr>
          <w:rFonts w:eastAsia="Calibri"/>
          <w:kern w:val="14"/>
          <w:lang w:val="en-US"/>
        </w:rPr>
        <w:t xml:space="preserve"> 0125, 31 May 1997, 8415</w:t>
      </w:r>
      <w:r w:rsidRPr="00F22925">
        <w:rPr>
          <w:rFonts w:eastAsia="Calibri"/>
          <w:kern w:val="14"/>
          <w:lang w:val="en-US"/>
        </w:rPr>
        <w:t>.</w:t>
      </w:r>
      <w:r w:rsidRPr="00C17AA1">
        <w:rPr>
          <w:rFonts w:eastAsia="Calibri"/>
          <w:kern w:val="14"/>
          <w:lang w:val="en-US"/>
        </w:rPr>
        <w:t xml:space="preserve"> The text of the circular is available at </w:t>
      </w:r>
      <w:hyperlink r:id="rId23" w:history="1">
        <w:r w:rsidRPr="00A939D1">
          <w:rPr>
            <w:rFonts w:eastAsia="Calibri"/>
            <w:color w:val="0000FF"/>
            <w:kern w:val="14"/>
            <w:lang w:val="en-US"/>
          </w:rPr>
          <w:t>www</w:t>
        </w:r>
        <w:r w:rsidRPr="00F22925">
          <w:rPr>
            <w:rFonts w:eastAsia="Calibri"/>
            <w:color w:val="0000FF"/>
            <w:kern w:val="14"/>
            <w:lang w:val="en-US"/>
          </w:rPr>
          <w:t>.</w:t>
        </w:r>
        <w:r w:rsidRPr="00A939D1">
          <w:rPr>
            <w:rFonts w:eastAsia="Calibri"/>
            <w:color w:val="0000FF"/>
            <w:kern w:val="14"/>
            <w:lang w:val="en-US"/>
          </w:rPr>
          <w:t>legifrance</w:t>
        </w:r>
        <w:r w:rsidRPr="00F22925">
          <w:rPr>
            <w:rFonts w:eastAsia="Calibri"/>
            <w:color w:val="0000FF"/>
            <w:kern w:val="14"/>
            <w:lang w:val="en-US"/>
          </w:rPr>
          <w:t>.</w:t>
        </w:r>
        <w:r w:rsidRPr="00A939D1">
          <w:rPr>
            <w:rFonts w:eastAsia="Calibri"/>
            <w:color w:val="0000FF"/>
            <w:kern w:val="14"/>
            <w:lang w:val="en-US"/>
          </w:rPr>
          <w:t>gouv</w:t>
        </w:r>
        <w:r w:rsidRPr="00F22925">
          <w:rPr>
            <w:rFonts w:eastAsia="Calibri"/>
            <w:color w:val="0000FF"/>
            <w:kern w:val="14"/>
            <w:lang w:val="en-US"/>
          </w:rPr>
          <w:t>.</w:t>
        </w:r>
        <w:r w:rsidRPr="00A939D1">
          <w:rPr>
            <w:rFonts w:eastAsia="Calibri"/>
            <w:color w:val="0000FF"/>
            <w:kern w:val="14"/>
            <w:lang w:val="en-US"/>
          </w:rPr>
          <w:t>fr/affichTexte</w:t>
        </w:r>
        <w:r w:rsidRPr="00F22925">
          <w:rPr>
            <w:rFonts w:eastAsia="Calibri"/>
            <w:color w:val="0000FF"/>
            <w:kern w:val="14"/>
            <w:lang w:val="en-US"/>
          </w:rPr>
          <w:t>.</w:t>
        </w:r>
        <w:r w:rsidRPr="00A939D1">
          <w:rPr>
            <w:rFonts w:eastAsia="Calibri"/>
            <w:color w:val="0000FF"/>
            <w:kern w:val="14"/>
            <w:lang w:val="en-US"/>
          </w:rPr>
          <w:t>do?cidTexte</w:t>
        </w:r>
        <w:r w:rsidRPr="00A939D1">
          <w:rPr>
            <w:rFonts w:eastAsia="Calibri"/>
            <w:color w:val="0000FF"/>
            <w:kern w:val="14"/>
            <w:lang w:val="en-US"/>
          </w:rPr>
          <w:br/>
          <w:t>=JORFTEXT000000200416</w:t>
        </w:r>
      </w:hyperlink>
      <w:r w:rsidRPr="00F22925">
        <w:rPr>
          <w:rFonts w:eastAsia="Calibri"/>
          <w:kern w:val="14"/>
          <w:lang w:val="en-US"/>
        </w:rPr>
        <w:t>.</w:t>
      </w:r>
      <w:r w:rsidRPr="00C17AA1">
        <w:rPr>
          <w:rFonts w:eastAsia="Calibri"/>
          <w:kern w:val="14"/>
          <w:lang w:val="en-US"/>
        </w:rPr>
        <w:t xml:space="preserve"> </w:t>
      </w:r>
    </w:p>
    <w:p w14:paraId="21068FEE" w14:textId="77777777" w:rsidR="00014CBC" w:rsidRPr="00C17AA1" w:rsidRDefault="00014CBC" w:rsidP="00014CBC">
      <w:pPr>
        <w:pStyle w:val="SingleTxtG"/>
        <w:rPr>
          <w:rFonts w:eastAsia="Calibri"/>
          <w:kern w:val="14"/>
          <w:lang w:val="en-US"/>
        </w:rPr>
      </w:pPr>
      <w:r w:rsidRPr="00C17AA1">
        <w:rPr>
          <w:rFonts w:eastAsia="Calibri"/>
          <w:kern w:val="14"/>
          <w:lang w:val="en-US"/>
        </w:rPr>
        <w:t>Nigeria, Ministry of Foreign Affairs</w:t>
      </w:r>
      <w:r w:rsidRPr="00F22925">
        <w:rPr>
          <w:rFonts w:eastAsia="Calibri"/>
          <w:kern w:val="14"/>
          <w:lang w:val="en-US"/>
        </w:rPr>
        <w:t>.</w:t>
      </w:r>
      <w:r w:rsidRPr="00C17AA1">
        <w:rPr>
          <w:rFonts w:eastAsia="Calibri"/>
          <w:kern w:val="14"/>
          <w:lang w:val="en-US"/>
        </w:rPr>
        <w:t xml:space="preserve"> The Treaty, Protocols, Conventions and Supplementary Acts of the Economic Community of West African States [1975–2010]</w:t>
      </w:r>
      <w:r w:rsidRPr="00F22925">
        <w:rPr>
          <w:rFonts w:eastAsia="Calibri"/>
          <w:kern w:val="14"/>
          <w:lang w:val="en-US"/>
        </w:rPr>
        <w:t>.</w:t>
      </w:r>
      <w:r w:rsidRPr="00C17AA1">
        <w:rPr>
          <w:rFonts w:eastAsia="Calibri"/>
          <w:kern w:val="14"/>
          <w:lang w:val="en-US"/>
        </w:rPr>
        <w:t xml:space="preserve"> Abuja, 2011</w:t>
      </w:r>
      <w:r w:rsidRPr="00F22925">
        <w:rPr>
          <w:rFonts w:eastAsia="Calibri"/>
          <w:kern w:val="14"/>
          <w:lang w:val="en-US"/>
        </w:rPr>
        <w:t>.</w:t>
      </w:r>
    </w:p>
    <w:p w14:paraId="13CC702F" w14:textId="77777777" w:rsidR="00014CBC" w:rsidRPr="00C17AA1" w:rsidRDefault="00014CBC" w:rsidP="00014CBC">
      <w:pPr>
        <w:pStyle w:val="SingleTxtG"/>
        <w:keepNext/>
        <w:keepLines/>
        <w:rPr>
          <w:rFonts w:eastAsia="Calibri"/>
          <w:kern w:val="14"/>
          <w:lang w:val="en-US"/>
        </w:rPr>
      </w:pPr>
      <w:r w:rsidRPr="00C17AA1">
        <w:rPr>
          <w:rFonts w:eastAsia="Calibri"/>
          <w:kern w:val="14"/>
          <w:lang w:val="en-US"/>
        </w:rPr>
        <w:lastRenderedPageBreak/>
        <w:t>Peru</w:t>
      </w:r>
      <w:r w:rsidRPr="00F22925">
        <w:rPr>
          <w:rFonts w:eastAsia="Calibri"/>
          <w:kern w:val="14"/>
          <w:lang w:val="en-US"/>
        </w:rPr>
        <w:t>.</w:t>
      </w:r>
      <w:r w:rsidRPr="00C17AA1">
        <w:rPr>
          <w:rFonts w:eastAsia="Calibri"/>
          <w:kern w:val="14"/>
          <w:lang w:val="en-US"/>
        </w:rPr>
        <w:t xml:space="preserve"> Reservation to the Vienna Convention on the Law of Treaties</w:t>
      </w:r>
      <w:r w:rsidRPr="00F22925">
        <w:rPr>
          <w:rFonts w:eastAsia="Calibri"/>
          <w:kern w:val="14"/>
          <w:lang w:val="en-US"/>
        </w:rPr>
        <w:t>.</w:t>
      </w:r>
      <w:r w:rsidRPr="00C17AA1">
        <w:rPr>
          <w:rFonts w:eastAsia="Calibri"/>
          <w:kern w:val="14"/>
          <w:lang w:val="en-US"/>
        </w:rPr>
        <w:t xml:space="preserve"> C</w:t>
      </w:r>
      <w:r w:rsidRPr="00F22925">
        <w:rPr>
          <w:rFonts w:eastAsia="Calibri"/>
          <w:kern w:val="14"/>
          <w:lang w:val="en-US"/>
        </w:rPr>
        <w:t>.</w:t>
      </w:r>
      <w:r w:rsidRPr="00C17AA1">
        <w:rPr>
          <w:rFonts w:eastAsia="Calibri"/>
          <w:kern w:val="14"/>
          <w:lang w:val="en-US"/>
        </w:rPr>
        <w:t>N</w:t>
      </w:r>
      <w:r w:rsidRPr="00F22925">
        <w:rPr>
          <w:rFonts w:eastAsia="Calibri"/>
          <w:kern w:val="14"/>
          <w:lang w:val="en-US"/>
        </w:rPr>
        <w:t>.</w:t>
      </w:r>
      <w:proofErr w:type="gramStart"/>
      <w:r w:rsidRPr="00C17AA1">
        <w:rPr>
          <w:rFonts w:eastAsia="Calibri"/>
          <w:kern w:val="14"/>
          <w:lang w:val="en-US"/>
        </w:rPr>
        <w:t>1021</w:t>
      </w:r>
      <w:r w:rsidRPr="00F22925">
        <w:rPr>
          <w:rFonts w:eastAsia="Calibri"/>
          <w:kern w:val="14"/>
          <w:lang w:val="en-US"/>
        </w:rPr>
        <w:t>.</w:t>
      </w:r>
      <w:r w:rsidRPr="00C17AA1">
        <w:rPr>
          <w:rFonts w:eastAsia="Calibri"/>
          <w:kern w:val="14"/>
          <w:lang w:val="en-US"/>
        </w:rPr>
        <w:t>2000</w:t>
      </w:r>
      <w:r w:rsidRPr="00F22925">
        <w:rPr>
          <w:rFonts w:eastAsia="Calibri"/>
          <w:kern w:val="14"/>
          <w:lang w:val="en-US"/>
        </w:rPr>
        <w:t>.</w:t>
      </w:r>
      <w:r w:rsidRPr="00C17AA1">
        <w:rPr>
          <w:rFonts w:eastAsia="Calibri"/>
          <w:kern w:val="14"/>
          <w:lang w:val="en-US"/>
        </w:rPr>
        <w:t>TREATIES</w:t>
      </w:r>
      <w:proofErr w:type="gramEnd"/>
      <w:r w:rsidRPr="00C17AA1">
        <w:rPr>
          <w:rFonts w:eastAsia="Calibri"/>
          <w:kern w:val="14"/>
          <w:lang w:val="en-US"/>
        </w:rPr>
        <w:t>-2 (Depositary Notification)</w:t>
      </w:r>
      <w:r w:rsidRPr="00F22925">
        <w:rPr>
          <w:rFonts w:eastAsia="Calibri"/>
          <w:kern w:val="14"/>
          <w:lang w:val="en-US"/>
        </w:rPr>
        <w:t>.</w:t>
      </w:r>
      <w:r w:rsidRPr="00C17AA1">
        <w:rPr>
          <w:rFonts w:eastAsia="Calibri"/>
          <w:kern w:val="14"/>
          <w:lang w:val="en-US"/>
        </w:rPr>
        <w:t xml:space="preserve"> Available on the website of the United Nations Treaty Collection, at </w:t>
      </w:r>
      <w:hyperlink r:id="rId24" w:history="1">
        <w:r w:rsidRPr="00A939D1">
          <w:rPr>
            <w:rFonts w:eastAsia="Calibri"/>
            <w:color w:val="0000FF"/>
            <w:kern w:val="14"/>
            <w:lang w:val="en-US"/>
          </w:rPr>
          <w:t>https://treaties</w:t>
        </w:r>
        <w:r w:rsidRPr="00F22925">
          <w:rPr>
            <w:rFonts w:eastAsia="Calibri"/>
            <w:color w:val="0000FF"/>
            <w:kern w:val="14"/>
            <w:lang w:val="en-US"/>
          </w:rPr>
          <w:t>.</w:t>
        </w:r>
        <w:r w:rsidRPr="00A939D1">
          <w:rPr>
            <w:rFonts w:eastAsia="Calibri"/>
            <w:color w:val="0000FF"/>
            <w:kern w:val="14"/>
            <w:lang w:val="en-US"/>
          </w:rPr>
          <w:t>un</w:t>
        </w:r>
        <w:r w:rsidRPr="00F22925">
          <w:rPr>
            <w:rFonts w:eastAsia="Calibri"/>
            <w:color w:val="0000FF"/>
            <w:kern w:val="14"/>
            <w:lang w:val="en-US"/>
          </w:rPr>
          <w:t>.</w:t>
        </w:r>
        <w:r w:rsidRPr="00A939D1">
          <w:rPr>
            <w:rFonts w:eastAsia="Calibri"/>
            <w:color w:val="0000FF"/>
            <w:kern w:val="14"/>
            <w:lang w:val="en-US"/>
          </w:rPr>
          <w:t>org/doc/Publication/CN/2000/</w:t>
        </w:r>
        <w:r w:rsidRPr="00A939D1">
          <w:rPr>
            <w:rFonts w:eastAsia="Calibri"/>
            <w:color w:val="0000FF"/>
            <w:kern w:val="14"/>
            <w:lang w:val="en-US"/>
          </w:rPr>
          <w:br/>
          <w:t>CN</w:t>
        </w:r>
        <w:r w:rsidRPr="00F22925">
          <w:rPr>
            <w:rFonts w:eastAsia="Calibri"/>
            <w:color w:val="0000FF"/>
            <w:kern w:val="14"/>
            <w:lang w:val="en-US"/>
          </w:rPr>
          <w:t>.</w:t>
        </w:r>
        <w:r w:rsidRPr="00A939D1">
          <w:rPr>
            <w:rFonts w:eastAsia="Calibri"/>
            <w:color w:val="0000FF"/>
            <w:kern w:val="14"/>
            <w:lang w:val="en-US"/>
          </w:rPr>
          <w:t>1021</w:t>
        </w:r>
        <w:r w:rsidRPr="00F22925">
          <w:rPr>
            <w:rFonts w:eastAsia="Calibri"/>
            <w:color w:val="0000FF"/>
            <w:kern w:val="14"/>
            <w:lang w:val="en-US"/>
          </w:rPr>
          <w:t>.</w:t>
        </w:r>
        <w:r w:rsidRPr="00A939D1">
          <w:rPr>
            <w:rFonts w:eastAsia="Calibri"/>
            <w:color w:val="0000FF"/>
            <w:kern w:val="14"/>
            <w:lang w:val="en-US"/>
          </w:rPr>
          <w:t>2000-Eng</w:t>
        </w:r>
        <w:r w:rsidRPr="00F22925">
          <w:rPr>
            <w:rFonts w:eastAsia="Calibri"/>
            <w:color w:val="0000FF"/>
            <w:kern w:val="14"/>
            <w:lang w:val="en-US"/>
          </w:rPr>
          <w:t>.</w:t>
        </w:r>
        <w:r w:rsidRPr="00A939D1">
          <w:rPr>
            <w:rFonts w:eastAsia="Calibri"/>
            <w:color w:val="0000FF"/>
            <w:kern w:val="14"/>
            <w:lang w:val="en-US"/>
          </w:rPr>
          <w:t>pdf</w:t>
        </w:r>
      </w:hyperlink>
      <w:r w:rsidRPr="00F22925">
        <w:rPr>
          <w:rFonts w:eastAsia="Calibri"/>
          <w:kern w:val="14"/>
          <w:lang w:val="en-US"/>
        </w:rPr>
        <w:t>.</w:t>
      </w:r>
      <w:r w:rsidRPr="00C17AA1">
        <w:rPr>
          <w:rFonts w:eastAsia="Calibri"/>
          <w:kern w:val="14"/>
          <w:lang w:val="en-US"/>
        </w:rPr>
        <w:t xml:space="preserve"> </w:t>
      </w:r>
    </w:p>
    <w:p w14:paraId="24F882EF" w14:textId="77777777" w:rsidR="00014CBC" w:rsidRPr="00C17AA1" w:rsidRDefault="00014CBC" w:rsidP="00014CBC">
      <w:pPr>
        <w:pStyle w:val="SingleTxtG"/>
        <w:rPr>
          <w:rFonts w:eastAsia="Calibri"/>
          <w:kern w:val="14"/>
          <w:lang w:val="fr-FR"/>
        </w:rPr>
      </w:pPr>
      <w:proofErr w:type="spellStart"/>
      <w:r w:rsidRPr="00E91727">
        <w:rPr>
          <w:rFonts w:eastAsia="Calibri"/>
          <w:kern w:val="14"/>
          <w:lang w:val="es-ES"/>
        </w:rPr>
        <w:t>Spain</w:t>
      </w:r>
      <w:proofErr w:type="spellEnd"/>
      <w:r w:rsidRPr="00F22925">
        <w:rPr>
          <w:rFonts w:eastAsia="Calibri"/>
          <w:kern w:val="14"/>
          <w:lang w:val="es-ES"/>
        </w:rPr>
        <w:t>.</w:t>
      </w:r>
      <w:r w:rsidRPr="00C17AA1">
        <w:rPr>
          <w:rFonts w:eastAsia="Calibri"/>
          <w:kern w:val="14"/>
          <w:lang w:val="es-ES"/>
        </w:rPr>
        <w:t xml:space="preserve"> </w:t>
      </w:r>
      <w:r w:rsidRPr="00C17AA1">
        <w:rPr>
          <w:rFonts w:eastAsia="Calibri"/>
          <w:i/>
          <w:iCs/>
          <w:kern w:val="14"/>
          <w:lang w:val="es-ES"/>
        </w:rPr>
        <w:t>Boletín Oficial del Estado</w:t>
      </w:r>
      <w:r w:rsidRPr="00C17AA1">
        <w:rPr>
          <w:rFonts w:eastAsia="Calibri"/>
          <w:kern w:val="14"/>
          <w:lang w:val="es-ES"/>
        </w:rPr>
        <w:t>, No</w:t>
      </w:r>
      <w:r w:rsidRPr="00F22925">
        <w:rPr>
          <w:rFonts w:eastAsia="Calibri"/>
          <w:kern w:val="14"/>
          <w:lang w:val="es-ES"/>
        </w:rPr>
        <w:t>.</w:t>
      </w:r>
      <w:r w:rsidRPr="00C17AA1">
        <w:rPr>
          <w:rFonts w:eastAsia="Calibri"/>
          <w:kern w:val="14"/>
          <w:lang w:val="es-ES"/>
        </w:rPr>
        <w:t xml:space="preserve"> 288 (28 </w:t>
      </w:r>
      <w:proofErr w:type="spellStart"/>
      <w:r w:rsidRPr="00C17AA1">
        <w:rPr>
          <w:rFonts w:eastAsia="Calibri"/>
          <w:kern w:val="14"/>
          <w:lang w:val="es-ES"/>
        </w:rPr>
        <w:t>November</w:t>
      </w:r>
      <w:proofErr w:type="spellEnd"/>
      <w:r w:rsidRPr="00C17AA1">
        <w:rPr>
          <w:rFonts w:eastAsia="Calibri"/>
          <w:kern w:val="14"/>
          <w:lang w:val="es-ES"/>
        </w:rPr>
        <w:t xml:space="preserve"> 2014), </w:t>
      </w:r>
      <w:proofErr w:type="spellStart"/>
      <w:r w:rsidRPr="00C17AA1">
        <w:rPr>
          <w:rFonts w:eastAsia="Calibri"/>
          <w:kern w:val="14"/>
          <w:lang w:val="es-ES"/>
        </w:rPr>
        <w:t>sect</w:t>
      </w:r>
      <w:proofErr w:type="spellEnd"/>
      <w:r w:rsidRPr="00F22925">
        <w:rPr>
          <w:rFonts w:eastAsia="Calibri"/>
          <w:kern w:val="14"/>
          <w:lang w:val="es-ES"/>
        </w:rPr>
        <w:t>.</w:t>
      </w:r>
      <w:r w:rsidRPr="00C17AA1">
        <w:rPr>
          <w:rFonts w:eastAsia="Calibri"/>
          <w:kern w:val="14"/>
          <w:lang w:val="es-ES"/>
        </w:rPr>
        <w:t xml:space="preserve"> </w:t>
      </w:r>
      <w:r w:rsidRPr="00C17AA1">
        <w:rPr>
          <w:rFonts w:eastAsia="Calibri"/>
          <w:kern w:val="14"/>
          <w:lang w:val="fr-FR"/>
        </w:rPr>
        <w:t>I, p</w:t>
      </w:r>
      <w:r w:rsidRPr="00F22925">
        <w:rPr>
          <w:rFonts w:eastAsia="Calibri"/>
          <w:kern w:val="14"/>
          <w:lang w:val="fr-FR"/>
        </w:rPr>
        <w:t>.</w:t>
      </w:r>
      <w:r w:rsidRPr="00C17AA1">
        <w:rPr>
          <w:rFonts w:eastAsia="Calibri"/>
          <w:kern w:val="14"/>
          <w:lang w:val="fr-FR"/>
        </w:rPr>
        <w:t xml:space="preserve"> 96841</w:t>
      </w:r>
      <w:r w:rsidRPr="00F22925">
        <w:rPr>
          <w:rFonts w:eastAsia="Calibri"/>
          <w:kern w:val="14"/>
          <w:lang w:val="fr-FR"/>
        </w:rPr>
        <w:t>.</w:t>
      </w:r>
    </w:p>
    <w:p w14:paraId="6CC3C5B7" w14:textId="77777777" w:rsidR="00014CBC" w:rsidRPr="00C17AA1" w:rsidRDefault="00014CBC" w:rsidP="00014CBC">
      <w:pPr>
        <w:pStyle w:val="SingleTxtG"/>
        <w:rPr>
          <w:rFonts w:eastAsia="Calibri"/>
          <w:kern w:val="14"/>
          <w:lang w:val="en-US"/>
        </w:rPr>
      </w:pPr>
      <w:proofErr w:type="spellStart"/>
      <w:r w:rsidRPr="00E91727">
        <w:rPr>
          <w:rFonts w:eastAsia="Calibri"/>
          <w:kern w:val="14"/>
          <w:lang w:val="fr-FR"/>
        </w:rPr>
        <w:t>Switzerland</w:t>
      </w:r>
      <w:proofErr w:type="spellEnd"/>
      <w:r w:rsidRPr="00C17AA1">
        <w:rPr>
          <w:rFonts w:eastAsia="Calibri"/>
          <w:kern w:val="14"/>
          <w:lang w:val="fr-FR"/>
        </w:rPr>
        <w:t xml:space="preserve">, </w:t>
      </w:r>
      <w:proofErr w:type="spellStart"/>
      <w:r w:rsidRPr="00C17AA1">
        <w:rPr>
          <w:rFonts w:eastAsia="Calibri"/>
          <w:kern w:val="14"/>
          <w:lang w:val="fr-FR"/>
        </w:rPr>
        <w:t>Federal</w:t>
      </w:r>
      <w:proofErr w:type="spellEnd"/>
      <w:r w:rsidRPr="00C17AA1">
        <w:rPr>
          <w:rFonts w:eastAsia="Calibri"/>
          <w:kern w:val="14"/>
          <w:lang w:val="fr-FR"/>
        </w:rPr>
        <w:t xml:space="preserve"> Justice and Police </w:t>
      </w:r>
      <w:proofErr w:type="spellStart"/>
      <w:r w:rsidRPr="00C17AA1">
        <w:rPr>
          <w:rFonts w:eastAsia="Calibri"/>
          <w:kern w:val="14"/>
          <w:lang w:val="fr-FR"/>
        </w:rPr>
        <w:t>Department</w:t>
      </w:r>
      <w:proofErr w:type="spellEnd"/>
      <w:r w:rsidRPr="00F22925">
        <w:rPr>
          <w:rFonts w:eastAsia="Calibri"/>
          <w:kern w:val="14"/>
          <w:lang w:val="fr-FR"/>
        </w:rPr>
        <w:t>.</w:t>
      </w:r>
      <w:r w:rsidRPr="00C17AA1">
        <w:rPr>
          <w:rFonts w:eastAsia="Calibri"/>
          <w:kern w:val="14"/>
          <w:lang w:val="fr-FR"/>
        </w:rPr>
        <w:t xml:space="preserve"> Réglementer clairement l</w:t>
      </w:r>
      <w:r>
        <w:rPr>
          <w:rFonts w:eastAsia="Calibri"/>
          <w:kern w:val="14"/>
          <w:lang w:val="fr-FR"/>
        </w:rPr>
        <w:t>’</w:t>
      </w:r>
      <w:r w:rsidRPr="00C17AA1">
        <w:rPr>
          <w:rFonts w:eastAsia="Calibri"/>
          <w:kern w:val="14"/>
          <w:lang w:val="fr-FR"/>
        </w:rPr>
        <w:t>application à titre provisoire de traités internationaux</w:t>
      </w:r>
      <w:r w:rsidRPr="00F22925">
        <w:rPr>
          <w:rFonts w:eastAsia="Calibri"/>
          <w:kern w:val="14"/>
          <w:lang w:val="fr-FR"/>
        </w:rPr>
        <w:t>.</w:t>
      </w:r>
      <w:r w:rsidRPr="00C17AA1">
        <w:rPr>
          <w:rFonts w:eastAsia="Calibri"/>
          <w:kern w:val="14"/>
          <w:lang w:val="fr-FR"/>
        </w:rPr>
        <w:t xml:space="preserve"> </w:t>
      </w:r>
      <w:r w:rsidRPr="00C17AA1">
        <w:rPr>
          <w:rFonts w:eastAsia="Calibri"/>
          <w:kern w:val="14"/>
          <w:lang w:val="en-US"/>
        </w:rPr>
        <w:t>19 February 2004</w:t>
      </w:r>
      <w:r w:rsidRPr="00F22925">
        <w:rPr>
          <w:rFonts w:eastAsia="Calibri"/>
          <w:kern w:val="14"/>
          <w:lang w:val="en-US"/>
        </w:rPr>
        <w:t>.</w:t>
      </w:r>
      <w:r w:rsidRPr="00C17AA1">
        <w:rPr>
          <w:rFonts w:eastAsia="Calibri"/>
          <w:kern w:val="14"/>
          <w:lang w:val="en-US"/>
        </w:rPr>
        <w:t xml:space="preserve"> Available at </w:t>
      </w:r>
      <w:hyperlink r:id="rId25" w:history="1">
        <w:r w:rsidRPr="00A939D1">
          <w:rPr>
            <w:rFonts w:eastAsia="Calibri"/>
            <w:color w:val="0000FF"/>
            <w:kern w:val="14"/>
            <w:lang w:val="en-US"/>
          </w:rPr>
          <w:t>www</w:t>
        </w:r>
        <w:r w:rsidRPr="00F22925">
          <w:rPr>
            <w:rFonts w:eastAsia="Calibri"/>
            <w:color w:val="0000FF"/>
            <w:kern w:val="14"/>
            <w:lang w:val="en-US"/>
          </w:rPr>
          <w:t>.</w:t>
        </w:r>
        <w:r w:rsidRPr="00A939D1">
          <w:rPr>
            <w:rFonts w:eastAsia="Calibri"/>
            <w:color w:val="0000FF"/>
            <w:kern w:val="14"/>
            <w:lang w:val="en-US"/>
          </w:rPr>
          <w:t>ejpd</w:t>
        </w:r>
        <w:r w:rsidRPr="00F22925">
          <w:rPr>
            <w:rFonts w:eastAsia="Calibri"/>
            <w:color w:val="0000FF"/>
            <w:kern w:val="14"/>
            <w:lang w:val="en-US"/>
          </w:rPr>
          <w:t>.</w:t>
        </w:r>
        <w:r w:rsidRPr="00A939D1">
          <w:rPr>
            <w:rFonts w:eastAsia="Calibri"/>
            <w:color w:val="0000FF"/>
            <w:kern w:val="14"/>
            <w:lang w:val="en-US"/>
          </w:rPr>
          <w:t>admin</w:t>
        </w:r>
        <w:r w:rsidRPr="00F22925">
          <w:rPr>
            <w:rFonts w:eastAsia="Calibri"/>
            <w:color w:val="0000FF"/>
            <w:kern w:val="14"/>
            <w:lang w:val="en-US"/>
          </w:rPr>
          <w:t>.</w:t>
        </w:r>
        <w:r w:rsidRPr="00A939D1">
          <w:rPr>
            <w:rFonts w:eastAsia="Calibri"/>
            <w:color w:val="0000FF"/>
            <w:kern w:val="14"/>
            <w:lang w:val="en-US"/>
          </w:rPr>
          <w:t>ch/content/ejpd/fr/home/dokumentation/mi/2004/2004-02-19</w:t>
        </w:r>
        <w:r w:rsidRPr="00F22925">
          <w:rPr>
            <w:rFonts w:eastAsia="Calibri"/>
            <w:color w:val="0000FF"/>
            <w:kern w:val="14"/>
            <w:lang w:val="en-US"/>
          </w:rPr>
          <w:t>.</w:t>
        </w:r>
        <w:r w:rsidRPr="00A939D1">
          <w:rPr>
            <w:rFonts w:eastAsia="Calibri"/>
            <w:color w:val="0000FF"/>
            <w:kern w:val="14"/>
            <w:lang w:val="en-US"/>
          </w:rPr>
          <w:t>html</w:t>
        </w:r>
      </w:hyperlink>
      <w:r w:rsidRPr="00F22925">
        <w:rPr>
          <w:rFonts w:eastAsia="Calibri"/>
          <w:kern w:val="14"/>
          <w:lang w:val="en-US"/>
        </w:rPr>
        <w:t>.</w:t>
      </w:r>
    </w:p>
    <w:p w14:paraId="2D84F4D8" w14:textId="77777777" w:rsidR="00014CBC" w:rsidRPr="00C17AA1" w:rsidRDefault="00014CBC" w:rsidP="00014CBC">
      <w:pPr>
        <w:pStyle w:val="SingleTxtG"/>
        <w:rPr>
          <w:rFonts w:eastAsia="Calibri"/>
          <w:kern w:val="14"/>
          <w:lang w:val="en-US"/>
        </w:rPr>
      </w:pPr>
      <w:r w:rsidRPr="00C17AA1">
        <w:rPr>
          <w:rFonts w:eastAsia="Calibri"/>
          <w:kern w:val="14"/>
          <w:lang w:val="en-US"/>
        </w:rPr>
        <w:t>Turkey, Constitution of the Republic of Turkey</w:t>
      </w:r>
      <w:r w:rsidRPr="00F22925">
        <w:rPr>
          <w:rFonts w:eastAsia="Calibri"/>
          <w:kern w:val="14"/>
          <w:lang w:val="en-US"/>
        </w:rPr>
        <w:t>.</w:t>
      </w:r>
      <w:r w:rsidRPr="00C17AA1">
        <w:rPr>
          <w:rFonts w:eastAsia="Calibri"/>
          <w:kern w:val="14"/>
          <w:lang w:val="en-US"/>
        </w:rPr>
        <w:t xml:space="preserve"> Available at </w:t>
      </w:r>
      <w:hyperlink r:id="rId26" w:history="1">
        <w:r w:rsidRPr="00A939D1">
          <w:rPr>
            <w:rFonts w:eastAsia="Calibri"/>
            <w:color w:val="0000FF"/>
            <w:kern w:val="14"/>
            <w:lang w:val="en-US"/>
          </w:rPr>
          <w:t>https://global</w:t>
        </w:r>
        <w:r w:rsidRPr="00F22925">
          <w:rPr>
            <w:rFonts w:eastAsia="Calibri"/>
            <w:color w:val="0000FF"/>
            <w:kern w:val="14"/>
            <w:lang w:val="en-US"/>
          </w:rPr>
          <w:t>.</w:t>
        </w:r>
        <w:r w:rsidRPr="00A939D1">
          <w:rPr>
            <w:rFonts w:eastAsia="Calibri"/>
            <w:color w:val="0000FF"/>
            <w:kern w:val="14"/>
            <w:lang w:val="en-US"/>
          </w:rPr>
          <w:t>tbmm</w:t>
        </w:r>
        <w:r w:rsidRPr="00F22925">
          <w:rPr>
            <w:rFonts w:eastAsia="Calibri"/>
            <w:color w:val="0000FF"/>
            <w:kern w:val="14"/>
            <w:lang w:val="en-US"/>
          </w:rPr>
          <w:t>.</w:t>
        </w:r>
        <w:r w:rsidRPr="00A939D1">
          <w:rPr>
            <w:rFonts w:eastAsia="Calibri"/>
            <w:color w:val="0000FF"/>
            <w:kern w:val="14"/>
            <w:lang w:val="en-US"/>
          </w:rPr>
          <w:t>gov</w:t>
        </w:r>
        <w:r w:rsidRPr="00F22925">
          <w:rPr>
            <w:rFonts w:eastAsia="Calibri"/>
            <w:color w:val="0000FF"/>
            <w:kern w:val="14"/>
            <w:lang w:val="en-US"/>
          </w:rPr>
          <w:t>.</w:t>
        </w:r>
        <w:r w:rsidRPr="00A939D1">
          <w:rPr>
            <w:rFonts w:eastAsia="Calibri"/>
            <w:color w:val="0000FF"/>
            <w:kern w:val="14"/>
            <w:lang w:val="en-US"/>
          </w:rPr>
          <w:t>tr/docs/constitution_en</w:t>
        </w:r>
        <w:r w:rsidRPr="00F22925">
          <w:rPr>
            <w:rFonts w:eastAsia="Calibri"/>
            <w:color w:val="0000FF"/>
            <w:kern w:val="14"/>
            <w:lang w:val="en-US"/>
          </w:rPr>
          <w:t>.</w:t>
        </w:r>
        <w:r w:rsidRPr="00A939D1">
          <w:rPr>
            <w:rFonts w:eastAsia="Calibri"/>
            <w:color w:val="0000FF"/>
            <w:kern w:val="14"/>
            <w:lang w:val="en-US"/>
          </w:rPr>
          <w:t>pdf</w:t>
        </w:r>
      </w:hyperlink>
      <w:r w:rsidRPr="00F22925">
        <w:rPr>
          <w:rFonts w:eastAsia="Calibri"/>
          <w:kern w:val="14"/>
          <w:lang w:val="en-US"/>
        </w:rPr>
        <w:t>.</w:t>
      </w:r>
      <w:r w:rsidRPr="00C17AA1">
        <w:rPr>
          <w:rFonts w:eastAsia="Calibri"/>
          <w:kern w:val="14"/>
          <w:lang w:val="en-US"/>
        </w:rPr>
        <w:t xml:space="preserve"> </w:t>
      </w:r>
    </w:p>
    <w:p w14:paraId="60B1C394" w14:textId="77777777" w:rsidR="00014CBC" w:rsidRPr="00C17AA1" w:rsidRDefault="00014CBC" w:rsidP="00014CBC">
      <w:pPr>
        <w:pStyle w:val="SingleTxtG"/>
        <w:rPr>
          <w:rFonts w:eastAsia="Calibri"/>
          <w:spacing w:val="4"/>
          <w:kern w:val="14"/>
          <w:lang w:val="en-US"/>
        </w:rPr>
      </w:pPr>
      <w:r w:rsidRPr="00C17AA1">
        <w:rPr>
          <w:rFonts w:eastAsia="Calibri"/>
          <w:kern w:val="14"/>
          <w:lang w:val="en-US"/>
        </w:rPr>
        <w:t>United States of America, Library of Congress Report on the Law of the Sea Treaty: alternative approaches to provisional application, 93rd congress, 2nd session, House Committee on Foreign Affairs (4 March 1974)</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International Legal Materials</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13, No</w:t>
      </w:r>
      <w:r w:rsidRPr="00F22925">
        <w:rPr>
          <w:rFonts w:eastAsia="Calibri"/>
          <w:kern w:val="14"/>
          <w:lang w:val="en-US"/>
        </w:rPr>
        <w:t>.</w:t>
      </w:r>
      <w:r w:rsidRPr="00C17AA1">
        <w:rPr>
          <w:rFonts w:eastAsia="Calibri"/>
          <w:kern w:val="14"/>
          <w:lang w:val="en-US"/>
        </w:rPr>
        <w:t xml:space="preserve"> 2 (1974), at p</w:t>
      </w:r>
      <w:r w:rsidRPr="00F22925">
        <w:rPr>
          <w:rFonts w:eastAsia="Calibri"/>
          <w:kern w:val="14"/>
          <w:lang w:val="en-US"/>
        </w:rPr>
        <w:t>.</w:t>
      </w:r>
      <w:r w:rsidRPr="00C17AA1">
        <w:rPr>
          <w:rFonts w:eastAsia="Calibri"/>
          <w:kern w:val="14"/>
          <w:lang w:val="en-US"/>
        </w:rPr>
        <w:t xml:space="preserve"> 456</w:t>
      </w:r>
      <w:r w:rsidRPr="00F22925">
        <w:rPr>
          <w:rFonts w:eastAsia="Calibri"/>
          <w:kern w:val="14"/>
          <w:lang w:val="en-US"/>
        </w:rPr>
        <w:t>.</w:t>
      </w:r>
      <w:r w:rsidRPr="00C17AA1">
        <w:rPr>
          <w:rFonts w:eastAsia="Calibri"/>
          <w:spacing w:val="4"/>
          <w:kern w:val="14"/>
          <w:lang w:val="en-US"/>
        </w:rPr>
        <w:t xml:space="preserve"> </w:t>
      </w:r>
    </w:p>
    <w:p w14:paraId="1EA8FF0D" w14:textId="77777777" w:rsidR="00014CBC" w:rsidRPr="00C17AA1" w:rsidRDefault="00014CBC" w:rsidP="00014CBC">
      <w:pPr>
        <w:pStyle w:val="H23G"/>
        <w:rPr>
          <w:rFonts w:eastAsia="Calibri"/>
          <w:bCs/>
          <w:spacing w:val="4"/>
          <w:kern w:val="14"/>
          <w:lang w:val="en-US"/>
        </w:rPr>
      </w:pPr>
      <w:r w:rsidRPr="00C17AA1">
        <w:rPr>
          <w:rFonts w:eastAsia="Calibri"/>
          <w:bCs/>
          <w:spacing w:val="4"/>
          <w:kern w:val="14"/>
          <w:lang w:val="en-US"/>
        </w:rPr>
        <w:tab/>
        <w:t>3</w:t>
      </w:r>
      <w:r w:rsidRPr="00F22925">
        <w:rPr>
          <w:rFonts w:eastAsia="Calibri"/>
          <w:bCs/>
          <w:spacing w:val="4"/>
          <w:kern w:val="14"/>
          <w:lang w:val="en-US"/>
        </w:rPr>
        <w:t>.</w:t>
      </w:r>
      <w:r w:rsidRPr="00C17AA1">
        <w:rPr>
          <w:rFonts w:eastAsia="Calibri"/>
          <w:bCs/>
          <w:spacing w:val="4"/>
          <w:kern w:val="14"/>
          <w:lang w:val="en-US"/>
        </w:rPr>
        <w:tab/>
      </w:r>
      <w:r w:rsidRPr="00E91727">
        <w:rPr>
          <w:lang w:val="en-US"/>
        </w:rPr>
        <w:t>Commission</w:t>
      </w:r>
      <w:r w:rsidRPr="00C17AA1">
        <w:rPr>
          <w:rFonts w:eastAsia="Calibri"/>
          <w:bCs/>
          <w:spacing w:val="4"/>
          <w:kern w:val="14"/>
          <w:lang w:val="en-US"/>
        </w:rPr>
        <w:t xml:space="preserve"> du droit international</w:t>
      </w:r>
    </w:p>
    <w:p w14:paraId="544D59FB"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Provisional</w:t>
      </w:r>
      <w:r w:rsidRPr="00F73568">
        <w:rPr>
          <w:rFonts w:eastAsia="Calibri"/>
          <w:kern w:val="14"/>
          <w:lang w:val="en-US"/>
        </w:rPr>
        <w:t xml:space="preserve"> application of treaties: memorandum by the Secretariat</w:t>
      </w:r>
      <w:r w:rsidRPr="00F22925">
        <w:rPr>
          <w:rFonts w:eastAsia="Calibri"/>
          <w:kern w:val="14"/>
          <w:lang w:val="en-US"/>
        </w:rPr>
        <w:t>.</w:t>
      </w:r>
      <w:r w:rsidRPr="00F73568">
        <w:rPr>
          <w:rFonts w:eastAsia="Calibri"/>
          <w:kern w:val="14"/>
          <w:lang w:val="en-US"/>
        </w:rPr>
        <w:t xml:space="preserve"> 24 March 2017</w:t>
      </w:r>
      <w:r w:rsidRPr="00F22925">
        <w:rPr>
          <w:rFonts w:eastAsia="Calibri"/>
          <w:kern w:val="14"/>
          <w:lang w:val="en-US"/>
        </w:rPr>
        <w:t>.</w:t>
      </w:r>
      <w:r w:rsidRPr="00F73568">
        <w:rPr>
          <w:rFonts w:eastAsia="Calibri"/>
          <w:kern w:val="14"/>
          <w:lang w:val="en-US"/>
        </w:rPr>
        <w:t xml:space="preserve"> </w:t>
      </w:r>
      <w:r w:rsidRPr="00C17AA1">
        <w:rPr>
          <w:rFonts w:eastAsia="Calibri"/>
          <w:kern w:val="14"/>
          <w:lang w:val="en-US"/>
        </w:rPr>
        <w:t>A/CN</w:t>
      </w:r>
      <w:r w:rsidRPr="00F22925">
        <w:rPr>
          <w:rFonts w:eastAsia="Calibri"/>
          <w:kern w:val="14"/>
          <w:lang w:val="en-US"/>
        </w:rPr>
        <w:t>.</w:t>
      </w:r>
      <w:r w:rsidRPr="00C17AA1">
        <w:rPr>
          <w:rFonts w:eastAsia="Calibri"/>
          <w:kern w:val="14"/>
          <w:lang w:val="en-US"/>
        </w:rPr>
        <w:t>4/707</w:t>
      </w:r>
      <w:r w:rsidRPr="00F22925">
        <w:rPr>
          <w:rFonts w:eastAsia="Calibri"/>
          <w:kern w:val="14"/>
          <w:lang w:val="en-US"/>
        </w:rPr>
        <w:t>.</w:t>
      </w:r>
      <w:r w:rsidRPr="00C17AA1">
        <w:rPr>
          <w:rFonts w:eastAsia="Calibri"/>
          <w:kern w:val="14"/>
          <w:lang w:val="en-US"/>
        </w:rPr>
        <w:t xml:space="preserve"> </w:t>
      </w:r>
    </w:p>
    <w:p w14:paraId="3681DE3B"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Third report on identification of customary international law, by Sir Michael Wood, Special Rapporteur</w:t>
      </w:r>
      <w:r w:rsidRPr="00F22925">
        <w:rPr>
          <w:rFonts w:eastAsia="Calibri"/>
          <w:kern w:val="14"/>
          <w:lang w:val="en-US"/>
        </w:rPr>
        <w:t>.</w:t>
      </w:r>
      <w:r w:rsidRPr="00C17AA1">
        <w:rPr>
          <w:rFonts w:eastAsia="Calibri"/>
          <w:kern w:val="14"/>
          <w:lang w:val="en-US"/>
        </w:rPr>
        <w:t xml:space="preserve"> 27 March 2015</w:t>
      </w:r>
      <w:r w:rsidRPr="00F22925">
        <w:rPr>
          <w:rFonts w:eastAsia="Calibri"/>
          <w:kern w:val="14"/>
          <w:lang w:val="en-US"/>
        </w:rPr>
        <w:t>.</w:t>
      </w:r>
      <w:r w:rsidRPr="00C17AA1">
        <w:rPr>
          <w:rFonts w:eastAsia="Calibri"/>
          <w:kern w:val="14"/>
          <w:lang w:val="en-US"/>
        </w:rPr>
        <w:t xml:space="preserve"> </w:t>
      </w:r>
      <w:hyperlink r:id="rId27" w:history="1">
        <w:r w:rsidRPr="00A939D1">
          <w:rPr>
            <w:rFonts w:eastAsia="Calibri"/>
            <w:color w:val="0000FF"/>
            <w:kern w:val="14"/>
            <w:lang w:val="en-US"/>
          </w:rPr>
          <w:t>A/CN</w:t>
        </w:r>
        <w:r w:rsidRPr="00F22925">
          <w:rPr>
            <w:rFonts w:eastAsia="Calibri"/>
            <w:color w:val="0000FF"/>
            <w:kern w:val="14"/>
            <w:lang w:val="en-US"/>
          </w:rPr>
          <w:t>.</w:t>
        </w:r>
        <w:r w:rsidRPr="00A939D1">
          <w:rPr>
            <w:rFonts w:eastAsia="Calibri"/>
            <w:color w:val="0000FF"/>
            <w:kern w:val="14"/>
            <w:lang w:val="en-US"/>
          </w:rPr>
          <w:t>4/682</w:t>
        </w:r>
      </w:hyperlink>
      <w:r w:rsidRPr="00F22925">
        <w:rPr>
          <w:rFonts w:eastAsia="Calibri"/>
          <w:kern w:val="14"/>
          <w:lang w:val="en-US"/>
        </w:rPr>
        <w:t>.</w:t>
      </w:r>
    </w:p>
    <w:p w14:paraId="2F37546D"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Third report on subsequent agreements and subsequent practice in relation to the interpretation of treaties, by Mr</w:t>
      </w:r>
      <w:r w:rsidRPr="00F22925">
        <w:rPr>
          <w:rFonts w:eastAsia="Calibri"/>
          <w:kern w:val="14"/>
          <w:lang w:val="en-US"/>
        </w:rPr>
        <w:t>.</w:t>
      </w:r>
      <w:r w:rsidRPr="00C17AA1">
        <w:rPr>
          <w:rFonts w:eastAsia="Calibri"/>
          <w:kern w:val="14"/>
          <w:lang w:val="en-US"/>
        </w:rPr>
        <w:t xml:space="preserve"> Georg Nolte, Special Rapporteur, 7 April 2015</w:t>
      </w:r>
      <w:r w:rsidRPr="00F22925">
        <w:rPr>
          <w:rFonts w:eastAsia="Calibri"/>
          <w:kern w:val="14"/>
          <w:lang w:val="en-US"/>
        </w:rPr>
        <w:t>.</w:t>
      </w:r>
      <w:r w:rsidRPr="00C17AA1">
        <w:rPr>
          <w:rFonts w:eastAsia="Calibri"/>
          <w:kern w:val="14"/>
          <w:lang w:val="en-US"/>
        </w:rPr>
        <w:t xml:space="preserve"> A/CN</w:t>
      </w:r>
      <w:r w:rsidRPr="00F22925">
        <w:rPr>
          <w:rFonts w:eastAsia="Calibri"/>
          <w:kern w:val="14"/>
          <w:lang w:val="en-US"/>
        </w:rPr>
        <w:t>.</w:t>
      </w:r>
      <w:r w:rsidRPr="00C17AA1">
        <w:rPr>
          <w:rFonts w:eastAsia="Calibri"/>
          <w:kern w:val="14"/>
          <w:lang w:val="en-US"/>
        </w:rPr>
        <w:t>4/683</w:t>
      </w:r>
      <w:r w:rsidRPr="00F22925">
        <w:rPr>
          <w:rFonts w:eastAsia="Calibri"/>
          <w:kern w:val="14"/>
          <w:lang w:val="en-US"/>
        </w:rPr>
        <w:t>.</w:t>
      </w:r>
    </w:p>
    <w:p w14:paraId="78AEAF03"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Provisional application of treaties: memorandum by the Secretariat</w:t>
      </w:r>
      <w:r w:rsidRPr="00F22925">
        <w:rPr>
          <w:rFonts w:eastAsia="Calibri"/>
          <w:kern w:val="14"/>
          <w:lang w:val="en-US"/>
        </w:rPr>
        <w:t>.</w:t>
      </w:r>
      <w:r w:rsidRPr="00F73568">
        <w:rPr>
          <w:rFonts w:eastAsia="Calibri"/>
          <w:kern w:val="14"/>
          <w:lang w:val="en-US"/>
        </w:rPr>
        <w:t xml:space="preserve"> 25 November 20</w:t>
      </w:r>
      <w:r w:rsidRPr="00C17AA1">
        <w:rPr>
          <w:rFonts w:eastAsia="Calibri"/>
          <w:kern w:val="14"/>
          <w:lang w:val="en-US"/>
        </w:rPr>
        <w:t>14</w:t>
      </w:r>
      <w:r w:rsidRPr="00F22925">
        <w:rPr>
          <w:rFonts w:eastAsia="Calibri"/>
          <w:kern w:val="14"/>
          <w:lang w:val="en-US"/>
        </w:rPr>
        <w:t>.</w:t>
      </w:r>
      <w:r w:rsidRPr="00C17AA1">
        <w:rPr>
          <w:rFonts w:eastAsia="Calibri"/>
          <w:kern w:val="14"/>
          <w:lang w:val="en-US"/>
        </w:rPr>
        <w:t xml:space="preserve"> A/CN</w:t>
      </w:r>
      <w:r w:rsidRPr="00F22925">
        <w:rPr>
          <w:rFonts w:eastAsia="Calibri"/>
          <w:kern w:val="14"/>
          <w:lang w:val="en-US"/>
        </w:rPr>
        <w:t>.</w:t>
      </w:r>
      <w:r w:rsidRPr="00C17AA1">
        <w:rPr>
          <w:rFonts w:eastAsia="Calibri"/>
          <w:kern w:val="14"/>
          <w:lang w:val="en-US"/>
        </w:rPr>
        <w:t>4/676</w:t>
      </w:r>
      <w:r w:rsidRPr="00F22925">
        <w:rPr>
          <w:rFonts w:eastAsia="Calibri"/>
          <w:kern w:val="14"/>
          <w:lang w:val="en-US"/>
        </w:rPr>
        <w:t>.</w:t>
      </w:r>
    </w:p>
    <w:p w14:paraId="607D08FD" w14:textId="77777777" w:rsidR="00014CBC" w:rsidRPr="00C17AA1" w:rsidRDefault="00014CBC" w:rsidP="00014CBC">
      <w:pPr>
        <w:pStyle w:val="SingleTxtG"/>
        <w:ind w:left="1701" w:hanging="567"/>
        <w:rPr>
          <w:rFonts w:eastAsia="Calibri"/>
          <w:kern w:val="14"/>
          <w:lang w:val="en-US"/>
        </w:rPr>
      </w:pPr>
      <w:r w:rsidRPr="00C17AA1">
        <w:rPr>
          <w:rFonts w:eastAsia="Calibri"/>
          <w:i/>
          <w:iCs/>
          <w:kern w:val="14"/>
          <w:lang w:val="en-US"/>
        </w:rPr>
        <w:t>Yearbook … 2013</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II (Part One), document A/CN</w:t>
      </w:r>
      <w:r w:rsidRPr="00F22925">
        <w:rPr>
          <w:rFonts w:eastAsia="Calibri"/>
          <w:kern w:val="14"/>
          <w:lang w:val="en-US"/>
        </w:rPr>
        <w:t>.</w:t>
      </w:r>
      <w:r w:rsidRPr="00C17AA1">
        <w:rPr>
          <w:rFonts w:eastAsia="Calibri"/>
          <w:kern w:val="14"/>
          <w:lang w:val="en-US"/>
        </w:rPr>
        <w:t>4/658, Provisional application of treaties: memorandum by the Secretariat</w:t>
      </w:r>
      <w:r w:rsidRPr="00F22925">
        <w:rPr>
          <w:rFonts w:eastAsia="Calibri"/>
          <w:kern w:val="14"/>
          <w:lang w:val="en-US"/>
        </w:rPr>
        <w:t>.</w:t>
      </w:r>
      <w:r w:rsidRPr="00C17AA1">
        <w:rPr>
          <w:rFonts w:eastAsia="Calibri"/>
          <w:kern w:val="14"/>
          <w:lang w:val="en-US"/>
        </w:rPr>
        <w:t xml:space="preserve"> </w:t>
      </w:r>
    </w:p>
    <w:p w14:paraId="37CEB857" w14:textId="77777777" w:rsidR="00014CBC" w:rsidRPr="00C17AA1" w:rsidRDefault="00014CBC" w:rsidP="00014CBC">
      <w:pPr>
        <w:pStyle w:val="SingleTxtG"/>
        <w:ind w:left="1701" w:hanging="567"/>
        <w:rPr>
          <w:rFonts w:eastAsia="Calibri"/>
          <w:kern w:val="14"/>
          <w:lang w:val="en-US"/>
        </w:rPr>
      </w:pPr>
      <w:r w:rsidRPr="00C17AA1">
        <w:rPr>
          <w:rFonts w:eastAsia="Calibri"/>
          <w:i/>
          <w:iCs/>
          <w:kern w:val="14"/>
          <w:lang w:val="en-US"/>
        </w:rPr>
        <w:t>Yearbook … 2011</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II (Part Three), Guide to Practice on Reservations to Treaties</w:t>
      </w:r>
      <w:r w:rsidRPr="00F22925">
        <w:rPr>
          <w:rFonts w:eastAsia="Calibri"/>
          <w:kern w:val="14"/>
          <w:lang w:val="en-US"/>
        </w:rPr>
        <w:t>.</w:t>
      </w:r>
      <w:r w:rsidRPr="00C17AA1">
        <w:rPr>
          <w:rFonts w:eastAsia="Calibri"/>
          <w:kern w:val="14"/>
          <w:lang w:val="en-US"/>
        </w:rPr>
        <w:t xml:space="preserve"> </w:t>
      </w:r>
    </w:p>
    <w:p w14:paraId="1082A0B3" w14:textId="77777777" w:rsidR="00014CBC" w:rsidRPr="00F73568" w:rsidRDefault="00014CBC" w:rsidP="00014CBC">
      <w:pPr>
        <w:pStyle w:val="SingleTxtG"/>
        <w:ind w:left="1701" w:hanging="567"/>
        <w:rPr>
          <w:lang w:val="en-US"/>
        </w:rPr>
      </w:pPr>
      <w:r w:rsidRPr="00F73568">
        <w:rPr>
          <w:i/>
          <w:iCs/>
          <w:lang w:val="en-US"/>
        </w:rPr>
        <w:t>Yearbook … 2001</w:t>
      </w:r>
      <w:r w:rsidRPr="00F73568">
        <w:rPr>
          <w:lang w:val="en-US"/>
        </w:rPr>
        <w:t>, vol</w:t>
      </w:r>
      <w:r w:rsidRPr="00F22925">
        <w:rPr>
          <w:lang w:val="en-US"/>
        </w:rPr>
        <w:t>.</w:t>
      </w:r>
      <w:r w:rsidRPr="00F73568">
        <w:rPr>
          <w:lang w:val="en-US"/>
        </w:rPr>
        <w:t xml:space="preserve"> II (Part Two) and corrigendum, articles on responsibility of States for internationally wrongful acts</w:t>
      </w:r>
      <w:r w:rsidRPr="00F22925">
        <w:rPr>
          <w:lang w:val="en-US"/>
        </w:rPr>
        <w:t>.</w:t>
      </w:r>
    </w:p>
    <w:p w14:paraId="7E5BA440" w14:textId="77777777" w:rsidR="00014CBC" w:rsidRPr="00F73568" w:rsidRDefault="00014CBC" w:rsidP="00014CBC">
      <w:pPr>
        <w:pStyle w:val="SingleTxtG"/>
        <w:ind w:left="1701" w:hanging="567"/>
        <w:rPr>
          <w:lang w:val="en-US"/>
        </w:rPr>
      </w:pPr>
      <w:r w:rsidRPr="00F73568">
        <w:rPr>
          <w:i/>
          <w:iCs/>
          <w:lang w:val="en-US"/>
        </w:rPr>
        <w:t>Yearbook … 1974</w:t>
      </w:r>
      <w:r w:rsidRPr="00F73568">
        <w:rPr>
          <w:lang w:val="en-US"/>
        </w:rPr>
        <w:t>, vol</w:t>
      </w:r>
      <w:r w:rsidRPr="00F22925">
        <w:rPr>
          <w:lang w:val="en-US"/>
        </w:rPr>
        <w:t>.</w:t>
      </w:r>
      <w:r w:rsidRPr="00F73568">
        <w:rPr>
          <w:lang w:val="en-US"/>
        </w:rPr>
        <w:t xml:space="preserve"> II (</w:t>
      </w:r>
      <w:r w:rsidRPr="00F73568">
        <w:rPr>
          <w:i/>
          <w:iCs/>
          <w:lang w:val="en-US"/>
        </w:rPr>
        <w:t>Part</w:t>
      </w:r>
      <w:r w:rsidRPr="00F73568">
        <w:rPr>
          <w:lang w:val="en-US"/>
        </w:rPr>
        <w:t xml:space="preserve"> One), document A/CN</w:t>
      </w:r>
      <w:r w:rsidRPr="00F22925">
        <w:rPr>
          <w:lang w:val="en-US"/>
        </w:rPr>
        <w:t>.</w:t>
      </w:r>
      <w:r w:rsidRPr="00F73568">
        <w:rPr>
          <w:lang w:val="en-US"/>
        </w:rPr>
        <w:t xml:space="preserve">4/278, </w:t>
      </w:r>
      <w:r w:rsidRPr="00F73568">
        <w:rPr>
          <w:rFonts w:eastAsiaTheme="minorEastAsia"/>
          <w:lang w:val="en-US"/>
        </w:rPr>
        <w:t>First report on succession of States in respect of treaties</w:t>
      </w:r>
      <w:r w:rsidRPr="00F22925">
        <w:rPr>
          <w:lang w:val="en-US"/>
        </w:rPr>
        <w:t>.</w:t>
      </w:r>
    </w:p>
    <w:p w14:paraId="1CB9386B" w14:textId="77777777" w:rsidR="00014CBC" w:rsidRPr="00F73568" w:rsidRDefault="00014CBC" w:rsidP="00014CBC">
      <w:pPr>
        <w:pStyle w:val="SingleTxtG"/>
        <w:ind w:left="1701" w:hanging="567"/>
        <w:rPr>
          <w:lang w:val="en-US"/>
        </w:rPr>
      </w:pPr>
      <w:r w:rsidRPr="00F73568">
        <w:rPr>
          <w:i/>
          <w:iCs/>
          <w:lang w:val="en-US"/>
        </w:rPr>
        <w:t xml:space="preserve">Yearbook </w:t>
      </w:r>
      <w:r w:rsidRPr="00F22925">
        <w:rPr>
          <w:i/>
          <w:iCs/>
          <w:lang w:val="en-US"/>
        </w:rPr>
        <w:t>...</w:t>
      </w:r>
      <w:r w:rsidRPr="00F73568">
        <w:rPr>
          <w:i/>
          <w:iCs/>
          <w:lang w:val="en-US"/>
        </w:rPr>
        <w:t xml:space="preserve"> 1966</w:t>
      </w:r>
      <w:r w:rsidRPr="00F73568">
        <w:rPr>
          <w:lang w:val="en-US"/>
        </w:rPr>
        <w:t>, doc</w:t>
      </w:r>
      <w:r w:rsidRPr="00F22925">
        <w:rPr>
          <w:lang w:val="en-US"/>
        </w:rPr>
        <w:t>.</w:t>
      </w:r>
      <w:r w:rsidRPr="00F73568">
        <w:rPr>
          <w:lang w:val="en-US"/>
        </w:rPr>
        <w:t xml:space="preserve"> A/6309/Rev</w:t>
      </w:r>
      <w:r w:rsidRPr="00F22925">
        <w:rPr>
          <w:lang w:val="en-US"/>
        </w:rPr>
        <w:t>.</w:t>
      </w:r>
      <w:r w:rsidRPr="00F73568">
        <w:rPr>
          <w:lang w:val="en-US"/>
        </w:rPr>
        <w:t>1, part II, Report of the International Law Commission on the work of its eighteenth session</w:t>
      </w:r>
      <w:r w:rsidRPr="00F22925">
        <w:rPr>
          <w:lang w:val="en-US"/>
        </w:rPr>
        <w:t>.</w:t>
      </w:r>
    </w:p>
    <w:p w14:paraId="08B61C71" w14:textId="77777777" w:rsidR="00014CBC" w:rsidRPr="00F73568" w:rsidRDefault="00014CBC" w:rsidP="00014CBC">
      <w:pPr>
        <w:pStyle w:val="SingleTxtG"/>
        <w:ind w:left="1701" w:hanging="567"/>
        <w:rPr>
          <w:lang w:val="en-US"/>
        </w:rPr>
      </w:pPr>
      <w:r w:rsidRPr="00F73568">
        <w:rPr>
          <w:i/>
          <w:iCs/>
          <w:lang w:val="en-US"/>
        </w:rPr>
        <w:t xml:space="preserve">Yearbook </w:t>
      </w:r>
      <w:r w:rsidRPr="00F22925">
        <w:rPr>
          <w:i/>
          <w:iCs/>
          <w:lang w:val="en-US"/>
        </w:rPr>
        <w:t>...</w:t>
      </w:r>
      <w:r w:rsidRPr="00F73568">
        <w:rPr>
          <w:i/>
          <w:iCs/>
          <w:lang w:val="en-US"/>
        </w:rPr>
        <w:t xml:space="preserve"> 1966</w:t>
      </w:r>
      <w:r w:rsidRPr="00F73568">
        <w:rPr>
          <w:lang w:val="en-US"/>
        </w:rPr>
        <w:t>, vol</w:t>
      </w:r>
      <w:r w:rsidRPr="00F22925">
        <w:rPr>
          <w:lang w:val="en-US"/>
        </w:rPr>
        <w:t>.</w:t>
      </w:r>
      <w:r w:rsidRPr="00F73568">
        <w:rPr>
          <w:lang w:val="en-US"/>
        </w:rPr>
        <w:t xml:space="preserve"> II, doc</w:t>
      </w:r>
      <w:r w:rsidRPr="00F22925">
        <w:rPr>
          <w:lang w:val="en-US"/>
        </w:rPr>
        <w:t>.</w:t>
      </w:r>
      <w:r w:rsidRPr="00F73568">
        <w:rPr>
          <w:lang w:val="en-US"/>
        </w:rPr>
        <w:t xml:space="preserve"> A/6309/Rev</w:t>
      </w:r>
      <w:r w:rsidRPr="00F22925">
        <w:rPr>
          <w:lang w:val="en-US"/>
        </w:rPr>
        <w:t>.</w:t>
      </w:r>
      <w:r w:rsidRPr="00F73568">
        <w:rPr>
          <w:lang w:val="en-US"/>
        </w:rPr>
        <w:t>1, part II, annex, Comments by Governments on parts I, II and III of the draft articles on the law of treaties drawn up by the Commission at its fourteenth, fifteenth and sixteenth sessions</w:t>
      </w:r>
      <w:r w:rsidRPr="00F22925">
        <w:rPr>
          <w:lang w:val="en-US"/>
        </w:rPr>
        <w:t>.</w:t>
      </w:r>
    </w:p>
    <w:p w14:paraId="4D6DDE09" w14:textId="77777777" w:rsidR="00014CBC" w:rsidRPr="00F73568" w:rsidRDefault="00014CBC" w:rsidP="00014CBC">
      <w:pPr>
        <w:pStyle w:val="SingleTxtG"/>
        <w:ind w:left="1701" w:hanging="567"/>
        <w:rPr>
          <w:lang w:val="en-US"/>
        </w:rPr>
      </w:pPr>
      <w:r w:rsidRPr="00F73568">
        <w:rPr>
          <w:i/>
          <w:iCs/>
          <w:lang w:val="en-US"/>
        </w:rPr>
        <w:t>Yearbook … 1966</w:t>
      </w:r>
      <w:r w:rsidRPr="00F73568">
        <w:rPr>
          <w:lang w:val="en-US"/>
        </w:rPr>
        <w:t>, vol</w:t>
      </w:r>
      <w:r w:rsidRPr="00F22925">
        <w:rPr>
          <w:lang w:val="en-US"/>
        </w:rPr>
        <w:t>.</w:t>
      </w:r>
      <w:r w:rsidRPr="00F73568">
        <w:rPr>
          <w:lang w:val="en-US"/>
        </w:rPr>
        <w:t xml:space="preserve"> II</w:t>
      </w:r>
      <w:r w:rsidRPr="00ED40A6">
        <w:rPr>
          <w:lang w:val="en-US"/>
        </w:rPr>
        <w:t xml:space="preserve">, </w:t>
      </w:r>
      <w:r>
        <w:rPr>
          <w:lang w:val="en-US"/>
        </w:rPr>
        <w:t>d</w:t>
      </w:r>
      <w:r w:rsidRPr="00ED40A6">
        <w:rPr>
          <w:lang w:val="en-US"/>
        </w:rPr>
        <w:t xml:space="preserve">raft articles on the law of </w:t>
      </w:r>
      <w:r>
        <w:rPr>
          <w:lang w:val="en-US"/>
        </w:rPr>
        <w:t>treaties</w:t>
      </w:r>
      <w:r w:rsidRPr="00F22925">
        <w:rPr>
          <w:lang w:val="en-US"/>
        </w:rPr>
        <w:t>.</w:t>
      </w:r>
    </w:p>
    <w:p w14:paraId="0AEBE7F3" w14:textId="77777777" w:rsidR="00014CBC" w:rsidRPr="00F73568" w:rsidRDefault="00014CBC" w:rsidP="00014CBC">
      <w:pPr>
        <w:pStyle w:val="SingleTxtG"/>
        <w:ind w:left="1701" w:hanging="567"/>
        <w:rPr>
          <w:lang w:val="en-US"/>
        </w:rPr>
      </w:pPr>
      <w:r w:rsidRPr="00F73568">
        <w:rPr>
          <w:i/>
          <w:iCs/>
          <w:lang w:val="en-US"/>
        </w:rPr>
        <w:t xml:space="preserve">Yearbook </w:t>
      </w:r>
      <w:r w:rsidRPr="00F22925">
        <w:rPr>
          <w:i/>
          <w:iCs/>
          <w:lang w:val="en-US"/>
        </w:rPr>
        <w:t>...</w:t>
      </w:r>
      <w:r w:rsidRPr="00F73568">
        <w:rPr>
          <w:i/>
          <w:iCs/>
          <w:lang w:val="en-US"/>
        </w:rPr>
        <w:t xml:space="preserve"> 1965</w:t>
      </w:r>
      <w:r w:rsidRPr="00F73568">
        <w:rPr>
          <w:lang w:val="en-US"/>
        </w:rPr>
        <w:t>, vol</w:t>
      </w:r>
      <w:r w:rsidRPr="00F22925">
        <w:rPr>
          <w:lang w:val="en-US"/>
        </w:rPr>
        <w:t>.</w:t>
      </w:r>
      <w:r w:rsidRPr="00F73568">
        <w:rPr>
          <w:lang w:val="en-US"/>
        </w:rPr>
        <w:t xml:space="preserve"> I, 790th meeting</w:t>
      </w:r>
      <w:r w:rsidRPr="00F22925">
        <w:rPr>
          <w:lang w:val="en-US"/>
        </w:rPr>
        <w:t>.</w:t>
      </w:r>
    </w:p>
    <w:p w14:paraId="172DFF3D" w14:textId="77777777" w:rsidR="00014CBC" w:rsidRPr="00F73568" w:rsidRDefault="00014CBC" w:rsidP="00014CBC">
      <w:pPr>
        <w:pStyle w:val="SingleTxtG"/>
        <w:ind w:left="1701" w:hanging="567"/>
        <w:rPr>
          <w:lang w:val="en-US"/>
        </w:rPr>
      </w:pPr>
      <w:r w:rsidRPr="00F73568">
        <w:rPr>
          <w:i/>
          <w:iCs/>
          <w:lang w:val="en-US"/>
        </w:rPr>
        <w:t xml:space="preserve">Yearbook </w:t>
      </w:r>
      <w:r w:rsidRPr="00F22925">
        <w:rPr>
          <w:i/>
          <w:iCs/>
          <w:lang w:val="en-US"/>
        </w:rPr>
        <w:t>...</w:t>
      </w:r>
      <w:r w:rsidRPr="00F73568">
        <w:rPr>
          <w:i/>
          <w:iCs/>
          <w:lang w:val="en-US"/>
        </w:rPr>
        <w:t xml:space="preserve"> 1965</w:t>
      </w:r>
      <w:r w:rsidRPr="00F73568">
        <w:rPr>
          <w:lang w:val="en-US"/>
        </w:rPr>
        <w:t>, vol</w:t>
      </w:r>
      <w:r w:rsidRPr="00F22925">
        <w:rPr>
          <w:lang w:val="en-US"/>
        </w:rPr>
        <w:t>.</w:t>
      </w:r>
      <w:r w:rsidRPr="00F73568">
        <w:rPr>
          <w:lang w:val="en-US"/>
        </w:rPr>
        <w:t xml:space="preserve"> II, document A/6009, Report of the International Law Commission on the work of the first part of its seventeenth session</w:t>
      </w:r>
      <w:r w:rsidRPr="00F22925">
        <w:rPr>
          <w:lang w:val="en-US"/>
        </w:rPr>
        <w:t>.</w:t>
      </w:r>
    </w:p>
    <w:p w14:paraId="5AA59635" w14:textId="77777777" w:rsidR="00014CBC" w:rsidRPr="00F73568" w:rsidRDefault="00014CBC" w:rsidP="00014CBC">
      <w:pPr>
        <w:pStyle w:val="SingleTxtG"/>
        <w:ind w:left="1701" w:hanging="567"/>
        <w:rPr>
          <w:lang w:val="en-US"/>
        </w:rPr>
      </w:pPr>
      <w:r w:rsidRPr="00F73568">
        <w:rPr>
          <w:i/>
          <w:iCs/>
          <w:lang w:val="en-US"/>
        </w:rPr>
        <w:t xml:space="preserve">Yearbook </w:t>
      </w:r>
      <w:r w:rsidRPr="00F22925">
        <w:rPr>
          <w:i/>
          <w:iCs/>
          <w:lang w:val="en-US"/>
        </w:rPr>
        <w:t>...</w:t>
      </w:r>
      <w:r w:rsidRPr="00F73568">
        <w:rPr>
          <w:i/>
          <w:iCs/>
          <w:lang w:val="en-US"/>
        </w:rPr>
        <w:t xml:space="preserve"> 1962</w:t>
      </w:r>
      <w:r w:rsidRPr="00F73568">
        <w:rPr>
          <w:lang w:val="en-US"/>
        </w:rPr>
        <w:t>, vol</w:t>
      </w:r>
      <w:r w:rsidRPr="00F22925">
        <w:rPr>
          <w:lang w:val="en-US"/>
        </w:rPr>
        <w:t>.</w:t>
      </w:r>
      <w:r w:rsidRPr="00F73568">
        <w:rPr>
          <w:lang w:val="en-US"/>
        </w:rPr>
        <w:t xml:space="preserve"> I, 668th meeting</w:t>
      </w:r>
      <w:r w:rsidRPr="00F22925">
        <w:rPr>
          <w:lang w:val="en-US"/>
        </w:rPr>
        <w:t>.</w:t>
      </w:r>
    </w:p>
    <w:p w14:paraId="1D80614C" w14:textId="77777777" w:rsidR="00014CBC" w:rsidRPr="00F73568" w:rsidRDefault="00014CBC" w:rsidP="00014CBC">
      <w:pPr>
        <w:pStyle w:val="SingleTxtG"/>
        <w:ind w:left="1701" w:hanging="567"/>
        <w:rPr>
          <w:lang w:val="en-US"/>
        </w:rPr>
      </w:pPr>
      <w:r w:rsidRPr="00F73568">
        <w:rPr>
          <w:i/>
          <w:iCs/>
          <w:lang w:val="en-US"/>
        </w:rPr>
        <w:t xml:space="preserve">Yearbook </w:t>
      </w:r>
      <w:r w:rsidRPr="00F22925">
        <w:rPr>
          <w:i/>
          <w:iCs/>
          <w:lang w:val="en-US"/>
        </w:rPr>
        <w:t>...</w:t>
      </w:r>
      <w:r w:rsidRPr="00F73568">
        <w:rPr>
          <w:i/>
          <w:iCs/>
          <w:lang w:val="en-US"/>
        </w:rPr>
        <w:t xml:space="preserve"> 1962</w:t>
      </w:r>
      <w:r w:rsidRPr="00F73568">
        <w:rPr>
          <w:lang w:val="en-US"/>
        </w:rPr>
        <w:t>, vol</w:t>
      </w:r>
      <w:r w:rsidRPr="00F22925">
        <w:rPr>
          <w:lang w:val="en-US"/>
        </w:rPr>
        <w:t>.</w:t>
      </w:r>
      <w:r w:rsidRPr="00F73568">
        <w:rPr>
          <w:lang w:val="en-US"/>
        </w:rPr>
        <w:t xml:space="preserve"> II, document A/5209, Report of the International Law Commission covering the work of its fourteenth session</w:t>
      </w:r>
      <w:r w:rsidRPr="00F22925">
        <w:rPr>
          <w:lang w:val="en-US"/>
        </w:rPr>
        <w:t>.</w:t>
      </w:r>
    </w:p>
    <w:p w14:paraId="6121659E" w14:textId="77777777" w:rsidR="00014CBC" w:rsidRPr="00A939D1" w:rsidRDefault="00014CBC" w:rsidP="00014CBC">
      <w:pPr>
        <w:pStyle w:val="SingleTxtG"/>
        <w:ind w:left="1701" w:hanging="567"/>
        <w:rPr>
          <w:lang w:val="en-US"/>
        </w:rPr>
      </w:pPr>
      <w:r w:rsidRPr="00F73568">
        <w:rPr>
          <w:i/>
          <w:iCs/>
          <w:lang w:val="en-US"/>
        </w:rPr>
        <w:lastRenderedPageBreak/>
        <w:t>Yearbook … 1962</w:t>
      </w:r>
      <w:r w:rsidRPr="00F73568">
        <w:rPr>
          <w:lang w:val="en-US"/>
        </w:rPr>
        <w:t>, vol</w:t>
      </w:r>
      <w:r w:rsidRPr="00F22925">
        <w:rPr>
          <w:lang w:val="en-US"/>
        </w:rPr>
        <w:t>.</w:t>
      </w:r>
      <w:r w:rsidRPr="00F73568">
        <w:rPr>
          <w:lang w:val="en-US"/>
        </w:rPr>
        <w:t xml:space="preserve"> II, document A/CN</w:t>
      </w:r>
      <w:r w:rsidRPr="00F22925">
        <w:rPr>
          <w:lang w:val="en-US"/>
        </w:rPr>
        <w:t>.</w:t>
      </w:r>
      <w:r w:rsidRPr="00F73568">
        <w:rPr>
          <w:lang w:val="en-US"/>
        </w:rPr>
        <w:t xml:space="preserve">4/144, </w:t>
      </w:r>
      <w:r w:rsidRPr="00F73568">
        <w:rPr>
          <w:rFonts w:eastAsiaTheme="minorEastAsia"/>
          <w:lang w:val="en-US"/>
        </w:rPr>
        <w:t>First report on the law of treaties, by Sir Humphrey Waldock</w:t>
      </w:r>
      <w:r w:rsidRPr="00F22925">
        <w:rPr>
          <w:lang w:val="en-US"/>
        </w:rPr>
        <w:t>.</w:t>
      </w:r>
    </w:p>
    <w:p w14:paraId="59444367" w14:textId="77777777" w:rsidR="00014CBC" w:rsidRPr="00C17AA1" w:rsidRDefault="00014CBC" w:rsidP="00014CBC">
      <w:pPr>
        <w:pStyle w:val="SingleTxtG"/>
        <w:keepNext/>
        <w:ind w:left="1701" w:hanging="567"/>
        <w:rPr>
          <w:rFonts w:eastAsia="Calibri"/>
          <w:kern w:val="14"/>
          <w:lang w:val="en-US"/>
        </w:rPr>
      </w:pPr>
      <w:r w:rsidRPr="00C17AA1">
        <w:rPr>
          <w:rFonts w:eastAsia="Calibri"/>
          <w:i/>
          <w:iCs/>
          <w:kern w:val="14"/>
          <w:lang w:val="en-US"/>
        </w:rPr>
        <w:t>Yearbook … 1959</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 487th meeting</w:t>
      </w:r>
      <w:r w:rsidRPr="00F22925">
        <w:rPr>
          <w:rFonts w:eastAsia="Calibri"/>
          <w:kern w:val="14"/>
          <w:lang w:val="en-US"/>
        </w:rPr>
        <w:t>.</w:t>
      </w:r>
      <w:r w:rsidRPr="00C17AA1">
        <w:rPr>
          <w:rFonts w:eastAsia="Calibri"/>
          <w:kern w:val="14"/>
          <w:lang w:val="en-US"/>
        </w:rPr>
        <w:t xml:space="preserve"> </w:t>
      </w:r>
    </w:p>
    <w:p w14:paraId="2ADA9A90" w14:textId="77777777" w:rsidR="00014CBC" w:rsidRPr="00C17AA1" w:rsidRDefault="00014CBC" w:rsidP="00014CBC">
      <w:pPr>
        <w:pStyle w:val="SingleTxtG"/>
        <w:ind w:left="1701" w:hanging="567"/>
        <w:rPr>
          <w:rFonts w:eastAsia="Calibri"/>
          <w:spacing w:val="4"/>
          <w:kern w:val="14"/>
          <w:lang w:val="en-US"/>
        </w:rPr>
      </w:pPr>
      <w:r w:rsidRPr="00C17AA1">
        <w:rPr>
          <w:rFonts w:eastAsia="Calibri"/>
          <w:i/>
          <w:iCs/>
          <w:kern w:val="14"/>
          <w:lang w:val="en-US"/>
        </w:rPr>
        <w:t>Yearbook … 1959</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II, Brierly, J</w:t>
      </w:r>
      <w:r w:rsidRPr="00F22925">
        <w:rPr>
          <w:rFonts w:eastAsia="Calibri"/>
          <w:kern w:val="14"/>
          <w:lang w:val="en-US"/>
        </w:rPr>
        <w:t>.</w:t>
      </w:r>
      <w:r w:rsidRPr="00C17AA1">
        <w:rPr>
          <w:rFonts w:eastAsia="Calibri"/>
          <w:kern w:val="14"/>
          <w:lang w:val="en-US"/>
        </w:rPr>
        <w:t xml:space="preserve"> L</w:t>
      </w:r>
      <w:r w:rsidRPr="00F22925">
        <w:rPr>
          <w:rFonts w:eastAsia="Calibri"/>
          <w:kern w:val="14"/>
          <w:lang w:val="en-US"/>
        </w:rPr>
        <w:t>.</w:t>
      </w:r>
      <w:r w:rsidRPr="00C17AA1">
        <w:rPr>
          <w:rFonts w:eastAsia="Calibri"/>
          <w:kern w:val="14"/>
          <w:lang w:val="en-US"/>
        </w:rPr>
        <w:t>, First report on the law of treaties, document</w:t>
      </w:r>
      <w:r>
        <w:rPr>
          <w:rFonts w:eastAsia="Calibri"/>
          <w:kern w:val="14"/>
          <w:lang w:val="en-US"/>
        </w:rPr>
        <w:t xml:space="preserve"> </w:t>
      </w:r>
      <w:r w:rsidRPr="00370100">
        <w:rPr>
          <w:rFonts w:eastAsia="Calibri"/>
          <w:kern w:val="14"/>
          <w:lang w:val="en-US"/>
        </w:rPr>
        <w:t>A/CN</w:t>
      </w:r>
      <w:r w:rsidRPr="00F22925">
        <w:rPr>
          <w:rFonts w:eastAsia="Calibri"/>
          <w:kern w:val="14"/>
          <w:lang w:val="en-US"/>
        </w:rPr>
        <w:t>.</w:t>
      </w:r>
      <w:r w:rsidRPr="00370100">
        <w:rPr>
          <w:rFonts w:eastAsia="Calibri"/>
          <w:kern w:val="14"/>
          <w:lang w:val="en-US"/>
        </w:rPr>
        <w:t>4/23</w:t>
      </w:r>
      <w:r w:rsidRPr="00F22925">
        <w:rPr>
          <w:rFonts w:eastAsia="Calibri"/>
          <w:kern w:val="14"/>
          <w:lang w:val="en-US"/>
        </w:rPr>
        <w:t>.</w:t>
      </w:r>
    </w:p>
    <w:p w14:paraId="1F685F7B" w14:textId="77777777" w:rsidR="00014CBC" w:rsidRPr="00C17AA1" w:rsidRDefault="00014CBC" w:rsidP="00014CBC">
      <w:pPr>
        <w:pStyle w:val="H23G"/>
        <w:rPr>
          <w:rFonts w:eastAsia="Calibri"/>
          <w:bCs/>
          <w:spacing w:val="4"/>
          <w:kern w:val="14"/>
          <w:lang w:val="en-US"/>
        </w:rPr>
      </w:pPr>
      <w:r w:rsidRPr="00C17AA1">
        <w:rPr>
          <w:rFonts w:eastAsia="Calibri"/>
          <w:bCs/>
          <w:spacing w:val="4"/>
          <w:kern w:val="14"/>
          <w:lang w:val="en-US"/>
        </w:rPr>
        <w:tab/>
        <w:t>4</w:t>
      </w:r>
      <w:r w:rsidRPr="00F22925">
        <w:rPr>
          <w:rFonts w:eastAsia="Calibri"/>
          <w:bCs/>
          <w:spacing w:val="4"/>
          <w:kern w:val="14"/>
          <w:lang w:val="en-US"/>
        </w:rPr>
        <w:t>.</w:t>
      </w:r>
      <w:r w:rsidRPr="00C17AA1">
        <w:rPr>
          <w:rFonts w:eastAsia="Calibri"/>
          <w:bCs/>
          <w:spacing w:val="4"/>
          <w:kern w:val="14"/>
          <w:lang w:val="en-US"/>
        </w:rPr>
        <w:tab/>
      </w:r>
      <w:proofErr w:type="spellStart"/>
      <w:r w:rsidRPr="00E91727">
        <w:rPr>
          <w:lang w:val="en-US"/>
        </w:rPr>
        <w:t>Traités</w:t>
      </w:r>
      <w:proofErr w:type="spellEnd"/>
    </w:p>
    <w:p w14:paraId="0223AB02"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Vienna Convention on Succession of States in respect of Treaties (Vienna, 23 August 1978), United Nations, </w:t>
      </w:r>
      <w:r w:rsidRPr="00C17AA1">
        <w:rPr>
          <w:rFonts w:eastAsia="Calibri"/>
          <w:i/>
          <w:iCs/>
          <w:kern w:val="14"/>
          <w:lang w:val="en-US"/>
        </w:rPr>
        <w:t>Treaty Series</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1946, No</w:t>
      </w:r>
      <w:r w:rsidRPr="00F22925">
        <w:rPr>
          <w:rFonts w:eastAsia="Calibri"/>
          <w:kern w:val="14"/>
          <w:lang w:val="en-US"/>
        </w:rPr>
        <w:t>.</w:t>
      </w:r>
      <w:r w:rsidRPr="00C17AA1">
        <w:rPr>
          <w:rFonts w:eastAsia="Calibri"/>
          <w:kern w:val="14"/>
          <w:lang w:val="en-US"/>
        </w:rPr>
        <w:t xml:space="preserve"> 33356, p</w:t>
      </w:r>
      <w:r w:rsidRPr="00F22925">
        <w:rPr>
          <w:rFonts w:eastAsia="Calibri"/>
          <w:kern w:val="14"/>
          <w:lang w:val="en-US"/>
        </w:rPr>
        <w:t>.</w:t>
      </w:r>
      <w:r w:rsidRPr="00C17AA1">
        <w:rPr>
          <w:rFonts w:eastAsia="Calibri"/>
          <w:kern w:val="14"/>
          <w:lang w:val="en-US"/>
        </w:rPr>
        <w:t xml:space="preserve"> 3</w:t>
      </w:r>
      <w:r w:rsidRPr="00F22925">
        <w:rPr>
          <w:rFonts w:eastAsia="Calibri"/>
          <w:kern w:val="14"/>
          <w:lang w:val="en-US"/>
        </w:rPr>
        <w:t>.</w:t>
      </w:r>
    </w:p>
    <w:p w14:paraId="2D641D7B"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 xml:space="preserve">Vienna Convention on the Law of Treaties (Vienna, 23 May 1969), United Nations, </w:t>
      </w:r>
      <w:r w:rsidRPr="00C17AA1">
        <w:rPr>
          <w:rFonts w:eastAsia="Calibri"/>
          <w:i/>
          <w:iCs/>
          <w:kern w:val="14"/>
          <w:lang w:val="en-US"/>
        </w:rPr>
        <w:t>Treaty Series</w:t>
      </w:r>
      <w:r w:rsidRPr="00C17AA1">
        <w:rPr>
          <w:rFonts w:eastAsia="Calibri"/>
          <w:kern w:val="14"/>
          <w:lang w:val="en-US"/>
        </w:rPr>
        <w:t>, vol</w:t>
      </w:r>
      <w:r w:rsidRPr="00F22925">
        <w:rPr>
          <w:rFonts w:eastAsia="Calibri"/>
          <w:kern w:val="14"/>
          <w:lang w:val="en-US"/>
        </w:rPr>
        <w:t>.</w:t>
      </w:r>
      <w:r w:rsidRPr="00C17AA1">
        <w:rPr>
          <w:rFonts w:eastAsia="Calibri"/>
          <w:kern w:val="14"/>
          <w:lang w:val="en-US"/>
        </w:rPr>
        <w:t xml:space="preserve"> 1155, No</w:t>
      </w:r>
      <w:r w:rsidRPr="00F22925">
        <w:rPr>
          <w:rFonts w:eastAsia="Calibri"/>
          <w:kern w:val="14"/>
          <w:lang w:val="en-US"/>
        </w:rPr>
        <w:t>.</w:t>
      </w:r>
      <w:r w:rsidRPr="00C17AA1">
        <w:rPr>
          <w:rFonts w:eastAsia="Calibri"/>
          <w:kern w:val="14"/>
          <w:lang w:val="en-US"/>
        </w:rPr>
        <w:t xml:space="preserve"> 18232, p</w:t>
      </w:r>
      <w:r w:rsidRPr="00F22925">
        <w:rPr>
          <w:rFonts w:eastAsia="Calibri"/>
          <w:kern w:val="14"/>
          <w:lang w:val="en-US"/>
        </w:rPr>
        <w:t>.</w:t>
      </w:r>
      <w:r w:rsidRPr="00C17AA1">
        <w:rPr>
          <w:rFonts w:eastAsia="Calibri"/>
          <w:kern w:val="14"/>
          <w:lang w:val="en-US"/>
        </w:rPr>
        <w:t xml:space="preserve"> 331</w:t>
      </w:r>
      <w:r w:rsidRPr="00F22925">
        <w:rPr>
          <w:rFonts w:eastAsia="Calibri"/>
          <w:kern w:val="14"/>
          <w:lang w:val="en-US"/>
        </w:rPr>
        <w:t>.</w:t>
      </w:r>
    </w:p>
    <w:p w14:paraId="74CBC289" w14:textId="77777777" w:rsidR="00014CBC" w:rsidRPr="00C17AA1" w:rsidRDefault="00014CBC" w:rsidP="00014CBC">
      <w:pPr>
        <w:pStyle w:val="SingleTxtG"/>
        <w:ind w:left="1701" w:hanging="567"/>
        <w:rPr>
          <w:rFonts w:eastAsia="Calibri"/>
          <w:spacing w:val="4"/>
          <w:kern w:val="14"/>
          <w:lang w:val="en-US"/>
        </w:rPr>
      </w:pPr>
      <w:r w:rsidRPr="00C17AA1">
        <w:rPr>
          <w:rFonts w:eastAsia="Calibri"/>
          <w:kern w:val="14"/>
          <w:lang w:val="en-US"/>
        </w:rPr>
        <w:t>Vienna Convention on the Law of Treaties between States and International Organizations or between International Organizations (Vienna, 21 March 1986)</w:t>
      </w:r>
      <w:r w:rsidRPr="00F22925">
        <w:rPr>
          <w:rFonts w:eastAsia="Calibri"/>
          <w:kern w:val="14"/>
          <w:lang w:val="en-US"/>
        </w:rPr>
        <w:t>.</w:t>
      </w:r>
      <w:r w:rsidRPr="00C17AA1">
        <w:rPr>
          <w:rFonts w:eastAsia="Calibri"/>
          <w:kern w:val="14"/>
          <w:lang w:val="en-US"/>
        </w:rPr>
        <w:t xml:space="preserve"> A/CONF</w:t>
      </w:r>
      <w:r w:rsidRPr="00F22925">
        <w:rPr>
          <w:rFonts w:eastAsia="Calibri"/>
          <w:kern w:val="14"/>
          <w:lang w:val="en-US"/>
        </w:rPr>
        <w:t>.</w:t>
      </w:r>
      <w:r w:rsidRPr="00C17AA1">
        <w:rPr>
          <w:rFonts w:eastAsia="Calibri"/>
          <w:kern w:val="14"/>
          <w:lang w:val="en-US"/>
        </w:rPr>
        <w:t>129/15</w:t>
      </w:r>
      <w:r w:rsidRPr="00F22925">
        <w:rPr>
          <w:rFonts w:eastAsia="Calibri"/>
          <w:kern w:val="14"/>
          <w:lang w:val="en-US"/>
        </w:rPr>
        <w:t>.</w:t>
      </w:r>
    </w:p>
    <w:p w14:paraId="47F30438" w14:textId="77777777" w:rsidR="00014CBC" w:rsidRPr="00A939D1" w:rsidRDefault="00014CBC" w:rsidP="00014CBC">
      <w:pPr>
        <w:pStyle w:val="H23G"/>
        <w:rPr>
          <w:rFonts w:eastAsia="Calibri"/>
          <w:bCs/>
          <w:spacing w:val="4"/>
          <w:kern w:val="14"/>
          <w:lang w:val="en-US"/>
        </w:rPr>
      </w:pPr>
      <w:r w:rsidRPr="00C17AA1">
        <w:rPr>
          <w:rFonts w:eastAsia="Calibri"/>
          <w:bCs/>
          <w:spacing w:val="4"/>
          <w:kern w:val="14"/>
          <w:lang w:val="en-US"/>
        </w:rPr>
        <w:tab/>
        <w:t>5</w:t>
      </w:r>
      <w:r w:rsidRPr="00F22925">
        <w:rPr>
          <w:rFonts w:eastAsia="Calibri"/>
          <w:bCs/>
          <w:spacing w:val="4"/>
          <w:kern w:val="14"/>
          <w:lang w:val="en-US"/>
        </w:rPr>
        <w:t>.</w:t>
      </w:r>
      <w:r w:rsidRPr="00C17AA1">
        <w:rPr>
          <w:rFonts w:eastAsia="Calibri"/>
          <w:bCs/>
          <w:spacing w:val="4"/>
          <w:kern w:val="14"/>
          <w:lang w:val="en-US"/>
        </w:rPr>
        <w:tab/>
      </w:r>
      <w:proofErr w:type="spellStart"/>
      <w:r w:rsidRPr="00E91727">
        <w:rPr>
          <w:lang w:val="en-US"/>
        </w:rPr>
        <w:t>Autres</w:t>
      </w:r>
      <w:proofErr w:type="spellEnd"/>
    </w:p>
    <w:p w14:paraId="50F5BB53" w14:textId="77777777" w:rsidR="00014CBC" w:rsidRPr="00C17AA1" w:rsidRDefault="00014CBC" w:rsidP="00014CBC">
      <w:pPr>
        <w:pStyle w:val="SingleTxtG"/>
        <w:ind w:left="1701" w:hanging="567"/>
        <w:rPr>
          <w:rFonts w:eastAsia="Calibri"/>
          <w:kern w:val="14"/>
          <w:lang w:val="en-US"/>
        </w:rPr>
      </w:pPr>
      <w:r w:rsidRPr="00C17AA1">
        <w:rPr>
          <w:rFonts w:eastAsia="Calibri"/>
          <w:kern w:val="14"/>
          <w:lang w:val="en-US"/>
        </w:rPr>
        <w:t>International Law Association</w:t>
      </w:r>
      <w:r w:rsidRPr="00F22925">
        <w:rPr>
          <w:rFonts w:eastAsia="Calibri"/>
          <w:kern w:val="14"/>
          <w:lang w:val="en-US"/>
        </w:rPr>
        <w:t>.</w:t>
      </w:r>
      <w:r w:rsidRPr="00C17AA1">
        <w:rPr>
          <w:rFonts w:eastAsia="Calibri"/>
          <w:kern w:val="14"/>
          <w:lang w:val="en-US"/>
        </w:rPr>
        <w:t xml:space="preserve"> </w:t>
      </w:r>
      <w:r w:rsidRPr="00C17AA1">
        <w:rPr>
          <w:rFonts w:eastAsia="Calibri"/>
          <w:i/>
          <w:iCs/>
          <w:kern w:val="14"/>
          <w:lang w:val="en-US"/>
        </w:rPr>
        <w:t>Report of the Seventy-first Conference, Berlin, 2004</w:t>
      </w:r>
      <w:r w:rsidRPr="00F22925">
        <w:rPr>
          <w:rFonts w:eastAsia="Calibri"/>
          <w:kern w:val="14"/>
          <w:lang w:val="en-US"/>
        </w:rPr>
        <w:t>.</w:t>
      </w:r>
      <w:r w:rsidRPr="00C17AA1">
        <w:rPr>
          <w:rFonts w:eastAsia="Calibri"/>
          <w:kern w:val="14"/>
          <w:lang w:val="en-US"/>
        </w:rPr>
        <w:t xml:space="preserve"> Arms Control and Disarmament Law</w:t>
      </w:r>
      <w:r w:rsidRPr="00F22925">
        <w:rPr>
          <w:rFonts w:eastAsia="Calibri"/>
          <w:kern w:val="14"/>
          <w:lang w:val="en-US"/>
        </w:rPr>
        <w:t>.</w:t>
      </w:r>
      <w:r w:rsidRPr="00C17AA1">
        <w:rPr>
          <w:rFonts w:eastAsia="Calibri"/>
          <w:kern w:val="14"/>
          <w:lang w:val="en-US"/>
        </w:rPr>
        <w:t xml:space="preserve"> Final Report of the Committee</w:t>
      </w:r>
      <w:r w:rsidRPr="00F22925">
        <w:rPr>
          <w:rFonts w:eastAsia="Calibri"/>
          <w:kern w:val="14"/>
          <w:lang w:val="en-US"/>
        </w:rPr>
        <w:t>.</w:t>
      </w:r>
    </w:p>
    <w:p w14:paraId="7E2036F7" w14:textId="77777777" w:rsidR="00014CBC" w:rsidRPr="00C17AA1" w:rsidRDefault="00014CBC" w:rsidP="00014CBC">
      <w:pPr>
        <w:pStyle w:val="SingleTxtG"/>
        <w:ind w:left="1701" w:hanging="567"/>
        <w:rPr>
          <w:rFonts w:eastAsia="Calibri"/>
          <w:spacing w:val="4"/>
          <w:kern w:val="14"/>
          <w:lang w:val="en-US"/>
        </w:rPr>
      </w:pPr>
      <w:r w:rsidRPr="00C17AA1">
        <w:rPr>
          <w:rFonts w:eastAsia="Calibri"/>
          <w:kern w:val="14"/>
          <w:lang w:val="en-US"/>
        </w:rPr>
        <w:t>Michie, Andrew</w:t>
      </w:r>
      <w:r w:rsidRPr="00F22925">
        <w:rPr>
          <w:rFonts w:eastAsia="Calibri"/>
          <w:kern w:val="14"/>
          <w:lang w:val="en-US"/>
        </w:rPr>
        <w:t>.</w:t>
      </w:r>
      <w:r w:rsidRPr="00C17AA1">
        <w:rPr>
          <w:rFonts w:eastAsia="Calibri"/>
          <w:kern w:val="14"/>
          <w:lang w:val="en-US"/>
        </w:rPr>
        <w:t xml:space="preserve"> “The provisional application of treaties with special reference to arms control, disarmament and non-proliferation instruments”, Master of Laws dissertation, University of South Africa, 2004</w:t>
      </w:r>
      <w:r w:rsidRPr="00F22925">
        <w:rPr>
          <w:rFonts w:eastAsia="Calibri"/>
          <w:kern w:val="14"/>
          <w:lang w:val="en-US"/>
        </w:rPr>
        <w:t>.</w:t>
      </w:r>
    </w:p>
    <w:sectPr w:rsidR="00014CBC" w:rsidRPr="00C17AA1" w:rsidSect="00CC5620">
      <w:footnotePr>
        <w:numStart w:val="253"/>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E105" w14:textId="77777777" w:rsidR="00B23F13" w:rsidRDefault="00B23F13" w:rsidP="0043175D">
      <w:pPr>
        <w:spacing w:line="240" w:lineRule="auto"/>
      </w:pPr>
      <w:r>
        <w:separator/>
      </w:r>
    </w:p>
  </w:endnote>
  <w:endnote w:type="continuationSeparator" w:id="0">
    <w:p w14:paraId="78B138C5" w14:textId="77777777" w:rsidR="00B23F13" w:rsidRDefault="00B23F13" w:rsidP="00431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B381" w14:textId="77777777" w:rsidR="00B23F13" w:rsidRDefault="00B23F13" w:rsidP="0043175D">
      <w:pPr>
        <w:spacing w:line="240" w:lineRule="auto"/>
      </w:pPr>
      <w:r>
        <w:separator/>
      </w:r>
    </w:p>
  </w:footnote>
  <w:footnote w:type="continuationSeparator" w:id="0">
    <w:p w14:paraId="6C9ED211" w14:textId="77777777" w:rsidR="00B23F13" w:rsidRDefault="00B23F13" w:rsidP="0043175D">
      <w:pPr>
        <w:spacing w:line="240" w:lineRule="auto"/>
      </w:pPr>
      <w:r>
        <w:continuationSeparator/>
      </w:r>
    </w:p>
  </w:footnote>
  <w:footnote w:id="1">
    <w:p w14:paraId="68494DDF" w14:textId="77777777" w:rsidR="0043175D" w:rsidRPr="00750617" w:rsidRDefault="0043175D" w:rsidP="0043175D">
      <w:pPr>
        <w:pStyle w:val="FootnoteText"/>
      </w:pPr>
      <w:r w:rsidRPr="00750617">
        <w:tab/>
      </w:r>
      <w:r w:rsidRPr="00750617">
        <w:rPr>
          <w:rStyle w:val="FootnoteReference"/>
        </w:rPr>
        <w:footnoteRef/>
      </w:r>
      <w:r w:rsidRPr="000D3559">
        <w:rPr>
          <w:lang w:val="en-US"/>
        </w:rPr>
        <w:tab/>
      </w:r>
      <w:proofErr w:type="spellStart"/>
      <w:r w:rsidRPr="000D3559">
        <w:rPr>
          <w:lang w:val="en-US"/>
        </w:rPr>
        <w:t>Voir</w:t>
      </w:r>
      <w:proofErr w:type="spellEnd"/>
      <w:r w:rsidRPr="000D3559">
        <w:rPr>
          <w:lang w:val="en-US"/>
        </w:rPr>
        <w:t xml:space="preserve"> D. </w:t>
      </w:r>
      <w:proofErr w:type="spellStart"/>
      <w:r w:rsidRPr="000D3559">
        <w:rPr>
          <w:lang w:val="en-US"/>
        </w:rPr>
        <w:t>Mathy</w:t>
      </w:r>
      <w:proofErr w:type="spellEnd"/>
      <w:r w:rsidRPr="000D3559">
        <w:rPr>
          <w:lang w:val="en-US"/>
        </w:rPr>
        <w:t>, « Article 25 », dans O</w:t>
      </w:r>
      <w:bookmarkStart w:id="2" w:name="_Hlk76374239"/>
      <w:r w:rsidRPr="000D3559">
        <w:rPr>
          <w:lang w:val="en-US"/>
        </w:rPr>
        <w:t xml:space="preserve">. Corten et P. Klein </w:t>
      </w:r>
      <w:bookmarkEnd w:id="2"/>
      <w:r w:rsidRPr="000D3559">
        <w:rPr>
          <w:lang w:val="en-US"/>
        </w:rPr>
        <w:t xml:space="preserve">(dir. publ.), </w:t>
      </w:r>
      <w:r w:rsidRPr="000D3559">
        <w:rPr>
          <w:i/>
          <w:iCs/>
          <w:lang w:val="en-US"/>
        </w:rPr>
        <w:t>The Vienna Conventions on the Law of Treaties: A Commentary</w:t>
      </w:r>
      <w:r w:rsidRPr="000D3559">
        <w:rPr>
          <w:lang w:val="en-US"/>
        </w:rPr>
        <w:t xml:space="preserve">, vol. 1 (Oxford, Oxford University Press, 2011), p. </w:t>
      </w:r>
      <w:proofErr w:type="gramStart"/>
      <w:r w:rsidRPr="000D3559">
        <w:rPr>
          <w:lang w:val="en-US"/>
        </w:rPr>
        <w:t>640 ;</w:t>
      </w:r>
      <w:proofErr w:type="gramEnd"/>
      <w:r w:rsidRPr="000D3559">
        <w:rPr>
          <w:lang w:val="en-US"/>
        </w:rPr>
        <w:t xml:space="preserve"> A. Q. </w:t>
      </w:r>
      <w:proofErr w:type="spellStart"/>
      <w:r w:rsidRPr="000D3559">
        <w:rPr>
          <w:lang w:val="en-US"/>
        </w:rPr>
        <w:t>Mertsch</w:t>
      </w:r>
      <w:proofErr w:type="spellEnd"/>
      <w:r w:rsidRPr="000D3559">
        <w:rPr>
          <w:lang w:val="en-US"/>
        </w:rPr>
        <w:t xml:space="preserve">, </w:t>
      </w:r>
      <w:r w:rsidRPr="000D3559">
        <w:rPr>
          <w:i/>
          <w:iCs/>
          <w:lang w:val="en-US"/>
        </w:rPr>
        <w:t>Provisionally Applied Treaties: Their Binding Force and Legal Nature</w:t>
      </w:r>
      <w:r w:rsidRPr="000D3559">
        <w:rPr>
          <w:lang w:val="en-US"/>
        </w:rPr>
        <w:t xml:space="preserve"> (</w:t>
      </w:r>
      <w:proofErr w:type="spellStart"/>
      <w:r w:rsidRPr="000D3559">
        <w:rPr>
          <w:lang w:val="en-US"/>
        </w:rPr>
        <w:t>Leyde</w:t>
      </w:r>
      <w:proofErr w:type="spellEnd"/>
      <w:r w:rsidRPr="000D3559">
        <w:rPr>
          <w:lang w:val="en-US"/>
        </w:rPr>
        <w:t xml:space="preserve">, Brill, 2012). </w:t>
      </w:r>
      <w:r w:rsidRPr="00750617">
        <w:t>Cette notion a été définie par les auteurs comme étant l’application des termes d’un traité et le consentement à y être lié dans l’attente de l’entrée en vigueur dudit traité (R</w:t>
      </w:r>
      <w:r w:rsidRPr="00F22925">
        <w:t>.</w:t>
      </w:r>
      <w:r w:rsidRPr="00750617">
        <w:t xml:space="preserve"> </w:t>
      </w:r>
      <w:proofErr w:type="spellStart"/>
      <w:r w:rsidRPr="00750617">
        <w:t>Lefeber</w:t>
      </w:r>
      <w:proofErr w:type="spellEnd"/>
      <w:r w:rsidRPr="00750617">
        <w:t xml:space="preserve">, « </w:t>
      </w:r>
      <w:proofErr w:type="spellStart"/>
      <w:r w:rsidRPr="00750617">
        <w:t>Treaties</w:t>
      </w:r>
      <w:proofErr w:type="spellEnd"/>
      <w:r w:rsidRPr="00750617">
        <w:t xml:space="preserve">, </w:t>
      </w:r>
      <w:proofErr w:type="spellStart"/>
      <w:r w:rsidRPr="00750617">
        <w:t>provisional</w:t>
      </w:r>
      <w:proofErr w:type="spellEnd"/>
      <w:r w:rsidRPr="00750617">
        <w:t xml:space="preserve"> application », dans </w:t>
      </w:r>
      <w:r w:rsidRPr="00750617">
        <w:rPr>
          <w:i/>
          <w:iCs/>
        </w:rPr>
        <w:t xml:space="preserve">The Max Planck </w:t>
      </w:r>
      <w:proofErr w:type="spellStart"/>
      <w:r w:rsidRPr="00750617">
        <w:rPr>
          <w:i/>
          <w:iCs/>
        </w:rPr>
        <w:t>Encyclopedia</w:t>
      </w:r>
      <w:proofErr w:type="spellEnd"/>
      <w:r w:rsidRPr="00750617">
        <w:rPr>
          <w:i/>
          <w:iCs/>
        </w:rPr>
        <w:t xml:space="preserve"> of Public International Law</w:t>
      </w:r>
      <w:r w:rsidRPr="00750617">
        <w:t>, vol</w:t>
      </w:r>
      <w:r w:rsidRPr="00F22925">
        <w:t>.</w:t>
      </w:r>
      <w:r w:rsidRPr="00750617">
        <w:t xml:space="preserve"> 10, R</w:t>
      </w:r>
      <w:r w:rsidRPr="00F22925">
        <w:t>.</w:t>
      </w:r>
      <w:r w:rsidRPr="00750617">
        <w:t> </w:t>
      </w:r>
      <w:proofErr w:type="spellStart"/>
      <w:r w:rsidRPr="00750617">
        <w:t>Wolfrum</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(Oxford, Oxford </w:t>
      </w:r>
      <w:proofErr w:type="spellStart"/>
      <w:r w:rsidRPr="00750617">
        <w:t>University</w:t>
      </w:r>
      <w:proofErr w:type="spellEnd"/>
      <w:r w:rsidRPr="00750617">
        <w:t xml:space="preserve"> </w:t>
      </w:r>
      <w:proofErr w:type="spellStart"/>
      <w:r w:rsidRPr="00750617">
        <w:t>Press</w:t>
      </w:r>
      <w:proofErr w:type="spellEnd"/>
      <w:r w:rsidRPr="00750617">
        <w:t>, 2012), p</w:t>
      </w:r>
      <w:r w:rsidRPr="00F22925">
        <w:t>.</w:t>
      </w:r>
      <w:r w:rsidRPr="00750617">
        <w:t xml:space="preserve"> 1) ou comme une procédure simplifiée permettant d’obtenir l’application d’un traité ou d’une partie d’un traité pour une durée limitée (M</w:t>
      </w:r>
      <w:r w:rsidRPr="00F22925">
        <w:t>.</w:t>
      </w:r>
      <w:r w:rsidRPr="00750617">
        <w:t xml:space="preserve"> E</w:t>
      </w:r>
      <w:r w:rsidRPr="00F22925">
        <w:t>.</w:t>
      </w:r>
      <w:r w:rsidRPr="00750617">
        <w:t xml:space="preserve"> </w:t>
      </w:r>
      <w:proofErr w:type="spellStart"/>
      <w:r w:rsidRPr="00750617">
        <w:t>Villager</w:t>
      </w:r>
      <w:proofErr w:type="spellEnd"/>
      <w:r w:rsidRPr="00750617">
        <w:t xml:space="preserve">, </w:t>
      </w:r>
      <w:proofErr w:type="spellStart"/>
      <w:r w:rsidRPr="00750617">
        <w:rPr>
          <w:i/>
          <w:iCs/>
        </w:rPr>
        <w:t>Commentary</w:t>
      </w:r>
      <w:proofErr w:type="spellEnd"/>
      <w:r w:rsidRPr="00750617">
        <w:rPr>
          <w:i/>
          <w:iCs/>
        </w:rPr>
        <w:t xml:space="preserve"> on the 1969 Vienna Convention on the Law of </w:t>
      </w:r>
      <w:proofErr w:type="spellStart"/>
      <w:r w:rsidRPr="00750617">
        <w:t>Treaties</w:t>
      </w:r>
      <w:proofErr w:type="spellEnd"/>
      <w:r w:rsidRPr="00750617">
        <w:t xml:space="preserve"> (Leyde et Boston, </w:t>
      </w:r>
      <w:proofErr w:type="spellStart"/>
      <w:r w:rsidRPr="00750617">
        <w:t>Martinus</w:t>
      </w:r>
      <w:proofErr w:type="spellEnd"/>
      <w:r w:rsidRPr="00750617">
        <w:t xml:space="preserve"> </w:t>
      </w:r>
      <w:proofErr w:type="spellStart"/>
      <w:r w:rsidRPr="00750617">
        <w:t>Nijhoff</w:t>
      </w:r>
      <w:proofErr w:type="spellEnd"/>
      <w:r w:rsidRPr="00750617">
        <w:t>, 2009), p</w:t>
      </w:r>
      <w:r w:rsidRPr="00F22925">
        <w:t>.</w:t>
      </w:r>
      <w:r w:rsidRPr="00750617">
        <w:t xml:space="preserve"> 354)</w:t>
      </w:r>
      <w:r w:rsidRPr="00F22925">
        <w:t>.</w:t>
      </w:r>
    </w:p>
  </w:footnote>
  <w:footnote w:id="2">
    <w:p w14:paraId="5F3D60FE" w14:textId="77777777" w:rsidR="0043175D" w:rsidRPr="00750617" w:rsidRDefault="0043175D" w:rsidP="0043175D">
      <w:pPr>
        <w:pStyle w:val="FootnoteText"/>
      </w:pPr>
      <w:r w:rsidRPr="00750617">
        <w:tab/>
      </w:r>
      <w:r w:rsidRPr="00750617">
        <w:rPr>
          <w:rStyle w:val="FootnoteReference"/>
        </w:rPr>
        <w:footnoteRef/>
      </w:r>
      <w:r w:rsidRPr="00750617">
        <w:tab/>
        <w:t>Voir H</w:t>
      </w:r>
      <w:r w:rsidRPr="00F22925">
        <w:t>.</w:t>
      </w:r>
      <w:r w:rsidRPr="00750617">
        <w:t xml:space="preserve"> Krieger, « Article 25 », dans </w:t>
      </w:r>
      <w:r w:rsidRPr="00750617">
        <w:rPr>
          <w:i/>
          <w:iCs/>
        </w:rPr>
        <w:t xml:space="preserve">Vienna Convention on the Law of </w:t>
      </w:r>
      <w:proofErr w:type="spellStart"/>
      <w:proofErr w:type="gramStart"/>
      <w:r w:rsidRPr="00750617">
        <w:rPr>
          <w:i/>
          <w:iCs/>
        </w:rPr>
        <w:t>Treaties</w:t>
      </w:r>
      <w:proofErr w:type="spellEnd"/>
      <w:r w:rsidRPr="00750617">
        <w:rPr>
          <w:i/>
          <w:iCs/>
        </w:rPr>
        <w:t>:</w:t>
      </w:r>
      <w:proofErr w:type="gramEnd"/>
      <w:r w:rsidRPr="00750617">
        <w:rPr>
          <w:i/>
          <w:iCs/>
        </w:rPr>
        <w:t xml:space="preserve"> A </w:t>
      </w:r>
      <w:proofErr w:type="spellStart"/>
      <w:r w:rsidRPr="00750617">
        <w:rPr>
          <w:i/>
          <w:iCs/>
        </w:rPr>
        <w:t>Commentary</w:t>
      </w:r>
      <w:proofErr w:type="spellEnd"/>
      <w:r w:rsidRPr="00750617">
        <w:t>, O</w:t>
      </w:r>
      <w:r w:rsidRPr="00F22925">
        <w:t>.</w:t>
      </w:r>
      <w:r w:rsidRPr="00750617">
        <w:t> </w:t>
      </w:r>
      <w:proofErr w:type="spellStart"/>
      <w:r w:rsidRPr="00750617">
        <w:t>Dörr</w:t>
      </w:r>
      <w:proofErr w:type="spellEnd"/>
      <w:r w:rsidRPr="00750617">
        <w:t xml:space="preserve"> et K</w:t>
      </w:r>
      <w:r w:rsidRPr="00F22925">
        <w:t>.</w:t>
      </w:r>
      <w:r w:rsidRPr="00750617">
        <w:t xml:space="preserve"> </w:t>
      </w:r>
      <w:proofErr w:type="spellStart"/>
      <w:r w:rsidRPr="00750617">
        <w:t>Schmalenbach</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(Heidelberg et New York, Springer, 2012), p</w:t>
      </w:r>
      <w:r w:rsidRPr="00F22925">
        <w:t>.</w:t>
      </w:r>
      <w:r w:rsidRPr="00750617">
        <w:t xml:space="preserve"> 408</w:t>
      </w:r>
      <w:r w:rsidRPr="00F22925">
        <w:t>.</w:t>
      </w:r>
    </w:p>
  </w:footnote>
  <w:footnote w:id="3">
    <w:p w14:paraId="50BEC936" w14:textId="77777777" w:rsidR="0043175D" w:rsidRPr="00750617" w:rsidRDefault="0043175D" w:rsidP="0043175D">
      <w:pPr>
        <w:pStyle w:val="FootnoteText"/>
      </w:pPr>
      <w:r w:rsidRPr="00750617">
        <w:tab/>
      </w:r>
      <w:r w:rsidRPr="00750617">
        <w:rPr>
          <w:rStyle w:val="FootnoteReference"/>
        </w:rPr>
        <w:footnoteRef/>
      </w:r>
      <w:r w:rsidRPr="00750617">
        <w:tab/>
        <w:t xml:space="preserve">Voir le premier rapport du Rapporteur spécial sur l’application à titre provisoire des traités, </w:t>
      </w:r>
      <w:r w:rsidRPr="00750617">
        <w:rPr>
          <w:i/>
          <w:iCs/>
        </w:rPr>
        <w:t>Annuaire … 2013</w:t>
      </w:r>
      <w:r w:rsidRPr="00750617">
        <w:t>, vol</w:t>
      </w:r>
      <w:r w:rsidRPr="00F22925">
        <w:t>.</w:t>
      </w:r>
      <w:r w:rsidRPr="00750617">
        <w:t xml:space="preserve"> II (1</w:t>
      </w:r>
      <w:r w:rsidRPr="00750617">
        <w:rPr>
          <w:vertAlign w:val="superscript"/>
        </w:rPr>
        <w:t>re</w:t>
      </w:r>
      <w:r w:rsidRPr="00750617">
        <w:t xml:space="preserve"> partie) (</w:t>
      </w:r>
      <w:hyperlink r:id="rId1" w:history="1">
        <w:r w:rsidRPr="00750617">
          <w:rPr>
            <w:rStyle w:val="Hyperlink"/>
          </w:rPr>
          <w:t>A/CN</w:t>
        </w:r>
        <w:r w:rsidRPr="00F22925">
          <w:rPr>
            <w:rStyle w:val="Hyperlink"/>
          </w:rPr>
          <w:t>.</w:t>
        </w:r>
        <w:r w:rsidRPr="00750617">
          <w:rPr>
            <w:rStyle w:val="Hyperlink"/>
          </w:rPr>
          <w:t>4/664</w:t>
        </w:r>
      </w:hyperlink>
      <w:r w:rsidRPr="00750617">
        <w:rPr>
          <w:rStyle w:val="Hyperlink"/>
        </w:rPr>
        <w:t>)</w:t>
      </w:r>
      <w:r w:rsidRPr="00750617">
        <w:t>, par</w:t>
      </w:r>
      <w:r w:rsidRPr="00F22925">
        <w:t>.</w:t>
      </w:r>
      <w:r w:rsidRPr="00750617">
        <w:t xml:space="preserve"> 25 à 35</w:t>
      </w:r>
      <w:r w:rsidRPr="00F22925">
        <w:t>.</w:t>
      </w:r>
    </w:p>
  </w:footnote>
  <w:footnote w:id="4">
    <w:p w14:paraId="423A0DC2" w14:textId="77777777" w:rsidR="0043175D" w:rsidRPr="00750617" w:rsidRDefault="0043175D" w:rsidP="0043175D">
      <w:pPr>
        <w:pStyle w:val="FootnoteText"/>
      </w:pPr>
      <w:r w:rsidRPr="00750617">
        <w:tab/>
      </w:r>
      <w:r w:rsidRPr="00750617">
        <w:rPr>
          <w:rStyle w:val="FootnoteReference"/>
        </w:rPr>
        <w:footnoteRef/>
      </w:r>
      <w:r w:rsidRPr="00750617">
        <w:tab/>
      </w:r>
      <w:r w:rsidRPr="00750617">
        <w:rPr>
          <w:vertAlign w:val="superscript"/>
        </w:rPr>
        <w:tab/>
      </w:r>
      <w:r w:rsidRPr="00750617">
        <w:t>L’article 25 de la Convention de Vienne de 1969 se lit comme suit :</w:t>
      </w:r>
    </w:p>
    <w:p w14:paraId="482EAFF5" w14:textId="77777777" w:rsidR="0043175D" w:rsidRPr="00750617" w:rsidRDefault="0043175D" w:rsidP="0043175D">
      <w:pPr>
        <w:pStyle w:val="FootnoteText"/>
      </w:pPr>
      <w:r w:rsidRPr="00750617">
        <w:tab/>
      </w:r>
      <w:r w:rsidRPr="00750617">
        <w:tab/>
        <w:t xml:space="preserve">Application à titre provisoire </w:t>
      </w:r>
      <w:r w:rsidRPr="00750617">
        <w:br/>
        <w:t>1</w:t>
      </w:r>
      <w:r w:rsidRPr="00F22925">
        <w:t>.</w:t>
      </w:r>
      <w:r w:rsidRPr="00750617">
        <w:tab/>
        <w:t xml:space="preserve">Un traité ou une partie d’un traité s’applique à titre provisoire en attendant son entrée en vigueur : </w:t>
      </w:r>
      <w:r w:rsidRPr="00750617">
        <w:br/>
      </w:r>
      <w:r w:rsidRPr="00750617">
        <w:tab/>
      </w:r>
      <w:r w:rsidRPr="00750617">
        <w:tab/>
        <w:t>a)</w:t>
      </w:r>
      <w:r w:rsidRPr="00750617">
        <w:tab/>
        <w:t>Si le traité lui-même en dispose ainsi ; ou</w:t>
      </w:r>
      <w:r w:rsidRPr="00750617">
        <w:br/>
      </w:r>
      <w:r w:rsidRPr="00750617">
        <w:tab/>
      </w:r>
      <w:r w:rsidRPr="00750617">
        <w:tab/>
        <w:t>b)</w:t>
      </w:r>
      <w:r w:rsidRPr="00750617">
        <w:tab/>
        <w:t>Si les États ayant participé à la négociation en étaient ainsi convenus d’une autre manière</w:t>
      </w:r>
      <w:r w:rsidRPr="00F22925">
        <w:t>.</w:t>
      </w:r>
      <w:r w:rsidRPr="00750617">
        <w:t xml:space="preserve"> </w:t>
      </w:r>
      <w:r w:rsidRPr="00750617">
        <w:br/>
        <w:t>2</w:t>
      </w:r>
      <w:r w:rsidRPr="00F22925">
        <w:t>.</w:t>
      </w:r>
      <w:r w:rsidRPr="00750617">
        <w:tab/>
        <w:t>À moins que le traité n’en dispose autrement ou que les États ayant participé à la négociation n’en soient convenus autrement, l’application à titre provisoire d’un traité ou d’une partie d’un traité à l’égard d’un État prend fin si cet État notifie aux autres États entre lesquels le traité est appliqué provisoirement son intention de ne pas devenir partie au traité</w:t>
      </w:r>
      <w:r w:rsidRPr="00F22925">
        <w:t>.</w:t>
      </w:r>
      <w:r w:rsidRPr="00750617">
        <w:t xml:space="preserve"> </w:t>
      </w:r>
    </w:p>
    <w:p w14:paraId="422113BC" w14:textId="77777777" w:rsidR="0043175D" w:rsidRPr="00750617" w:rsidRDefault="0043175D" w:rsidP="0043175D">
      <w:pPr>
        <w:pStyle w:val="FootnoteText"/>
      </w:pPr>
      <w:r w:rsidRPr="00750617">
        <w:tab/>
      </w:r>
      <w:r w:rsidRPr="00750617">
        <w:tab/>
        <w:t xml:space="preserve">(Nations Unies, </w:t>
      </w:r>
      <w:r w:rsidRPr="00750617">
        <w:rPr>
          <w:i/>
          <w:iCs/>
        </w:rPr>
        <w:t>Recueil des Traités</w:t>
      </w:r>
      <w:r w:rsidRPr="00750617">
        <w:t>, vol</w:t>
      </w:r>
      <w:r w:rsidRPr="00F22925">
        <w:t>.</w:t>
      </w:r>
      <w:r w:rsidRPr="00750617">
        <w:t xml:space="preserve"> 1155, n</w:t>
      </w:r>
      <w:r w:rsidRPr="00750617">
        <w:rPr>
          <w:vertAlign w:val="superscript"/>
        </w:rPr>
        <w:t>o</w:t>
      </w:r>
      <w:r w:rsidRPr="00750617">
        <w:t xml:space="preserve"> 18232, p</w:t>
      </w:r>
      <w:r w:rsidRPr="00F22925">
        <w:t>.</w:t>
      </w:r>
      <w:r w:rsidRPr="00750617">
        <w:t xml:space="preserve"> 353, à la page 361)</w:t>
      </w:r>
      <w:r w:rsidRPr="00F22925">
        <w:t>.</w:t>
      </w:r>
    </w:p>
  </w:footnote>
  <w:footnote w:id="5">
    <w:p w14:paraId="09FEE2F3" w14:textId="77777777" w:rsidR="0043175D" w:rsidRPr="00750617" w:rsidRDefault="0043175D" w:rsidP="0043175D">
      <w:pPr>
        <w:pStyle w:val="FootnoteText"/>
      </w:pPr>
      <w:r w:rsidRPr="00750617">
        <w:tab/>
      </w:r>
      <w:r w:rsidRPr="00750617">
        <w:rPr>
          <w:rStyle w:val="FootnoteReference"/>
        </w:rPr>
        <w:footnoteRef/>
      </w:r>
      <w:r w:rsidRPr="00750617">
        <w:tab/>
        <w:t xml:space="preserve">L’article 25 de la Convention de Vienne de 1986 se lit comme suit : </w:t>
      </w:r>
    </w:p>
    <w:p w14:paraId="12553AFA" w14:textId="77777777" w:rsidR="0043175D" w:rsidRPr="00750617" w:rsidRDefault="0043175D" w:rsidP="0043175D">
      <w:pPr>
        <w:pStyle w:val="FootnoteText"/>
      </w:pPr>
      <w:r w:rsidRPr="00750617">
        <w:tab/>
      </w:r>
      <w:r w:rsidRPr="00750617">
        <w:tab/>
        <w:t xml:space="preserve">Application à titre provisoire </w:t>
      </w:r>
    </w:p>
    <w:p w14:paraId="6AC45339" w14:textId="77777777" w:rsidR="0043175D" w:rsidRPr="00750617" w:rsidRDefault="0043175D" w:rsidP="0043175D">
      <w:pPr>
        <w:pStyle w:val="FootnoteText"/>
      </w:pPr>
      <w:r w:rsidRPr="00750617">
        <w:tab/>
      </w:r>
      <w:r w:rsidRPr="00750617">
        <w:tab/>
        <w:t>1</w:t>
      </w:r>
      <w:r w:rsidRPr="00F22925">
        <w:t>.</w:t>
      </w:r>
      <w:r w:rsidRPr="00750617">
        <w:tab/>
        <w:t xml:space="preserve">Un traité ou une partie d’un traité s’applique à titre provisoire en attendant son entrée en vigueur : </w:t>
      </w:r>
      <w:r w:rsidRPr="00750617">
        <w:br/>
      </w:r>
      <w:r w:rsidRPr="00750617">
        <w:tab/>
      </w:r>
      <w:r w:rsidRPr="00750617">
        <w:tab/>
        <w:t>a)</w:t>
      </w:r>
      <w:r w:rsidRPr="00750617">
        <w:tab/>
        <w:t xml:space="preserve">Si le traité lui-même en dispose ainsi ; ou </w:t>
      </w:r>
      <w:r w:rsidRPr="00750617">
        <w:br/>
      </w:r>
      <w:r w:rsidRPr="00750617">
        <w:tab/>
      </w:r>
      <w:r w:rsidRPr="00750617">
        <w:tab/>
        <w:t>b)</w:t>
      </w:r>
      <w:r w:rsidRPr="00750617">
        <w:tab/>
        <w:t xml:space="preserve">Si les États et les organisations ou, selon le cas, les organisations ayant participé à la négociation en étaient ainsi </w:t>
      </w:r>
      <w:proofErr w:type="gramStart"/>
      <w:r w:rsidRPr="00750617">
        <w:t>convenus</w:t>
      </w:r>
      <w:proofErr w:type="gramEnd"/>
      <w:r w:rsidRPr="00750617">
        <w:t xml:space="preserve"> d’une autre manière</w:t>
      </w:r>
      <w:r w:rsidRPr="00F22925">
        <w:t>.</w:t>
      </w:r>
      <w:r w:rsidRPr="00750617">
        <w:t xml:space="preserve"> </w:t>
      </w:r>
      <w:r w:rsidRPr="00750617">
        <w:br/>
        <w:t>2</w:t>
      </w:r>
      <w:r w:rsidRPr="00F22925">
        <w:t>.</w:t>
      </w:r>
      <w:r w:rsidRPr="00750617">
        <w:tab/>
        <w:t>À moins que le traité n’en dispose autrement ou que les États et les organisations internationales ayant participé à la négociation ou, selon le cas, les organisations ayant participé à la négociation n’en soient convenus autrement, l’application à titre provisoire d’un traité ou d’une partie d’un traité à l’égard d’un État ou d’une organisation prend fin si cet État ou cette organisation notifie aux États et aux organisations entre lesquels le traité est appliqué provisoirement son intention de ne pas devenir partie au traité</w:t>
      </w:r>
      <w:r w:rsidRPr="00F22925">
        <w:t>.</w:t>
      </w:r>
      <w:r w:rsidRPr="00750617">
        <w:t xml:space="preserve"> (</w:t>
      </w:r>
      <w:hyperlink r:id="rId2" w:history="1">
        <w:r w:rsidRPr="00750617">
          <w:rPr>
            <w:rStyle w:val="Hyperlink"/>
          </w:rPr>
          <w:t>A/CONF</w:t>
        </w:r>
        <w:r w:rsidRPr="00F22925">
          <w:rPr>
            <w:rStyle w:val="Hyperlink"/>
          </w:rPr>
          <w:t>.</w:t>
        </w:r>
        <w:r w:rsidRPr="00750617">
          <w:rPr>
            <w:rStyle w:val="Hyperlink"/>
          </w:rPr>
          <w:t>129/15</w:t>
        </w:r>
      </w:hyperlink>
      <w:r w:rsidRPr="00750617">
        <w:t xml:space="preserve"> (pas encore entré en vigueur)</w:t>
      </w:r>
      <w:r w:rsidRPr="00F22925">
        <w:t>.</w:t>
      </w:r>
      <w:r w:rsidRPr="00750617">
        <w:t>)</w:t>
      </w:r>
    </w:p>
  </w:footnote>
  <w:footnote w:id="6">
    <w:p w14:paraId="08B999B6" w14:textId="77777777" w:rsidR="0043175D" w:rsidRPr="00750617" w:rsidRDefault="0043175D" w:rsidP="0043175D">
      <w:pPr>
        <w:pStyle w:val="FootnoteText"/>
      </w:pPr>
      <w:r w:rsidRPr="00750617">
        <w:tab/>
      </w:r>
      <w:r w:rsidRPr="00750617">
        <w:rPr>
          <w:rStyle w:val="FootnoteReference"/>
        </w:rPr>
        <w:footnoteRef/>
      </w:r>
      <w:r w:rsidRPr="00750617">
        <w:tab/>
        <w:t>Voir le premier rapport du Rapporteur spécial (</w:t>
      </w:r>
      <w:hyperlink r:id="rId3" w:history="1">
        <w:r w:rsidRPr="00750617">
          <w:rPr>
            <w:rStyle w:val="Hyperlink"/>
          </w:rPr>
          <w:t>A/CN</w:t>
        </w:r>
        <w:r w:rsidRPr="00F22925">
          <w:rPr>
            <w:rStyle w:val="Hyperlink"/>
          </w:rPr>
          <w:t>.</w:t>
        </w:r>
        <w:r w:rsidRPr="00750617">
          <w:rPr>
            <w:rStyle w:val="Hyperlink"/>
          </w:rPr>
          <w:t>4/664</w:t>
        </w:r>
      </w:hyperlink>
      <w:r w:rsidRPr="00750617">
        <w:rPr>
          <w:rStyle w:val="Hyperlink"/>
        </w:rPr>
        <w:t>)</w:t>
      </w:r>
      <w:r w:rsidRPr="00750617">
        <w:t>, par</w:t>
      </w:r>
      <w:r w:rsidRPr="00F22925">
        <w:t>.</w:t>
      </w:r>
      <w:r w:rsidRPr="00750617">
        <w:t xml:space="preserve"> 28 à 30</w:t>
      </w:r>
      <w:r w:rsidRPr="00F22925">
        <w:t>.</w:t>
      </w:r>
    </w:p>
  </w:footnote>
  <w:footnote w:id="7">
    <w:p w14:paraId="534A9316" w14:textId="77777777" w:rsidR="0043175D" w:rsidRPr="00750617" w:rsidRDefault="0043175D" w:rsidP="0043175D">
      <w:pPr>
        <w:pStyle w:val="FootnoteText"/>
      </w:pPr>
      <w:r w:rsidRPr="00750617">
        <w:tab/>
      </w:r>
      <w:r w:rsidRPr="00750617">
        <w:rPr>
          <w:rStyle w:val="FootnoteReference"/>
        </w:rPr>
        <w:footnoteRef/>
      </w:r>
      <w:r w:rsidRPr="00750617">
        <w:tab/>
        <w:t xml:space="preserve">Par exemple, l’application à titre provisoire a été utilisée récemment dans le contexte du </w:t>
      </w:r>
      <w:proofErr w:type="spellStart"/>
      <w:r w:rsidRPr="00750617">
        <w:t>Brexit</w:t>
      </w:r>
      <w:proofErr w:type="spellEnd"/>
      <w:r w:rsidRPr="00750617">
        <w:t xml:space="preserve">, dans lequel trois nouveaux traités conclus entre l’Union européenne et le Royaume-Uni ont été provisoirement appliqués : l’Accord de commerce et de coopération (Accord de commerce et de coopération entre l’Union européenne et la Communauté européenne de l’énergie atomique, d’une part, et le Royaume-Uni de Grande-Bretagne et d’Irlande du Nord, d’autre part, Bruxelles et Londres, 30 décembre 2020, </w:t>
      </w:r>
      <w:r w:rsidRPr="00750617">
        <w:rPr>
          <w:i/>
          <w:iCs/>
        </w:rPr>
        <w:t>Journal officiel de l’Union européenne</w:t>
      </w:r>
      <w:r w:rsidRPr="00750617">
        <w:t>, L 444, p</w:t>
      </w:r>
      <w:r w:rsidRPr="00F22925">
        <w:t>.</w:t>
      </w:r>
      <w:r w:rsidRPr="00750617">
        <w:t xml:space="preserve"> 14), l’Accord sur la sécurité des informations (Accord entre l’Union européenne et le Royaume-Uni de Grande-Bretagne et d’Irlande du Nord relatif aux procédures de sécurité pour l’échange d’informations classifiées et leur protection, Bruxelles et Londres, 30 décembre 2020, ibid</w:t>
      </w:r>
      <w:r w:rsidRPr="00F22925">
        <w:rPr>
          <w:i/>
          <w:iCs/>
        </w:rPr>
        <w:t>.</w:t>
      </w:r>
      <w:r w:rsidRPr="00750617">
        <w:t>, L 149, p</w:t>
      </w:r>
      <w:r w:rsidRPr="00F22925">
        <w:t>.</w:t>
      </w:r>
      <w:r w:rsidRPr="00750617">
        <w:t xml:space="preserve"> 2540) et l’Accord de coopération entre le Gouvernement du Royaume-Uni de Grande-Bretagne et d’Irlande du Nord et la Communauté européenne de l’énergie atomique relatif aux utilisations sûres et pacifiques de l’énergie nucléaire, 30 décembre 2020, ibid</w:t>
      </w:r>
      <w:r w:rsidRPr="00F22925">
        <w:t>.</w:t>
      </w:r>
      <w:r w:rsidRPr="00750617">
        <w:t>, L 150, p</w:t>
      </w:r>
      <w:r w:rsidRPr="00F22925">
        <w:t>.</w:t>
      </w:r>
      <w:r w:rsidRPr="00750617">
        <w:t xml:space="preserve"> 1)</w:t>
      </w:r>
      <w:r w:rsidRPr="00F22925">
        <w:t>.</w:t>
      </w:r>
      <w:r w:rsidRPr="00750617">
        <w:t xml:space="preserve"> Ces traités ont été provisoirement appliqués du 1</w:t>
      </w:r>
      <w:r w:rsidRPr="00750617">
        <w:rPr>
          <w:vertAlign w:val="superscript"/>
        </w:rPr>
        <w:t>er</w:t>
      </w:r>
      <w:r w:rsidRPr="00750617">
        <w:t> janvier au 30 avril 2021, période qui tient compte d’une prorogation décidée à la fin de février 2021</w:t>
      </w:r>
      <w:r w:rsidRPr="00F22925">
        <w:t>.</w:t>
      </w:r>
      <w:r w:rsidRPr="00750617">
        <w:t xml:space="preserve"> Dans le contexte du </w:t>
      </w:r>
      <w:proofErr w:type="spellStart"/>
      <w:r w:rsidRPr="00750617">
        <w:t>Brexit</w:t>
      </w:r>
      <w:proofErr w:type="spellEnd"/>
      <w:r w:rsidRPr="00750617">
        <w:t xml:space="preserve">, le Royaume-Uni a aussi eu recours à l’application à titre provisoire en ce qui concerne d’autres traités, bilatéraux et </w:t>
      </w:r>
      <w:proofErr w:type="gramStart"/>
      <w:r w:rsidRPr="00750617">
        <w:t>plurilatéraux(</w:t>
      </w:r>
      <w:proofErr w:type="gramEnd"/>
      <w:r w:rsidRPr="00750617">
        <w:t xml:space="preserve">voir </w:t>
      </w:r>
      <w:hyperlink r:id="rId4" w:history="1">
        <w:r w:rsidRPr="00750617">
          <w:rPr>
            <w:rStyle w:val="Hyperlink"/>
          </w:rPr>
          <w:t>www</w:t>
        </w:r>
        <w:r w:rsidRPr="00F22925">
          <w:rPr>
            <w:rStyle w:val="Hyperlink"/>
          </w:rPr>
          <w:t>.</w:t>
        </w:r>
        <w:r w:rsidRPr="00750617">
          <w:rPr>
            <w:rStyle w:val="Hyperlink"/>
          </w:rPr>
          <w:t>gov</w:t>
        </w:r>
        <w:r w:rsidRPr="00F22925">
          <w:rPr>
            <w:rStyle w:val="Hyperlink"/>
          </w:rPr>
          <w:t>.</w:t>
        </w:r>
        <w:r w:rsidRPr="00750617">
          <w:rPr>
            <w:rStyle w:val="Hyperlink"/>
          </w:rPr>
          <w:t>uk/guidance/uk-trade-agreements-with-non-eu-countries</w:t>
        </w:r>
      </w:hyperlink>
      <w:r w:rsidRPr="00750617">
        <w:t>)</w:t>
      </w:r>
      <w:r w:rsidRPr="00F22925">
        <w:t>.</w:t>
      </w:r>
    </w:p>
    <w:p w14:paraId="6EF9A721" w14:textId="77777777" w:rsidR="0043175D" w:rsidRPr="00750617" w:rsidRDefault="0043175D" w:rsidP="0043175D">
      <w:pPr>
        <w:pStyle w:val="FootnoteText"/>
      </w:pPr>
      <w:r w:rsidRPr="00750617">
        <w:tab/>
      </w:r>
      <w:r w:rsidRPr="00750617">
        <w:tab/>
        <w:t xml:space="preserve">La souplesse offerte par le paragraphe 1 b) de l’article 25 de </w:t>
      </w:r>
      <w:r w:rsidRPr="00740BD0">
        <w:t>la Convention de Vienne de 1969</w:t>
      </w:r>
      <w:r>
        <w:t xml:space="preserve"> </w:t>
      </w:r>
      <w:r w:rsidRPr="00750617">
        <w:t>est illustrée, notamment, par le fait qu’il est arrivé que l’application provisoire soit convenue par un échange de notes ; voir, par exemple, l’échange de lettres concernant l’application à titre provisoire de l’Accord de coopération entre le Gouvernement du Royaume-Uni de Grande-Bretagne et d’Irlande du Nord et la Communauté européenne de l’énergie atomique relatif aux utilisations sûres et pacifiques de l’énergie nucléaire (ibid</w:t>
      </w:r>
      <w:r w:rsidRPr="00F22925">
        <w:t>.</w:t>
      </w:r>
      <w:r w:rsidRPr="00750617">
        <w:t>, L 445, p</w:t>
      </w:r>
      <w:r w:rsidRPr="00F22925">
        <w:t>.</w:t>
      </w:r>
      <w:r w:rsidRPr="00750617">
        <w:t xml:space="preserve"> 23)</w:t>
      </w:r>
      <w:r w:rsidRPr="00F22925">
        <w:t>.</w:t>
      </w:r>
    </w:p>
  </w:footnote>
  <w:footnote w:id="8">
    <w:p w14:paraId="7A8D8BA7" w14:textId="77777777" w:rsidR="0043175D" w:rsidRPr="00750617" w:rsidRDefault="0043175D" w:rsidP="0043175D">
      <w:pPr>
        <w:pStyle w:val="FootnoteText"/>
      </w:pPr>
      <w:r w:rsidRPr="00750617">
        <w:tab/>
      </w:r>
      <w:r w:rsidRPr="00750617">
        <w:rPr>
          <w:rStyle w:val="FootnoteReference"/>
        </w:rPr>
        <w:footnoteRef/>
      </w:r>
      <w:r w:rsidRPr="00750617">
        <w:tab/>
        <w:t xml:space="preserve">À cet égard, on peut se reporter à l’analyse figurant dans </w:t>
      </w:r>
      <w:r w:rsidRPr="00750617">
        <w:rPr>
          <w:i/>
          <w:iCs/>
        </w:rPr>
        <w:t xml:space="preserve">The </w:t>
      </w:r>
      <w:proofErr w:type="spellStart"/>
      <w:r w:rsidRPr="00750617">
        <w:rPr>
          <w:i/>
          <w:iCs/>
        </w:rPr>
        <w:t>Treaty</w:t>
      </w:r>
      <w:proofErr w:type="spellEnd"/>
      <w:r w:rsidRPr="00750617">
        <w:rPr>
          <w:i/>
          <w:iCs/>
        </w:rPr>
        <w:t xml:space="preserve">, </w:t>
      </w:r>
      <w:proofErr w:type="spellStart"/>
      <w:r w:rsidRPr="00750617">
        <w:rPr>
          <w:i/>
          <w:iCs/>
        </w:rPr>
        <w:t>Protocols</w:t>
      </w:r>
      <w:proofErr w:type="spellEnd"/>
      <w:r w:rsidRPr="00750617">
        <w:rPr>
          <w:i/>
          <w:iCs/>
        </w:rPr>
        <w:t xml:space="preserve">, Conventions and </w:t>
      </w:r>
      <w:proofErr w:type="spellStart"/>
      <w:r w:rsidRPr="00750617">
        <w:rPr>
          <w:i/>
          <w:iCs/>
        </w:rPr>
        <w:t>Supplementary</w:t>
      </w:r>
      <w:proofErr w:type="spellEnd"/>
      <w:r w:rsidRPr="00750617">
        <w:rPr>
          <w:i/>
          <w:iCs/>
        </w:rPr>
        <w:t xml:space="preserve"> </w:t>
      </w:r>
      <w:proofErr w:type="spellStart"/>
      <w:r w:rsidRPr="00750617">
        <w:rPr>
          <w:i/>
          <w:iCs/>
        </w:rPr>
        <w:t>Acts</w:t>
      </w:r>
      <w:proofErr w:type="spellEnd"/>
      <w:r w:rsidRPr="00750617">
        <w:rPr>
          <w:i/>
          <w:iCs/>
        </w:rPr>
        <w:t xml:space="preserve"> of the </w:t>
      </w:r>
      <w:proofErr w:type="spellStart"/>
      <w:r w:rsidRPr="00750617">
        <w:rPr>
          <w:i/>
          <w:iCs/>
        </w:rPr>
        <w:t>Economic</w:t>
      </w:r>
      <w:proofErr w:type="spellEnd"/>
      <w:r w:rsidRPr="00750617">
        <w:rPr>
          <w:i/>
          <w:iCs/>
        </w:rPr>
        <w:t xml:space="preserve"> </w:t>
      </w:r>
      <w:proofErr w:type="spellStart"/>
      <w:r w:rsidRPr="00750617">
        <w:rPr>
          <w:i/>
          <w:iCs/>
        </w:rPr>
        <w:t>Community</w:t>
      </w:r>
      <w:proofErr w:type="spellEnd"/>
      <w:r w:rsidRPr="00750617">
        <w:rPr>
          <w:i/>
          <w:iCs/>
        </w:rPr>
        <w:t xml:space="preserve"> of West </w:t>
      </w:r>
      <w:proofErr w:type="spellStart"/>
      <w:r w:rsidRPr="00750617">
        <w:rPr>
          <w:i/>
          <w:iCs/>
        </w:rPr>
        <w:t>African</w:t>
      </w:r>
      <w:proofErr w:type="spellEnd"/>
      <w:r w:rsidRPr="00750617">
        <w:rPr>
          <w:i/>
          <w:iCs/>
        </w:rPr>
        <w:t xml:space="preserve"> States (CEDEAO), 1975-2010 </w:t>
      </w:r>
      <w:r w:rsidRPr="00750617">
        <w:t xml:space="preserve">(Abuja, </w:t>
      </w:r>
      <w:proofErr w:type="gramStart"/>
      <w:r w:rsidRPr="00750617">
        <w:t>Ministère des affaires</w:t>
      </w:r>
      <w:proofErr w:type="gramEnd"/>
      <w:r w:rsidRPr="00750617">
        <w:t xml:space="preserve"> étrangères du Nigéria, 2011), recueil de 59 traités conclus sous les auspices de la Communauté</w:t>
      </w:r>
      <w:r w:rsidRPr="00F22925">
        <w:t>.</w:t>
      </w:r>
      <w:r w:rsidRPr="00750617">
        <w:t xml:space="preserve"> Seuls 11 de ces 59 traités ne prévoient pas l’application à titre provisoire (voir </w:t>
      </w:r>
      <w:hyperlink r:id="rId5" w:history="1">
        <w:r w:rsidRPr="00750617">
          <w:rPr>
            <w:rStyle w:val="Hyperlink"/>
          </w:rPr>
          <w:t>A/CN</w:t>
        </w:r>
        <w:r w:rsidRPr="00F22925">
          <w:rPr>
            <w:rStyle w:val="Hyperlink"/>
          </w:rPr>
          <w:t>.</w:t>
        </w:r>
        <w:r w:rsidRPr="00750617">
          <w:rPr>
            <w:rStyle w:val="Hyperlink"/>
          </w:rPr>
          <w:t>4/699</w:t>
        </w:r>
      </w:hyperlink>
      <w:r w:rsidRPr="00750617">
        <w:t>, par</w:t>
      </w:r>
      <w:r w:rsidRPr="00F22925">
        <w:t>.</w:t>
      </w:r>
      <w:r w:rsidRPr="00750617">
        <w:t xml:space="preserve"> 168 à 174)</w:t>
      </w:r>
      <w:r w:rsidRPr="00F22925">
        <w:t>.</w:t>
      </w:r>
    </w:p>
  </w:footnote>
  <w:footnote w:id="9">
    <w:p w14:paraId="233390D0" w14:textId="77777777" w:rsidR="0043175D" w:rsidRPr="00750617" w:rsidRDefault="0043175D" w:rsidP="0043175D">
      <w:pPr>
        <w:pStyle w:val="FootnoteText"/>
      </w:pPr>
      <w:r w:rsidRPr="00750617">
        <w:tab/>
      </w:r>
      <w:r w:rsidRPr="00750617">
        <w:rPr>
          <w:rStyle w:val="FootnoteReference"/>
        </w:rPr>
        <w:footnoteRef/>
      </w:r>
      <w:r w:rsidRPr="00750617">
        <w:tab/>
        <w:t xml:space="preserve">Voir le paragraphe 33 de la lettre de la République fédérative de Yougoslavie dans l’Échange de lettres constituant un accord entre l’Organisation des Nations Unies et la République fédérative de Yougoslavie sur le statut du Haut-Commissariat des Nations Unies aux droits de l’homme en République fédérative de Yougoslavie (Nations Unies, </w:t>
      </w:r>
      <w:r w:rsidRPr="00750617">
        <w:rPr>
          <w:i/>
          <w:iCs/>
        </w:rPr>
        <w:t>Recueil des Traités</w:t>
      </w:r>
      <w:r w:rsidRPr="00750617">
        <w:t>, vol</w:t>
      </w:r>
      <w:r w:rsidRPr="00F22925">
        <w:t>.</w:t>
      </w:r>
      <w:r w:rsidRPr="00750617">
        <w:t xml:space="preserve"> 2042, n</w:t>
      </w:r>
      <w:r w:rsidRPr="00750617">
        <w:rPr>
          <w:vertAlign w:val="superscript"/>
        </w:rPr>
        <w:t>o</w:t>
      </w:r>
      <w:r w:rsidRPr="00750617">
        <w:t xml:space="preserve"> 35283, p</w:t>
      </w:r>
      <w:r w:rsidRPr="00F22925">
        <w:t>.</w:t>
      </w:r>
      <w:r w:rsidRPr="00750617">
        <w:t xml:space="preserve"> 23, et </w:t>
      </w:r>
      <w:r w:rsidRPr="00750617">
        <w:rPr>
          <w:i/>
          <w:iCs/>
        </w:rPr>
        <w:t>Nations Unies, Annuaire juridique 1998</w:t>
      </w:r>
      <w:r w:rsidRPr="00750617">
        <w:t xml:space="preserve"> (Publication des Nations Unies, numéro de vente : F</w:t>
      </w:r>
      <w:r w:rsidRPr="00F22925">
        <w:t>.</w:t>
      </w:r>
      <w:r w:rsidRPr="00750617">
        <w:t>03</w:t>
      </w:r>
      <w:r w:rsidRPr="00F22925">
        <w:t>.</w:t>
      </w:r>
      <w:r w:rsidRPr="00750617">
        <w:t>V</w:t>
      </w:r>
      <w:r w:rsidRPr="00F22925">
        <w:t>.</w:t>
      </w:r>
      <w:r w:rsidRPr="00750617">
        <w:t xml:space="preserve">5), à la page 136) ; l’article 15 de </w:t>
      </w:r>
      <w:bookmarkStart w:id="3" w:name="_Hlk76389357"/>
      <w:r w:rsidRPr="00750617">
        <w:t xml:space="preserve">l’Accord entre le Gouvernement de la République du </w:t>
      </w:r>
      <w:proofErr w:type="spellStart"/>
      <w:r w:rsidRPr="00750617">
        <w:t>Bélarus</w:t>
      </w:r>
      <w:proofErr w:type="spellEnd"/>
      <w:r w:rsidRPr="00750617">
        <w:t xml:space="preserve"> et le Gouvernement de l’Irlande </w:t>
      </w:r>
      <w:bookmarkEnd w:id="3"/>
      <w:r w:rsidRPr="00750617">
        <w:t xml:space="preserve">relatif aux conditions de récupération de citoyens mineurs de la République du </w:t>
      </w:r>
      <w:proofErr w:type="spellStart"/>
      <w:r w:rsidRPr="00750617">
        <w:t>Bélarus</w:t>
      </w:r>
      <w:proofErr w:type="spellEnd"/>
      <w:r w:rsidRPr="00750617">
        <w:t xml:space="preserve"> en Irlande (Nations Unies, </w:t>
      </w:r>
      <w:r w:rsidRPr="00750617">
        <w:rPr>
          <w:i/>
          <w:iCs/>
        </w:rPr>
        <w:t>Recueil des Traités</w:t>
      </w:r>
      <w:r w:rsidRPr="00750617">
        <w:t>, vol</w:t>
      </w:r>
      <w:r w:rsidRPr="00F22925">
        <w:t>.</w:t>
      </w:r>
      <w:r w:rsidRPr="00750617">
        <w:t xml:space="preserve"> 2679, n</w:t>
      </w:r>
      <w:r w:rsidRPr="00750617">
        <w:rPr>
          <w:vertAlign w:val="superscript"/>
        </w:rPr>
        <w:t xml:space="preserve">o </w:t>
      </w:r>
      <w:r w:rsidRPr="00750617">
        <w:t>47597, p</w:t>
      </w:r>
      <w:r w:rsidRPr="00F22925">
        <w:t>.</w:t>
      </w:r>
      <w:r w:rsidRPr="00750617">
        <w:t xml:space="preserve"> 65, à la page 95) ; l’article 16 de l’Accord entre le Gouvernement de la Malaisie et le Programme des Nations Unies pour le développement concernant l’établissement du Centre mondial de services partagés du PNUD (ibid</w:t>
      </w:r>
      <w:r w:rsidRPr="00F22925">
        <w:t>.</w:t>
      </w:r>
      <w:r w:rsidRPr="00750617">
        <w:t>, vol</w:t>
      </w:r>
      <w:r w:rsidRPr="00F22925">
        <w:t>.</w:t>
      </w:r>
      <w:r w:rsidRPr="00750617">
        <w:t xml:space="preserve"> 2794, n</w:t>
      </w:r>
      <w:r w:rsidRPr="00750617">
        <w:rPr>
          <w:vertAlign w:val="superscript"/>
        </w:rPr>
        <w:t>o</w:t>
      </w:r>
      <w:r w:rsidRPr="00750617">
        <w:t xml:space="preserve"> 49154, p</w:t>
      </w:r>
      <w:r w:rsidRPr="00F22925">
        <w:t>.</w:t>
      </w:r>
      <w:r w:rsidRPr="00750617">
        <w:t xml:space="preserve"> 67)</w:t>
      </w:r>
      <w:r w:rsidRPr="00F22925">
        <w:t>.</w:t>
      </w:r>
      <w:r w:rsidRPr="00750617">
        <w:t xml:space="preserve"> Voir les études du secrétariat sur les origines de l’article 25 des Conventions de Vienne de 1969 et de 1986 (</w:t>
      </w:r>
      <w:r w:rsidRPr="00750617">
        <w:rPr>
          <w:i/>
          <w:iCs/>
        </w:rPr>
        <w:t>Annuaire … 2013</w:t>
      </w:r>
      <w:r w:rsidRPr="00750617">
        <w:t>), vol</w:t>
      </w:r>
      <w:r w:rsidRPr="00F22925">
        <w:t>.</w:t>
      </w:r>
      <w:r w:rsidRPr="00750617">
        <w:t xml:space="preserve"> II (1</w:t>
      </w:r>
      <w:r w:rsidRPr="00750617">
        <w:rPr>
          <w:vertAlign w:val="superscript"/>
        </w:rPr>
        <w:t>re</w:t>
      </w:r>
      <w:r w:rsidRPr="00750617">
        <w:t xml:space="preserve"> partie), documents </w:t>
      </w:r>
      <w:hyperlink r:id="rId6" w:history="1">
        <w:r w:rsidRPr="00750617">
          <w:rPr>
            <w:rStyle w:val="Hyperlink"/>
          </w:rPr>
          <w:t>A/CN</w:t>
        </w:r>
        <w:r w:rsidRPr="00F22925">
          <w:rPr>
            <w:rStyle w:val="Hyperlink"/>
          </w:rPr>
          <w:t>.</w:t>
        </w:r>
        <w:r w:rsidRPr="00750617">
          <w:rPr>
            <w:rStyle w:val="Hyperlink"/>
          </w:rPr>
          <w:t>4/658</w:t>
        </w:r>
      </w:hyperlink>
      <w:r w:rsidRPr="00750617">
        <w:t xml:space="preserve"> et </w:t>
      </w:r>
      <w:hyperlink r:id="rId7" w:history="1">
        <w:r w:rsidRPr="00750617">
          <w:rPr>
            <w:rStyle w:val="Hyperlink"/>
          </w:rPr>
          <w:t>A/CN</w:t>
        </w:r>
        <w:r w:rsidRPr="00F22925">
          <w:rPr>
            <w:rStyle w:val="Hyperlink"/>
          </w:rPr>
          <w:t>.</w:t>
        </w:r>
        <w:r w:rsidRPr="00750617">
          <w:rPr>
            <w:rStyle w:val="Hyperlink"/>
          </w:rPr>
          <w:t>4/676</w:t>
        </w:r>
      </w:hyperlink>
      <w:r w:rsidRPr="00750617">
        <w:t xml:space="preserve"> et l’étude du secrétariat sur la pratique des États et des organisations internationales en ce qui concerne les traités prévoyant leur application provisoire (</w:t>
      </w:r>
      <w:hyperlink r:id="rId8" w:history="1">
        <w:r w:rsidRPr="00750617">
          <w:rPr>
            <w:rStyle w:val="Hyperlink"/>
          </w:rPr>
          <w:t>A/CN</w:t>
        </w:r>
        <w:r w:rsidRPr="00F22925">
          <w:rPr>
            <w:rStyle w:val="Hyperlink"/>
          </w:rPr>
          <w:t>.</w:t>
        </w:r>
        <w:r w:rsidRPr="00750617">
          <w:rPr>
            <w:rStyle w:val="Hyperlink"/>
          </w:rPr>
          <w:t>4/707</w:t>
        </w:r>
      </w:hyperlink>
      <w:r w:rsidRPr="00750617">
        <w:t>)</w:t>
      </w:r>
      <w:r w:rsidRPr="00F22925">
        <w:t>.</w:t>
      </w:r>
    </w:p>
  </w:footnote>
  <w:footnote w:id="10">
    <w:p w14:paraId="0C473AE1" w14:textId="77777777" w:rsidR="0043175D" w:rsidRPr="00750617" w:rsidRDefault="0043175D" w:rsidP="0043175D">
      <w:pPr>
        <w:pStyle w:val="FootnoteText"/>
      </w:pPr>
      <w:r w:rsidRPr="00750617">
        <w:tab/>
      </w:r>
      <w:r w:rsidRPr="00750617">
        <w:rPr>
          <w:rStyle w:val="FootnoteReference"/>
        </w:rPr>
        <w:footnoteRef/>
      </w:r>
      <w:r w:rsidRPr="000D3559">
        <w:rPr>
          <w:lang w:val="en-US"/>
        </w:rPr>
        <w:tab/>
      </w:r>
      <w:proofErr w:type="spellStart"/>
      <w:r w:rsidRPr="000D3559">
        <w:rPr>
          <w:lang w:val="en-US"/>
        </w:rPr>
        <w:t>Voir</w:t>
      </w:r>
      <w:proofErr w:type="spellEnd"/>
      <w:r w:rsidRPr="000D3559">
        <w:rPr>
          <w:lang w:val="en-US"/>
        </w:rPr>
        <w:t xml:space="preserve"> </w:t>
      </w:r>
      <w:proofErr w:type="spellStart"/>
      <w:r w:rsidRPr="000D3559">
        <w:rPr>
          <w:lang w:val="en-US"/>
        </w:rPr>
        <w:t>Mertsch</w:t>
      </w:r>
      <w:proofErr w:type="spellEnd"/>
      <w:r w:rsidRPr="000D3559">
        <w:rPr>
          <w:lang w:val="en-US"/>
        </w:rPr>
        <w:t xml:space="preserve">, </w:t>
      </w:r>
      <w:r w:rsidRPr="000D3559">
        <w:rPr>
          <w:i/>
          <w:iCs/>
          <w:lang w:val="en-US"/>
        </w:rPr>
        <w:t>Provisionally Applied Treaties</w:t>
      </w:r>
      <w:r w:rsidRPr="000D3559">
        <w:rPr>
          <w:lang w:val="en-US"/>
        </w:rPr>
        <w:t xml:space="preserve">… </w:t>
      </w:r>
      <w:r w:rsidRPr="00750617">
        <w:t xml:space="preserve">(note </w:t>
      </w:r>
      <w:r w:rsidRPr="00750617">
        <w:fldChar w:fldCharType="begin"/>
      </w:r>
      <w:r w:rsidRPr="00750617">
        <w:instrText xml:space="preserve"> NOTEREF _Ref76972961 \h  \* MERGEFORMAT </w:instrText>
      </w:r>
      <w:r w:rsidRPr="00750617">
        <w:fldChar w:fldCharType="separate"/>
      </w:r>
      <w:r>
        <w:t>254</w:t>
      </w:r>
      <w:r w:rsidRPr="00750617">
        <w:fldChar w:fldCharType="end"/>
      </w:r>
      <w:r w:rsidRPr="00750617">
        <w:t xml:space="preserve"> </w:t>
      </w:r>
      <w:r w:rsidRPr="00750617">
        <w:rPr>
          <w:i/>
          <w:iCs/>
        </w:rPr>
        <w:t>supra</w:t>
      </w:r>
      <w:r w:rsidRPr="00750617">
        <w:t>), p</w:t>
      </w:r>
      <w:r w:rsidRPr="00F22925">
        <w:t>.</w:t>
      </w:r>
      <w:r w:rsidRPr="00750617">
        <w:t xml:space="preserve"> 22</w:t>
      </w:r>
      <w:r w:rsidRPr="00F22925">
        <w:t>.</w:t>
      </w:r>
    </w:p>
  </w:footnote>
  <w:footnote w:id="11">
    <w:p w14:paraId="23AA8FE0" w14:textId="77777777" w:rsidR="0043175D" w:rsidRPr="00750617" w:rsidRDefault="0043175D" w:rsidP="0043175D">
      <w:pPr>
        <w:pStyle w:val="FootnoteText"/>
      </w:pPr>
      <w:r w:rsidRPr="00750617">
        <w:tab/>
      </w:r>
      <w:r w:rsidRPr="00750617">
        <w:rPr>
          <w:rStyle w:val="FootnoteReference"/>
        </w:rPr>
        <w:footnoteRef/>
      </w:r>
      <w:r w:rsidRPr="00750617">
        <w:tab/>
        <w:t>Voir A</w:t>
      </w:r>
      <w:r w:rsidRPr="00F22925">
        <w:t>.</w:t>
      </w:r>
      <w:r w:rsidRPr="00750617">
        <w:t xml:space="preserve"> </w:t>
      </w:r>
      <w:proofErr w:type="spellStart"/>
      <w:r w:rsidRPr="00750617">
        <w:t>Geslin</w:t>
      </w:r>
      <w:proofErr w:type="spellEnd"/>
      <w:r w:rsidRPr="00750617">
        <w:t xml:space="preserve">, </w:t>
      </w:r>
      <w:r w:rsidRPr="00750617">
        <w:rPr>
          <w:i/>
          <w:iCs/>
        </w:rPr>
        <w:t>La mise en application provisoire des traités</w:t>
      </w:r>
      <w:r w:rsidRPr="00750617">
        <w:t xml:space="preserve"> (Paris, Éd</w:t>
      </w:r>
      <w:r w:rsidRPr="00F22925">
        <w:t>.</w:t>
      </w:r>
      <w:r w:rsidRPr="00750617">
        <w:t xml:space="preserve"> A</w:t>
      </w:r>
      <w:r w:rsidRPr="00F22925">
        <w:t>.</w:t>
      </w:r>
      <w:r w:rsidRPr="00750617">
        <w:t xml:space="preserve"> </w:t>
      </w:r>
      <w:proofErr w:type="spellStart"/>
      <w:r w:rsidRPr="00750617">
        <w:t>Pedone</w:t>
      </w:r>
      <w:proofErr w:type="spellEnd"/>
      <w:r w:rsidRPr="00750617">
        <w:t>, 2005), p</w:t>
      </w:r>
      <w:r w:rsidRPr="00F22925">
        <w:t>.</w:t>
      </w:r>
      <w:r w:rsidRPr="00750617">
        <w:t xml:space="preserve"> 111 ; M</w:t>
      </w:r>
      <w:r w:rsidRPr="00F22925">
        <w:t>.</w:t>
      </w:r>
      <w:r w:rsidRPr="00750617">
        <w:t> A</w:t>
      </w:r>
      <w:r w:rsidRPr="00F22925">
        <w:t>.</w:t>
      </w:r>
      <w:r w:rsidRPr="00750617">
        <w:t xml:space="preserve"> </w:t>
      </w:r>
      <w:proofErr w:type="spellStart"/>
      <w:r w:rsidRPr="00750617">
        <w:t>Rogoff</w:t>
      </w:r>
      <w:proofErr w:type="spellEnd"/>
      <w:r w:rsidRPr="00750617">
        <w:t xml:space="preserve"> et B</w:t>
      </w:r>
      <w:r w:rsidRPr="00F22925">
        <w:t>.</w:t>
      </w:r>
      <w:r w:rsidRPr="00750617">
        <w:t xml:space="preserve"> E</w:t>
      </w:r>
      <w:r w:rsidRPr="00F22925">
        <w:t>.</w:t>
      </w:r>
      <w:r w:rsidRPr="00750617">
        <w:t xml:space="preserve"> </w:t>
      </w:r>
      <w:proofErr w:type="spellStart"/>
      <w:r w:rsidRPr="00750617">
        <w:t>Gauditz</w:t>
      </w:r>
      <w:proofErr w:type="spellEnd"/>
      <w:r w:rsidRPr="00750617">
        <w:t xml:space="preserve">, « The </w:t>
      </w:r>
      <w:proofErr w:type="spellStart"/>
      <w:r w:rsidRPr="00750617">
        <w:t>provisional</w:t>
      </w:r>
      <w:proofErr w:type="spellEnd"/>
      <w:r w:rsidRPr="00750617">
        <w:t xml:space="preserve"> application of international </w:t>
      </w:r>
      <w:proofErr w:type="spellStart"/>
      <w:r w:rsidRPr="00750617">
        <w:t>agreements</w:t>
      </w:r>
      <w:proofErr w:type="spellEnd"/>
      <w:r w:rsidRPr="00750617">
        <w:t xml:space="preserve"> », dans </w:t>
      </w:r>
      <w:r w:rsidRPr="00750617">
        <w:rPr>
          <w:i/>
          <w:iCs/>
        </w:rPr>
        <w:t xml:space="preserve">Maine Law </w:t>
      </w:r>
      <w:proofErr w:type="spellStart"/>
      <w:r w:rsidRPr="00750617">
        <w:rPr>
          <w:i/>
          <w:iCs/>
        </w:rPr>
        <w:t>Review</w:t>
      </w:r>
      <w:proofErr w:type="spellEnd"/>
      <w:r w:rsidRPr="00750617">
        <w:t>, vol</w:t>
      </w:r>
      <w:r w:rsidRPr="00F22925">
        <w:t>.</w:t>
      </w:r>
      <w:r w:rsidRPr="00750617">
        <w:t xml:space="preserve"> 39 (1987), p</w:t>
      </w:r>
      <w:r w:rsidRPr="00F22925">
        <w:t>.</w:t>
      </w:r>
      <w:r w:rsidRPr="00750617">
        <w:t xml:space="preserve"> 41</w:t>
      </w:r>
      <w:r w:rsidRPr="00F22925">
        <w:t>.</w:t>
      </w:r>
    </w:p>
  </w:footnote>
  <w:footnote w:id="12">
    <w:p w14:paraId="615E3873" w14:textId="77777777" w:rsidR="0043175D" w:rsidRPr="00750617" w:rsidRDefault="0043175D" w:rsidP="0043175D">
      <w:pPr>
        <w:pStyle w:val="FootnoteText"/>
      </w:pPr>
      <w:r w:rsidRPr="00750617">
        <w:tab/>
      </w:r>
      <w:r w:rsidRPr="00750617">
        <w:rPr>
          <w:rStyle w:val="FootnoteReference"/>
        </w:rPr>
        <w:footnoteRef/>
      </w:r>
      <w:r w:rsidRPr="00750617">
        <w:tab/>
      </w:r>
      <w:r w:rsidRPr="00750617">
        <w:rPr>
          <w:i/>
        </w:rPr>
        <w:t>Annuaire … 1966</w:t>
      </w:r>
      <w:r w:rsidRPr="00750617">
        <w:t>, vol</w:t>
      </w:r>
      <w:r w:rsidRPr="00F22925">
        <w:t>.</w:t>
      </w:r>
      <w:r w:rsidRPr="00750617">
        <w:t xml:space="preserve"> II, document </w:t>
      </w:r>
      <w:hyperlink r:id="rId9" w:history="1">
        <w:r w:rsidRPr="00750617">
          <w:rPr>
            <w:rStyle w:val="Hyperlink"/>
          </w:rPr>
          <w:t>A/6309/Rev</w:t>
        </w:r>
        <w:r w:rsidRPr="00F22925">
          <w:rPr>
            <w:rStyle w:val="Hyperlink"/>
          </w:rPr>
          <w:t>.</w:t>
        </w:r>
        <w:r w:rsidRPr="00750617">
          <w:rPr>
            <w:rStyle w:val="Hyperlink"/>
          </w:rPr>
          <w:t>1</w:t>
        </w:r>
      </w:hyperlink>
      <w:r w:rsidRPr="00750617">
        <w:t>, p</w:t>
      </w:r>
      <w:r w:rsidRPr="00F22925">
        <w:t>.</w:t>
      </w:r>
      <w:r w:rsidRPr="00750617">
        <w:t xml:space="preserve"> 177 et </w:t>
      </w:r>
      <w:proofErr w:type="spellStart"/>
      <w:r w:rsidRPr="00750617">
        <w:t>suiv</w:t>
      </w:r>
      <w:proofErr w:type="spellEnd"/>
      <w:r w:rsidRPr="00F22925">
        <w:t>.</w:t>
      </w:r>
      <w:r w:rsidRPr="00750617">
        <w:t>, par</w:t>
      </w:r>
      <w:r w:rsidRPr="00F22925">
        <w:t>.</w:t>
      </w:r>
      <w:r w:rsidRPr="00750617">
        <w:t> 38</w:t>
      </w:r>
      <w:r w:rsidRPr="00F22925">
        <w:t>.</w:t>
      </w:r>
    </w:p>
  </w:footnote>
  <w:footnote w:id="13">
    <w:p w14:paraId="76A876D4" w14:textId="77777777" w:rsidR="0043175D" w:rsidRPr="00750617" w:rsidRDefault="0043175D" w:rsidP="0043175D">
      <w:pPr>
        <w:pStyle w:val="FootnoteText"/>
      </w:pPr>
      <w:r w:rsidRPr="00750617">
        <w:rPr>
          <w:i/>
        </w:rPr>
        <w:tab/>
      </w:r>
      <w:r w:rsidRPr="00750617">
        <w:rPr>
          <w:rStyle w:val="FootnoteReference"/>
        </w:rPr>
        <w:footnoteRef/>
      </w:r>
      <w:r w:rsidRPr="00750617">
        <w:rPr>
          <w:i/>
        </w:rPr>
        <w:tab/>
      </w:r>
      <w:r w:rsidRPr="00750617">
        <w:t>Par</w:t>
      </w:r>
      <w:r w:rsidRPr="00F22925">
        <w:t>.</w:t>
      </w:r>
      <w:r w:rsidRPr="00750617">
        <w:t> 3 du commentaire du projet d’article 22, ibid</w:t>
      </w:r>
      <w:r w:rsidRPr="00F22925">
        <w:t>.</w:t>
      </w:r>
    </w:p>
  </w:footnote>
  <w:footnote w:id="14">
    <w:p w14:paraId="37E3A82A" w14:textId="77777777" w:rsidR="0043175D" w:rsidRPr="00750617" w:rsidRDefault="0043175D" w:rsidP="0043175D">
      <w:pPr>
        <w:pStyle w:val="FootnoteText"/>
      </w:pPr>
      <w:r w:rsidRPr="00750617">
        <w:tab/>
      </w:r>
      <w:r w:rsidRPr="00750617">
        <w:rPr>
          <w:rStyle w:val="FootnoteReference"/>
        </w:rPr>
        <w:footnoteRef/>
      </w:r>
      <w:r w:rsidRPr="00750617">
        <w:tab/>
        <w:t>L’application à titre provisoire d’une partie d’un traité est courante aussi dans le contexte des accords mixtes conclus entre l’Union européenne et ses États membres, d’une part, et des tiers, d’autre part, à la suite d’une répartition des compétences entre l’Union européenne et ses États membres</w:t>
      </w:r>
      <w:r w:rsidRPr="00F22925">
        <w:t>.</w:t>
      </w:r>
      <w:r w:rsidRPr="00750617">
        <w:t xml:space="preserve"> Voir les commentaires et observations reçus des États et des organisations internationales (</w:t>
      </w:r>
      <w:hyperlink r:id="rId10" w:history="1">
        <w:r w:rsidRPr="00750617">
          <w:rPr>
            <w:rStyle w:val="Hyperlink"/>
          </w:rPr>
          <w:t>A/CN</w:t>
        </w:r>
        <w:r w:rsidRPr="00F22925">
          <w:rPr>
            <w:rStyle w:val="Hyperlink"/>
          </w:rPr>
          <w:t>.</w:t>
        </w:r>
        <w:r w:rsidRPr="00750617">
          <w:rPr>
            <w:rStyle w:val="Hyperlink"/>
          </w:rPr>
          <w:t>4/737</w:t>
        </w:r>
      </w:hyperlink>
      <w:r w:rsidRPr="00750617">
        <w:rPr>
          <w:rStyle w:val="Hyperlink"/>
        </w:rPr>
        <w:t>)</w:t>
      </w:r>
      <w:r w:rsidRPr="00750617">
        <w:t>, commentaires de l’Allemagne sur le projet de directive 3, p</w:t>
      </w:r>
      <w:r w:rsidRPr="00F22925">
        <w:t>.</w:t>
      </w:r>
      <w:r w:rsidRPr="00750617">
        <w:t xml:space="preserve"> 14</w:t>
      </w:r>
      <w:r w:rsidRPr="00F22925">
        <w:t>.</w:t>
      </w:r>
      <w:r w:rsidRPr="00750617">
        <w:t xml:space="preserve"> Voir aussi M</w:t>
      </w:r>
      <w:r w:rsidRPr="00F22925">
        <w:t>.</w:t>
      </w:r>
      <w:r w:rsidRPr="00750617">
        <w:t xml:space="preserve"> </w:t>
      </w:r>
      <w:proofErr w:type="spellStart"/>
      <w:r w:rsidRPr="00750617">
        <w:t>Chamon</w:t>
      </w:r>
      <w:proofErr w:type="spellEnd"/>
      <w:r w:rsidRPr="00750617">
        <w:t>, « </w:t>
      </w:r>
      <w:proofErr w:type="spellStart"/>
      <w:r w:rsidRPr="00750617">
        <w:t>Provisional</w:t>
      </w:r>
      <w:proofErr w:type="spellEnd"/>
      <w:r w:rsidRPr="00750617">
        <w:t xml:space="preserve"> application of </w:t>
      </w:r>
      <w:proofErr w:type="spellStart"/>
      <w:r w:rsidRPr="00750617">
        <w:t>treaties</w:t>
      </w:r>
      <w:proofErr w:type="spellEnd"/>
      <w:r w:rsidRPr="00750617">
        <w:t xml:space="preserve"> : the </w:t>
      </w:r>
      <w:proofErr w:type="spellStart"/>
      <w:r w:rsidRPr="00750617">
        <w:t>EU’s</w:t>
      </w:r>
      <w:proofErr w:type="spellEnd"/>
      <w:r w:rsidRPr="00750617">
        <w:t xml:space="preserve"> contribution to the </w:t>
      </w:r>
      <w:proofErr w:type="spellStart"/>
      <w:r w:rsidRPr="00750617">
        <w:t>development</w:t>
      </w:r>
      <w:proofErr w:type="spellEnd"/>
      <w:r w:rsidRPr="00750617">
        <w:t xml:space="preserve"> of international </w:t>
      </w:r>
      <w:proofErr w:type="spellStart"/>
      <w:r w:rsidRPr="00750617">
        <w:t>law</w:t>
      </w:r>
      <w:proofErr w:type="spellEnd"/>
      <w:r w:rsidRPr="00750617">
        <w:t xml:space="preserve"> », </w:t>
      </w:r>
      <w:proofErr w:type="spellStart"/>
      <w:r w:rsidRPr="00750617">
        <w:rPr>
          <w:i/>
          <w:iCs/>
        </w:rPr>
        <w:t>European</w:t>
      </w:r>
      <w:proofErr w:type="spellEnd"/>
      <w:r w:rsidRPr="00750617">
        <w:rPr>
          <w:i/>
          <w:iCs/>
        </w:rPr>
        <w:t xml:space="preserve"> Journal of International Law</w:t>
      </w:r>
      <w:r w:rsidRPr="00750617">
        <w:t>, vol</w:t>
      </w:r>
      <w:r w:rsidRPr="00F22925">
        <w:t>.</w:t>
      </w:r>
      <w:r w:rsidRPr="00750617">
        <w:t xml:space="preserve"> 31, n</w:t>
      </w:r>
      <w:r w:rsidRPr="00750617">
        <w:rPr>
          <w:vertAlign w:val="superscript"/>
        </w:rPr>
        <w:t>o</w:t>
      </w:r>
      <w:r w:rsidRPr="00750617">
        <w:t xml:space="preserve"> 3 (août 2020), p</w:t>
      </w:r>
      <w:r w:rsidRPr="00F22925">
        <w:t>.</w:t>
      </w:r>
      <w:r w:rsidRPr="00750617">
        <w:t xml:space="preserve"> 883 à 915, et F</w:t>
      </w:r>
      <w:r w:rsidRPr="00F22925">
        <w:t>.</w:t>
      </w:r>
      <w:r w:rsidRPr="00750617">
        <w:t xml:space="preserve"> Castillo de la Torre, « El Tribunal de </w:t>
      </w:r>
      <w:proofErr w:type="spellStart"/>
      <w:r w:rsidRPr="00750617">
        <w:t>Justicia</w:t>
      </w:r>
      <w:proofErr w:type="spellEnd"/>
      <w:r w:rsidRPr="00750617">
        <w:t xml:space="preserve"> y las </w:t>
      </w:r>
      <w:proofErr w:type="spellStart"/>
      <w:r w:rsidRPr="00750617">
        <w:t>relaciones</w:t>
      </w:r>
      <w:proofErr w:type="spellEnd"/>
      <w:r w:rsidRPr="00750617">
        <w:t xml:space="preserve"> </w:t>
      </w:r>
      <w:proofErr w:type="spellStart"/>
      <w:r w:rsidRPr="00750617">
        <w:t>exteriores</w:t>
      </w:r>
      <w:proofErr w:type="spellEnd"/>
      <w:r w:rsidRPr="00750617">
        <w:t xml:space="preserve"> </w:t>
      </w:r>
      <w:proofErr w:type="spellStart"/>
      <w:r w:rsidRPr="00750617">
        <w:t>tras</w:t>
      </w:r>
      <w:proofErr w:type="spellEnd"/>
      <w:r w:rsidRPr="00750617">
        <w:t xml:space="preserve"> el </w:t>
      </w:r>
      <w:proofErr w:type="spellStart"/>
      <w:r w:rsidRPr="00750617">
        <w:t>Tratado</w:t>
      </w:r>
      <w:proofErr w:type="spellEnd"/>
      <w:r w:rsidRPr="00750617">
        <w:t xml:space="preserve"> de Lisboa », </w:t>
      </w:r>
      <w:proofErr w:type="spellStart"/>
      <w:r w:rsidRPr="00750617">
        <w:rPr>
          <w:i/>
          <w:iCs/>
        </w:rPr>
        <w:t>Revista</w:t>
      </w:r>
      <w:proofErr w:type="spellEnd"/>
      <w:r w:rsidRPr="00750617">
        <w:rPr>
          <w:i/>
          <w:iCs/>
        </w:rPr>
        <w:t xml:space="preserve"> de </w:t>
      </w:r>
      <w:proofErr w:type="spellStart"/>
      <w:r w:rsidRPr="00750617">
        <w:rPr>
          <w:i/>
          <w:iCs/>
        </w:rPr>
        <w:t>Derecho</w:t>
      </w:r>
      <w:proofErr w:type="spellEnd"/>
      <w:r w:rsidRPr="00750617">
        <w:rPr>
          <w:i/>
          <w:iCs/>
        </w:rPr>
        <w:t xml:space="preserve"> </w:t>
      </w:r>
      <w:proofErr w:type="spellStart"/>
      <w:r w:rsidRPr="00750617">
        <w:rPr>
          <w:i/>
          <w:iCs/>
        </w:rPr>
        <w:t>Comunitario</w:t>
      </w:r>
      <w:proofErr w:type="spellEnd"/>
      <w:r w:rsidRPr="00750617">
        <w:rPr>
          <w:i/>
          <w:iCs/>
        </w:rPr>
        <w:t xml:space="preserve"> </w:t>
      </w:r>
      <w:proofErr w:type="spellStart"/>
      <w:r w:rsidRPr="00750617">
        <w:rPr>
          <w:i/>
          <w:iCs/>
        </w:rPr>
        <w:t>Europeo</w:t>
      </w:r>
      <w:proofErr w:type="spellEnd"/>
      <w:r w:rsidRPr="00750617">
        <w:t>, n</w:t>
      </w:r>
      <w:r w:rsidRPr="00750617">
        <w:rPr>
          <w:vertAlign w:val="superscript"/>
        </w:rPr>
        <w:t>o</w:t>
      </w:r>
      <w:r w:rsidRPr="00750617">
        <w:t xml:space="preserve"> 60 (mai-août 2018), p</w:t>
      </w:r>
      <w:r w:rsidRPr="00F22925">
        <w:t>.</w:t>
      </w:r>
      <w:r w:rsidRPr="00750617">
        <w:t xml:space="preserve"> 491 à 512</w:t>
      </w:r>
      <w:r w:rsidRPr="00F22925">
        <w:t>.</w:t>
      </w:r>
      <w:r w:rsidRPr="00750617">
        <w:t xml:space="preserve"> </w:t>
      </w:r>
    </w:p>
  </w:footnote>
  <w:footnote w:id="15">
    <w:p w14:paraId="33B7248E" w14:textId="77777777" w:rsidR="0043175D" w:rsidRPr="00750617" w:rsidRDefault="0043175D" w:rsidP="0043175D">
      <w:pPr>
        <w:pStyle w:val="FootnoteText"/>
        <w:rPr>
          <w:spacing w:val="-2"/>
        </w:rPr>
      </w:pPr>
      <w:r w:rsidRPr="00750617">
        <w:rPr>
          <w:spacing w:val="-2"/>
        </w:rPr>
        <w:tab/>
      </w:r>
      <w:r w:rsidRPr="00750617">
        <w:rPr>
          <w:rStyle w:val="FootnoteReference"/>
        </w:rPr>
        <w:footnoteRef/>
      </w:r>
      <w:r w:rsidRPr="00750617">
        <w:rPr>
          <w:spacing w:val="-2"/>
        </w:rPr>
        <w:tab/>
        <w:t>On trouve un exemple d’application à titre provisoire d’une partie d’un traité dans le contexte des traités bilatéraux dans l’Accord entre le Royaume des Pays-Bas et la Principauté de Monaco sur le paiement des prestations sociales néerlandaises à Monaco (</w:t>
      </w:r>
      <w:r w:rsidRPr="00750617">
        <w:rPr>
          <w:iCs/>
          <w:spacing w:val="-2"/>
        </w:rPr>
        <w:t>Nations Unies,</w:t>
      </w:r>
      <w:r w:rsidRPr="00750617">
        <w:rPr>
          <w:i/>
          <w:spacing w:val="-2"/>
        </w:rPr>
        <w:t xml:space="preserve"> Recueil des traités</w:t>
      </w:r>
      <w:r w:rsidRPr="00750617">
        <w:rPr>
          <w:spacing w:val="-2"/>
        </w:rPr>
        <w:t>, vol</w:t>
      </w:r>
      <w:r w:rsidRPr="00F22925">
        <w:rPr>
          <w:spacing w:val="-2"/>
        </w:rPr>
        <w:t>.</w:t>
      </w:r>
      <w:r w:rsidRPr="00750617">
        <w:rPr>
          <w:spacing w:val="-2"/>
        </w:rPr>
        <w:t xml:space="preserve"> 2205, </w:t>
      </w:r>
      <w:r w:rsidRPr="00750617">
        <w:rPr>
          <w:rFonts w:eastAsia="MS Mincho"/>
          <w:spacing w:val="-2"/>
        </w:rPr>
        <w:t>n</w:t>
      </w:r>
      <w:r w:rsidRPr="00750617">
        <w:rPr>
          <w:rFonts w:eastAsia="MS Mincho"/>
          <w:spacing w:val="-2"/>
          <w:vertAlign w:val="superscript"/>
        </w:rPr>
        <w:t>o</w:t>
      </w:r>
      <w:r w:rsidRPr="00750617">
        <w:rPr>
          <w:spacing w:val="-2"/>
        </w:rPr>
        <w:t> 39160, p</w:t>
      </w:r>
      <w:r w:rsidRPr="00F22925">
        <w:rPr>
          <w:spacing w:val="-2"/>
        </w:rPr>
        <w:t>.</w:t>
      </w:r>
      <w:r w:rsidRPr="00750617">
        <w:rPr>
          <w:spacing w:val="-2"/>
        </w:rPr>
        <w:t> 541, à la page 546, art</w:t>
      </w:r>
      <w:r w:rsidRPr="00F22925">
        <w:rPr>
          <w:spacing w:val="-2"/>
        </w:rPr>
        <w:t>.</w:t>
      </w:r>
      <w:r w:rsidRPr="00750617">
        <w:rPr>
          <w:spacing w:val="-2"/>
        </w:rPr>
        <w:t> 13, par</w:t>
      </w:r>
      <w:r w:rsidRPr="00F22925">
        <w:rPr>
          <w:spacing w:val="-2"/>
        </w:rPr>
        <w:t>.</w:t>
      </w:r>
      <w:r w:rsidRPr="00750617">
        <w:rPr>
          <w:spacing w:val="-2"/>
        </w:rPr>
        <w:t> 2) ; et on peut citer, comme exemples de traités bilatéraux excluant expressément une partie d’un traité de l’application à titre provisoire, l’Accord entre le Gouvernement fédéral autrichien et le Gouvernement de la République fédérale d’Allemagne concernant la coopération des autorités policières et des administrations douanières dans la région frontalière (ibid</w:t>
      </w:r>
      <w:r w:rsidRPr="00F22925">
        <w:rPr>
          <w:spacing w:val="-2"/>
        </w:rPr>
        <w:t>.</w:t>
      </w:r>
      <w:r w:rsidRPr="00750617">
        <w:rPr>
          <w:spacing w:val="-2"/>
        </w:rPr>
        <w:t>, vol</w:t>
      </w:r>
      <w:r w:rsidRPr="00F22925">
        <w:rPr>
          <w:spacing w:val="-2"/>
        </w:rPr>
        <w:t>.</w:t>
      </w:r>
      <w:r w:rsidRPr="00750617">
        <w:rPr>
          <w:spacing w:val="-2"/>
        </w:rPr>
        <w:t xml:space="preserve"> 2170, </w:t>
      </w:r>
      <w:r w:rsidRPr="00750617">
        <w:rPr>
          <w:rFonts w:eastAsia="MS Mincho"/>
          <w:spacing w:val="-2"/>
        </w:rPr>
        <w:t>n</w:t>
      </w:r>
      <w:r w:rsidRPr="00750617">
        <w:rPr>
          <w:rFonts w:eastAsia="MS Mincho"/>
          <w:spacing w:val="-2"/>
          <w:vertAlign w:val="superscript"/>
        </w:rPr>
        <w:t>o</w:t>
      </w:r>
      <w:r w:rsidRPr="00750617">
        <w:rPr>
          <w:spacing w:val="-2"/>
        </w:rPr>
        <w:t> 38115, p</w:t>
      </w:r>
      <w:r w:rsidRPr="00F22925">
        <w:rPr>
          <w:spacing w:val="-2"/>
        </w:rPr>
        <w:t>.</w:t>
      </w:r>
      <w:r w:rsidRPr="00750617">
        <w:rPr>
          <w:spacing w:val="-2"/>
        </w:rPr>
        <w:t> 573, à la page 594) et l’Accord de coopération technique entre le Gouvernement de la République fédérale d’Allemagne et le Gouvernement de la République de Croatie (ibid</w:t>
      </w:r>
      <w:r w:rsidRPr="00F22925">
        <w:rPr>
          <w:spacing w:val="-2"/>
        </w:rPr>
        <w:t>.</w:t>
      </w:r>
      <w:r w:rsidRPr="00750617">
        <w:rPr>
          <w:spacing w:val="-2"/>
        </w:rPr>
        <w:t>, vol</w:t>
      </w:r>
      <w:r w:rsidRPr="00F22925">
        <w:rPr>
          <w:spacing w:val="-2"/>
        </w:rPr>
        <w:t>.</w:t>
      </w:r>
      <w:r w:rsidRPr="00750617">
        <w:rPr>
          <w:spacing w:val="-2"/>
        </w:rPr>
        <w:t xml:space="preserve"> 2306, </w:t>
      </w:r>
      <w:r w:rsidRPr="00750617">
        <w:rPr>
          <w:rFonts w:eastAsia="MS Mincho"/>
          <w:spacing w:val="-2"/>
        </w:rPr>
        <w:t>n</w:t>
      </w:r>
      <w:r w:rsidRPr="00750617">
        <w:rPr>
          <w:rFonts w:eastAsia="MS Mincho"/>
          <w:spacing w:val="-2"/>
          <w:vertAlign w:val="superscript"/>
        </w:rPr>
        <w:t>o</w:t>
      </w:r>
      <w:r w:rsidRPr="00750617">
        <w:rPr>
          <w:spacing w:val="-2"/>
        </w:rPr>
        <w:t> 41129, p</w:t>
      </w:r>
      <w:r w:rsidRPr="00F22925">
        <w:rPr>
          <w:spacing w:val="-2"/>
        </w:rPr>
        <w:t>.</w:t>
      </w:r>
      <w:r w:rsidRPr="00750617">
        <w:rPr>
          <w:spacing w:val="-2"/>
        </w:rPr>
        <w:t> 439)</w:t>
      </w:r>
      <w:r w:rsidRPr="00F22925">
        <w:rPr>
          <w:spacing w:val="-2"/>
        </w:rPr>
        <w:t>.</w:t>
      </w:r>
      <w:r w:rsidRPr="00750617">
        <w:rPr>
          <w:spacing w:val="-2"/>
        </w:rPr>
        <w:t xml:space="preserve"> En ce qui concerne les traités multilatéraux, on trouve des exemples d’application à titre provisoire d’une partie d’un traité dans les instruments suivants : la Convention sur l’interdiction de l’emploi, du stockage, de la production et du transfert des mines antipersonnel et sur leur destruction (ibid</w:t>
      </w:r>
      <w:r w:rsidRPr="00F22925">
        <w:rPr>
          <w:spacing w:val="-2"/>
        </w:rPr>
        <w:t>.</w:t>
      </w:r>
      <w:r w:rsidRPr="00750617">
        <w:rPr>
          <w:spacing w:val="-2"/>
        </w:rPr>
        <w:t>, vol</w:t>
      </w:r>
      <w:r w:rsidRPr="00F22925">
        <w:rPr>
          <w:spacing w:val="-2"/>
        </w:rPr>
        <w:t>.</w:t>
      </w:r>
      <w:r w:rsidRPr="00750617">
        <w:rPr>
          <w:spacing w:val="-2"/>
        </w:rPr>
        <w:t xml:space="preserve"> 2056, </w:t>
      </w:r>
      <w:r w:rsidRPr="00750617">
        <w:rPr>
          <w:rFonts w:eastAsia="MS Mincho"/>
          <w:spacing w:val="-2"/>
        </w:rPr>
        <w:t>n</w:t>
      </w:r>
      <w:r w:rsidRPr="00750617">
        <w:rPr>
          <w:rFonts w:eastAsia="MS Mincho"/>
          <w:spacing w:val="-2"/>
          <w:vertAlign w:val="superscript"/>
        </w:rPr>
        <w:t>o</w:t>
      </w:r>
      <w:r w:rsidRPr="00750617">
        <w:rPr>
          <w:spacing w:val="-2"/>
        </w:rPr>
        <w:t> 35597, p</w:t>
      </w:r>
      <w:r w:rsidRPr="00F22925">
        <w:rPr>
          <w:spacing w:val="-2"/>
        </w:rPr>
        <w:t>.</w:t>
      </w:r>
      <w:r w:rsidRPr="00750617">
        <w:rPr>
          <w:spacing w:val="-2"/>
        </w:rPr>
        <w:t> 211, à la page 254) ; la Convention sur les armes à sous-munitions (ibid</w:t>
      </w:r>
      <w:r w:rsidRPr="00F22925">
        <w:rPr>
          <w:spacing w:val="-2"/>
        </w:rPr>
        <w:t>.</w:t>
      </w:r>
      <w:r w:rsidRPr="00750617">
        <w:rPr>
          <w:spacing w:val="-2"/>
        </w:rPr>
        <w:t>, vol</w:t>
      </w:r>
      <w:r w:rsidRPr="00F22925">
        <w:rPr>
          <w:spacing w:val="-2"/>
        </w:rPr>
        <w:t>.</w:t>
      </w:r>
      <w:r w:rsidRPr="00750617">
        <w:rPr>
          <w:spacing w:val="-2"/>
        </w:rPr>
        <w:t xml:space="preserve"> 2688, </w:t>
      </w:r>
      <w:r w:rsidRPr="00750617">
        <w:rPr>
          <w:rFonts w:eastAsia="MS Mincho"/>
          <w:spacing w:val="-2"/>
        </w:rPr>
        <w:t>n</w:t>
      </w:r>
      <w:r w:rsidRPr="00750617">
        <w:rPr>
          <w:rFonts w:eastAsia="MS Mincho"/>
          <w:spacing w:val="-2"/>
          <w:vertAlign w:val="superscript"/>
        </w:rPr>
        <w:t>o</w:t>
      </w:r>
      <w:r w:rsidRPr="00750617">
        <w:rPr>
          <w:spacing w:val="-2"/>
        </w:rPr>
        <w:t> 47713, p</w:t>
      </w:r>
      <w:r w:rsidRPr="00F22925">
        <w:rPr>
          <w:spacing w:val="-2"/>
        </w:rPr>
        <w:t>.</w:t>
      </w:r>
      <w:r w:rsidRPr="00750617">
        <w:rPr>
          <w:spacing w:val="-2"/>
        </w:rPr>
        <w:t> 39, à la page 140) ; le Traité sur le commerce des armes (</w:t>
      </w:r>
      <w:bookmarkStart w:id="5" w:name="_Hlk74166304"/>
      <w:r w:rsidRPr="00750617">
        <w:rPr>
          <w:spacing w:val="-2"/>
        </w:rPr>
        <w:t>ibid</w:t>
      </w:r>
      <w:r w:rsidRPr="00F22925">
        <w:rPr>
          <w:spacing w:val="-2"/>
        </w:rPr>
        <w:t>.</w:t>
      </w:r>
      <w:r w:rsidRPr="00750617">
        <w:rPr>
          <w:rStyle w:val="Hyperlink"/>
          <w:i/>
          <w:iCs/>
          <w:szCs w:val="18"/>
        </w:rPr>
        <w:t>,</w:t>
      </w:r>
      <w:r w:rsidRPr="00750617">
        <w:rPr>
          <w:rStyle w:val="Hyperlink"/>
          <w:szCs w:val="18"/>
        </w:rPr>
        <w:t xml:space="preserve"> vol</w:t>
      </w:r>
      <w:r w:rsidRPr="00F22925">
        <w:rPr>
          <w:rStyle w:val="Hyperlink"/>
          <w:szCs w:val="18"/>
        </w:rPr>
        <w:t>.</w:t>
      </w:r>
      <w:r w:rsidRPr="00750617">
        <w:rPr>
          <w:rStyle w:val="Hyperlink"/>
          <w:szCs w:val="18"/>
        </w:rPr>
        <w:t xml:space="preserve"> 3013, n</w:t>
      </w:r>
      <w:r w:rsidRPr="00750617">
        <w:rPr>
          <w:rStyle w:val="Hyperlink"/>
          <w:szCs w:val="18"/>
          <w:vertAlign w:val="superscript"/>
        </w:rPr>
        <w:t>o</w:t>
      </w:r>
      <w:r w:rsidRPr="00750617">
        <w:rPr>
          <w:rStyle w:val="Hyperlink"/>
          <w:szCs w:val="18"/>
        </w:rPr>
        <w:t xml:space="preserve"> 52373</w:t>
      </w:r>
      <w:bookmarkEnd w:id="5"/>
      <w:r w:rsidRPr="00750617">
        <w:rPr>
          <w:rStyle w:val="Hyperlink"/>
          <w:szCs w:val="18"/>
        </w:rPr>
        <w:t>)</w:t>
      </w:r>
      <w:r w:rsidRPr="00750617">
        <w:rPr>
          <w:spacing w:val="-2"/>
        </w:rPr>
        <w:t xml:space="preserve"> (art</w:t>
      </w:r>
      <w:r w:rsidRPr="00F22925">
        <w:rPr>
          <w:spacing w:val="-2"/>
        </w:rPr>
        <w:t>.</w:t>
      </w:r>
      <w:r w:rsidRPr="00750617">
        <w:rPr>
          <w:spacing w:val="-2"/>
        </w:rPr>
        <w:t xml:space="preserve"> 23) ; le Document ayant fait l’objet d’un accord entre les États parties au Traité sur les forces armées conventionnelles en Europe </w:t>
      </w:r>
      <w:r w:rsidRPr="00750617">
        <w:t>(</w:t>
      </w:r>
      <w:r w:rsidRPr="00750617">
        <w:rPr>
          <w:i/>
          <w:iCs/>
        </w:rPr>
        <w:t xml:space="preserve">International </w:t>
      </w:r>
      <w:proofErr w:type="spellStart"/>
      <w:r w:rsidRPr="00750617">
        <w:rPr>
          <w:i/>
          <w:iCs/>
        </w:rPr>
        <w:t>Legal</w:t>
      </w:r>
      <w:proofErr w:type="spellEnd"/>
      <w:r w:rsidRPr="00750617">
        <w:rPr>
          <w:i/>
          <w:iCs/>
        </w:rPr>
        <w:t xml:space="preserve"> </w:t>
      </w:r>
      <w:proofErr w:type="spellStart"/>
      <w:r w:rsidRPr="00750617">
        <w:rPr>
          <w:i/>
          <w:iCs/>
        </w:rPr>
        <w:t>Materials</w:t>
      </w:r>
      <w:proofErr w:type="spellEnd"/>
      <w:r w:rsidRPr="00750617">
        <w:t xml:space="preserve">, </w:t>
      </w:r>
      <w:bookmarkStart w:id="6" w:name="_Hlk76127722"/>
      <w:r w:rsidRPr="00750617">
        <w:t>vol</w:t>
      </w:r>
      <w:r w:rsidRPr="00F22925">
        <w:t>.</w:t>
      </w:r>
      <w:r w:rsidRPr="00750617">
        <w:t> 36</w:t>
      </w:r>
      <w:bookmarkEnd w:id="6"/>
      <w:r w:rsidRPr="00750617">
        <w:t>, p</w:t>
      </w:r>
      <w:r w:rsidRPr="00F22925">
        <w:t>.</w:t>
      </w:r>
      <w:r w:rsidRPr="00750617">
        <w:t xml:space="preserve"> 866, sect</w:t>
      </w:r>
      <w:r w:rsidRPr="00F22925">
        <w:t>.</w:t>
      </w:r>
      <w:r w:rsidRPr="00750617">
        <w:t xml:space="preserve"> VI, par</w:t>
      </w:r>
      <w:r w:rsidRPr="00F22925">
        <w:t>.</w:t>
      </w:r>
      <w:r w:rsidRPr="00750617">
        <w:t xml:space="preserve"> 1)</w:t>
      </w:r>
      <w:r w:rsidRPr="00F22925">
        <w:rPr>
          <w:spacing w:val="-2"/>
        </w:rPr>
        <w:t>.</w:t>
      </w:r>
      <w:r w:rsidRPr="00750617">
        <w:rPr>
          <w:spacing w:val="-2"/>
        </w:rPr>
        <w:t xml:space="preserve"> De même, le Protocole sur l’application provisoire du Traité révisé de </w:t>
      </w:r>
      <w:proofErr w:type="spellStart"/>
      <w:r w:rsidRPr="00750617">
        <w:rPr>
          <w:spacing w:val="-2"/>
        </w:rPr>
        <w:t>Chaguaramas</w:t>
      </w:r>
      <w:proofErr w:type="spellEnd"/>
      <w:r w:rsidRPr="00750617">
        <w:rPr>
          <w:spacing w:val="-2"/>
        </w:rPr>
        <w:t xml:space="preserve"> (ibid</w:t>
      </w:r>
      <w:r w:rsidRPr="00F22925">
        <w:rPr>
          <w:spacing w:val="-2"/>
        </w:rPr>
        <w:t>.</w:t>
      </w:r>
      <w:r w:rsidRPr="00750617">
        <w:rPr>
          <w:spacing w:val="-2"/>
        </w:rPr>
        <w:t>, vol</w:t>
      </w:r>
      <w:r w:rsidRPr="00F22925">
        <w:rPr>
          <w:spacing w:val="-2"/>
        </w:rPr>
        <w:t>.</w:t>
      </w:r>
      <w:r w:rsidRPr="00750617">
        <w:rPr>
          <w:spacing w:val="-2"/>
        </w:rPr>
        <w:t xml:space="preserve"> 2259, </w:t>
      </w:r>
      <w:r w:rsidRPr="00750617">
        <w:rPr>
          <w:rFonts w:eastAsia="MS Mincho"/>
          <w:spacing w:val="-2"/>
        </w:rPr>
        <w:t>n</w:t>
      </w:r>
      <w:r w:rsidRPr="00750617">
        <w:rPr>
          <w:rFonts w:eastAsia="MS Mincho"/>
          <w:spacing w:val="-2"/>
          <w:vertAlign w:val="superscript"/>
        </w:rPr>
        <w:t>o</w:t>
      </w:r>
      <w:r w:rsidRPr="00750617">
        <w:rPr>
          <w:spacing w:val="-2"/>
        </w:rPr>
        <w:t> 40269, p</w:t>
      </w:r>
      <w:r w:rsidRPr="00F22925">
        <w:rPr>
          <w:spacing w:val="-2"/>
        </w:rPr>
        <w:t>.</w:t>
      </w:r>
      <w:r w:rsidRPr="00750617">
        <w:rPr>
          <w:spacing w:val="-2"/>
        </w:rPr>
        <w:t xml:space="preserve"> 597) indique expressément quelles dispositions du Traité révisé ne doivent pas être appliquées à titre provisoire, et l’Accord de partenariat économique stratégique </w:t>
      </w:r>
      <w:proofErr w:type="spellStart"/>
      <w:r w:rsidRPr="00750617">
        <w:rPr>
          <w:spacing w:val="-2"/>
        </w:rPr>
        <w:t>transpacifique</w:t>
      </w:r>
      <w:proofErr w:type="spellEnd"/>
      <w:r w:rsidRPr="00750617">
        <w:rPr>
          <w:spacing w:val="-2"/>
        </w:rPr>
        <w:t xml:space="preserve"> (ibid</w:t>
      </w:r>
      <w:r w:rsidRPr="00F22925">
        <w:rPr>
          <w:spacing w:val="-2"/>
        </w:rPr>
        <w:t>.</w:t>
      </w:r>
      <w:r w:rsidRPr="00750617">
        <w:rPr>
          <w:spacing w:val="-2"/>
        </w:rPr>
        <w:t>, vol</w:t>
      </w:r>
      <w:r w:rsidRPr="00F22925">
        <w:rPr>
          <w:spacing w:val="-2"/>
        </w:rPr>
        <w:t>.</w:t>
      </w:r>
      <w:r w:rsidRPr="00750617">
        <w:rPr>
          <w:spacing w:val="-2"/>
        </w:rPr>
        <w:t xml:space="preserve"> 2592, </w:t>
      </w:r>
      <w:r w:rsidRPr="00750617">
        <w:rPr>
          <w:rFonts w:eastAsia="MS Mincho"/>
          <w:spacing w:val="-2"/>
        </w:rPr>
        <w:t>n</w:t>
      </w:r>
      <w:r w:rsidRPr="00750617">
        <w:rPr>
          <w:rFonts w:eastAsia="MS Mincho"/>
          <w:spacing w:val="-2"/>
          <w:vertAlign w:val="superscript"/>
        </w:rPr>
        <w:t>o</w:t>
      </w:r>
      <w:r w:rsidRPr="00750617">
        <w:rPr>
          <w:spacing w:val="-2"/>
        </w:rPr>
        <w:t> 46151, p</w:t>
      </w:r>
      <w:r w:rsidRPr="00F22925">
        <w:rPr>
          <w:spacing w:val="-2"/>
        </w:rPr>
        <w:t>.</w:t>
      </w:r>
      <w:r w:rsidRPr="00750617">
        <w:rPr>
          <w:spacing w:val="-2"/>
        </w:rPr>
        <w:t xml:space="preserve"> 225) donne un exemple d’application provisoire d’une partie du traité qui s’applique uniquement à l’égard d’une des parties à l’Accord, à savoir le </w:t>
      </w:r>
      <w:proofErr w:type="spellStart"/>
      <w:r w:rsidRPr="00750617">
        <w:rPr>
          <w:spacing w:val="-2"/>
        </w:rPr>
        <w:t>Brunéi</w:t>
      </w:r>
      <w:proofErr w:type="spellEnd"/>
      <w:r w:rsidRPr="00750617">
        <w:rPr>
          <w:spacing w:val="-2"/>
        </w:rPr>
        <w:t xml:space="preserve"> Darussalam (art</w:t>
      </w:r>
      <w:r w:rsidRPr="00F22925">
        <w:rPr>
          <w:spacing w:val="-2"/>
        </w:rPr>
        <w:t>.</w:t>
      </w:r>
      <w:r w:rsidRPr="00750617">
        <w:rPr>
          <w:spacing w:val="-2"/>
        </w:rPr>
        <w:t xml:space="preserve"> 20</w:t>
      </w:r>
      <w:r w:rsidRPr="00F22925">
        <w:rPr>
          <w:spacing w:val="-2"/>
        </w:rPr>
        <w:t>.</w:t>
      </w:r>
      <w:r w:rsidRPr="00750617">
        <w:rPr>
          <w:spacing w:val="-2"/>
        </w:rPr>
        <w:t>5)</w:t>
      </w:r>
      <w:r w:rsidRPr="00F22925">
        <w:rPr>
          <w:spacing w:val="-2"/>
        </w:rPr>
        <w:t>.</w:t>
      </w:r>
    </w:p>
  </w:footnote>
  <w:footnote w:id="16">
    <w:p w14:paraId="14023880" w14:textId="77777777" w:rsidR="0043175D" w:rsidRPr="00750617" w:rsidRDefault="0043175D" w:rsidP="0043175D">
      <w:pPr>
        <w:pStyle w:val="FootnoteText"/>
      </w:pPr>
      <w:r w:rsidRPr="00750617">
        <w:tab/>
      </w:r>
      <w:r w:rsidRPr="00750617">
        <w:rPr>
          <w:rStyle w:val="FootnoteReference"/>
        </w:rPr>
        <w:footnoteRef/>
      </w:r>
      <w:r w:rsidRPr="00750617">
        <w:tab/>
        <w:t>Comme dans le cas de l’Accord relatif à l’application de la partie XI de la Convention des Nations Unies sur le droit de la mer du 10 décembre 1982 (ibid</w:t>
      </w:r>
      <w:r w:rsidRPr="00F22925">
        <w:t>.</w:t>
      </w:r>
      <w:r w:rsidRPr="00750617">
        <w:t>, vol</w:t>
      </w:r>
      <w:r w:rsidRPr="00F22925">
        <w:t>.</w:t>
      </w:r>
      <w:r w:rsidRPr="00750617">
        <w:t xml:space="preserve"> 1836, </w:t>
      </w:r>
      <w:r w:rsidRPr="00750617">
        <w:rPr>
          <w:rFonts w:eastAsia="MS Mincho"/>
        </w:rPr>
        <w:t>n</w:t>
      </w:r>
      <w:r w:rsidRPr="00750617">
        <w:rPr>
          <w:rFonts w:eastAsia="MS Mincho"/>
          <w:vertAlign w:val="superscript"/>
        </w:rPr>
        <w:t>o</w:t>
      </w:r>
      <w:r w:rsidRPr="00750617">
        <w:t> 31364, p</w:t>
      </w:r>
      <w:r w:rsidRPr="00F22925">
        <w:t>.</w:t>
      </w:r>
      <w:r w:rsidRPr="00750617">
        <w:t xml:space="preserve"> 3) et de l’Accord sur l’application provisoire de certaines dispositions du Protocole </w:t>
      </w:r>
      <w:r w:rsidRPr="00750617">
        <w:rPr>
          <w:rFonts w:eastAsia="MS Mincho"/>
        </w:rPr>
        <w:t>n</w:t>
      </w:r>
      <w:r w:rsidRPr="00750617">
        <w:rPr>
          <w:rFonts w:eastAsia="MS Mincho"/>
          <w:vertAlign w:val="superscript"/>
        </w:rPr>
        <w:t>o</w:t>
      </w:r>
      <w:r w:rsidRPr="00750617">
        <w:t> 14 [</w:t>
      </w:r>
      <w:r w:rsidRPr="00750617">
        <w:rPr>
          <w:rStyle w:val="fr"/>
        </w:rPr>
        <w:t xml:space="preserve">à la Convention de sauvegarde des droits de l’homme et des libertés fondamentales, amendant le système de contrôle de la Convention,] </w:t>
      </w:r>
      <w:r w:rsidRPr="00750617">
        <w:t xml:space="preserve">dans l’attente de son entrée en vigueur (Madrid, 12 mai 2009, Conseil de l’Europe, </w:t>
      </w:r>
      <w:r w:rsidRPr="00750617">
        <w:rPr>
          <w:i/>
          <w:iCs/>
        </w:rPr>
        <w:t>Série des Traités</w:t>
      </w:r>
      <w:r w:rsidRPr="00750617">
        <w:t xml:space="preserve">, </w:t>
      </w:r>
      <w:r w:rsidRPr="00750617">
        <w:rPr>
          <w:rFonts w:eastAsia="MS Mincho"/>
        </w:rPr>
        <w:t>n</w:t>
      </w:r>
      <w:r w:rsidRPr="00750617">
        <w:rPr>
          <w:rFonts w:eastAsia="MS Mincho"/>
          <w:vertAlign w:val="superscript"/>
        </w:rPr>
        <w:t>o </w:t>
      </w:r>
      <w:r w:rsidRPr="00750617">
        <w:t>194)</w:t>
      </w:r>
      <w:r w:rsidRPr="00F22925">
        <w:t>.</w:t>
      </w:r>
    </w:p>
  </w:footnote>
  <w:footnote w:id="17">
    <w:p w14:paraId="343E42F8" w14:textId="77777777" w:rsidR="0043175D" w:rsidRPr="00750617" w:rsidRDefault="0043175D" w:rsidP="0043175D">
      <w:pPr>
        <w:pStyle w:val="FootnoteText"/>
      </w:pPr>
      <w:r w:rsidRPr="00750617">
        <w:tab/>
      </w:r>
      <w:r w:rsidRPr="00750617">
        <w:rPr>
          <w:rStyle w:val="FootnoteReference"/>
        </w:rPr>
        <w:footnoteRef/>
      </w:r>
      <w:r w:rsidRPr="00750617">
        <w:tab/>
        <w:t>Par exemple, le Traité sur le commerce des armes</w:t>
      </w:r>
      <w:r w:rsidRPr="00F22925">
        <w:t>.</w:t>
      </w:r>
    </w:p>
  </w:footnote>
  <w:footnote w:id="18">
    <w:p w14:paraId="539BEDF9" w14:textId="77777777" w:rsidR="0043175D" w:rsidRPr="00750617" w:rsidRDefault="0043175D" w:rsidP="0043175D">
      <w:pPr>
        <w:pStyle w:val="FootnoteText"/>
      </w:pPr>
      <w:r w:rsidRPr="00750617">
        <w:tab/>
      </w:r>
      <w:r w:rsidRPr="00750617">
        <w:rPr>
          <w:rStyle w:val="FootnoteReference"/>
        </w:rPr>
        <w:footnoteRef/>
      </w:r>
      <w:r w:rsidRPr="00750617">
        <w:tab/>
        <w:t>Parmi les traités bilatéraux contenant une telle disposition, on peut citer à titre d’exemples : l’Accord entre la Communauté européenne et la République du Paraguay sur certains aspects des services aériens (</w:t>
      </w:r>
      <w:r w:rsidRPr="00750617">
        <w:rPr>
          <w:i/>
        </w:rPr>
        <w:t xml:space="preserve">Journal officiel de l’Union européenne </w:t>
      </w:r>
      <w:r w:rsidRPr="00750617">
        <w:t>L 122, 11 mai 2007), art</w:t>
      </w:r>
      <w:r w:rsidRPr="00F22925">
        <w:t>.</w:t>
      </w:r>
      <w:r w:rsidRPr="00750617">
        <w:t xml:space="preserve"> 9 ; l’Accord entre la République argentine et la République du Suriname relatif à l’exemption de visa pour les titulaires de passeports ordinaires (Nations Unies, </w:t>
      </w:r>
      <w:r w:rsidRPr="00750617">
        <w:rPr>
          <w:i/>
        </w:rPr>
        <w:t>Recueil des Traités</w:t>
      </w:r>
      <w:r w:rsidRPr="00750617">
        <w:t xml:space="preserve"> vol</w:t>
      </w:r>
      <w:r w:rsidRPr="00F22925">
        <w:t>.</w:t>
      </w:r>
      <w:r w:rsidRPr="00750617">
        <w:t xml:space="preserve"> 2957, </w:t>
      </w:r>
      <w:r w:rsidRPr="00750617">
        <w:rPr>
          <w:rFonts w:eastAsia="MS Mincho"/>
        </w:rPr>
        <w:t>n</w:t>
      </w:r>
      <w:r w:rsidRPr="00750617">
        <w:rPr>
          <w:rFonts w:eastAsia="MS Mincho"/>
          <w:vertAlign w:val="superscript"/>
        </w:rPr>
        <w:t>o</w:t>
      </w:r>
      <w:r w:rsidRPr="00750617">
        <w:t> 51407, p</w:t>
      </w:r>
      <w:r w:rsidRPr="00F22925">
        <w:t>.</w:t>
      </w:r>
      <w:r w:rsidRPr="00750617">
        <w:t xml:space="preserve"> 213), art</w:t>
      </w:r>
      <w:r w:rsidRPr="00F22925">
        <w:t>.</w:t>
      </w:r>
      <w:r w:rsidRPr="00750617">
        <w:t> 8 ; le Traité entre la Confédération suisse et la Principauté du Liechtenstein relatif aux taxes environnementales dans la Principauté du Liechtenstein (ibid</w:t>
      </w:r>
      <w:r w:rsidRPr="00F22925">
        <w:t>.</w:t>
      </w:r>
      <w:r w:rsidRPr="00750617">
        <w:t>, vol</w:t>
      </w:r>
      <w:r w:rsidRPr="00F22925">
        <w:t>.</w:t>
      </w:r>
      <w:r w:rsidRPr="00750617">
        <w:t xml:space="preserve"> 2761, </w:t>
      </w:r>
      <w:r w:rsidRPr="00750617">
        <w:rPr>
          <w:rFonts w:eastAsia="MS Mincho"/>
        </w:rPr>
        <w:t>n</w:t>
      </w:r>
      <w:r w:rsidRPr="00750617">
        <w:rPr>
          <w:rFonts w:eastAsia="MS Mincho"/>
          <w:vertAlign w:val="superscript"/>
        </w:rPr>
        <w:t>o</w:t>
      </w:r>
      <w:r w:rsidRPr="00750617">
        <w:t> 48680, p</w:t>
      </w:r>
      <w:r w:rsidRPr="00F22925">
        <w:t>.</w:t>
      </w:r>
      <w:r w:rsidRPr="00750617">
        <w:t> 23), art</w:t>
      </w:r>
      <w:r w:rsidRPr="00F22925">
        <w:t>.</w:t>
      </w:r>
      <w:r w:rsidRPr="00750617">
        <w:t> 5 ; l’Accord entre le Royaume d’Espagne et la Principauté d’Andorre sur le transfert et la gestion des déchets (ibid</w:t>
      </w:r>
      <w:r w:rsidRPr="00F22925">
        <w:t>.</w:t>
      </w:r>
      <w:r w:rsidRPr="00750617">
        <w:t xml:space="preserve"> vol</w:t>
      </w:r>
      <w:r w:rsidRPr="00F22925">
        <w:t>.</w:t>
      </w:r>
      <w:r w:rsidRPr="00750617">
        <w:t xml:space="preserve"> 2881, </w:t>
      </w:r>
      <w:r w:rsidRPr="00750617">
        <w:rPr>
          <w:rFonts w:eastAsia="MS Mincho"/>
        </w:rPr>
        <w:t>n</w:t>
      </w:r>
      <w:r w:rsidRPr="00750617">
        <w:rPr>
          <w:rFonts w:eastAsia="MS Mincho"/>
          <w:vertAlign w:val="superscript"/>
        </w:rPr>
        <w:t>o</w:t>
      </w:r>
      <w:r w:rsidRPr="00750617">
        <w:t> 50313, p</w:t>
      </w:r>
      <w:r w:rsidRPr="00F22925">
        <w:t>.</w:t>
      </w:r>
      <w:r w:rsidRPr="00750617">
        <w:t xml:space="preserve"> 165), art</w:t>
      </w:r>
      <w:r w:rsidRPr="00F22925">
        <w:t>.</w:t>
      </w:r>
      <w:r w:rsidRPr="00750617">
        <w:t> 13 ; l’Accord entre le Gouvernement du Royaume d’Espagne et le Gouvernement de la République slovaque en matière d’entraide dans la lutte contre la criminalité organisée (ibid</w:t>
      </w:r>
      <w:r w:rsidRPr="00F22925">
        <w:t>.</w:t>
      </w:r>
      <w:r w:rsidRPr="00750617">
        <w:t>, vol</w:t>
      </w:r>
      <w:r w:rsidRPr="00F22925">
        <w:t>.</w:t>
      </w:r>
      <w:r w:rsidRPr="00750617">
        <w:t xml:space="preserve"> 2098, </w:t>
      </w:r>
      <w:r w:rsidRPr="00750617">
        <w:rPr>
          <w:rFonts w:eastAsia="MS Mincho"/>
        </w:rPr>
        <w:t>n</w:t>
      </w:r>
      <w:r w:rsidRPr="00750617">
        <w:rPr>
          <w:rFonts w:eastAsia="MS Mincho"/>
          <w:vertAlign w:val="superscript"/>
        </w:rPr>
        <w:t>o</w:t>
      </w:r>
      <w:r w:rsidRPr="00750617">
        <w:t> 36475, p</w:t>
      </w:r>
      <w:r w:rsidRPr="00F22925">
        <w:t>.</w:t>
      </w:r>
      <w:r w:rsidRPr="00750617">
        <w:t> 341), art</w:t>
      </w:r>
      <w:r w:rsidRPr="00F22925">
        <w:t>.</w:t>
      </w:r>
      <w:r w:rsidRPr="00750617">
        <w:t> 14, par</w:t>
      </w:r>
      <w:r w:rsidRPr="00F22925">
        <w:t>.</w:t>
      </w:r>
      <w:r w:rsidRPr="00750617">
        <w:t> 2 ; et l’Accord portant création de l’Association de la Russie et de la Biélorussie (ibid</w:t>
      </w:r>
      <w:r w:rsidRPr="00F22925">
        <w:t>.</w:t>
      </w:r>
      <w:r w:rsidRPr="00750617">
        <w:t>, vol</w:t>
      </w:r>
      <w:r w:rsidRPr="00F22925">
        <w:t>.</w:t>
      </w:r>
      <w:r w:rsidRPr="00750617">
        <w:t xml:space="preserve"> 2120, </w:t>
      </w:r>
      <w:r w:rsidRPr="00750617">
        <w:rPr>
          <w:rFonts w:eastAsia="MS Mincho"/>
        </w:rPr>
        <w:t>n</w:t>
      </w:r>
      <w:r w:rsidRPr="00750617">
        <w:rPr>
          <w:rFonts w:eastAsia="MS Mincho"/>
          <w:vertAlign w:val="superscript"/>
        </w:rPr>
        <w:t>o</w:t>
      </w:r>
      <w:r w:rsidRPr="00750617">
        <w:t> 36926, p</w:t>
      </w:r>
      <w:r w:rsidRPr="00F22925">
        <w:t>.</w:t>
      </w:r>
      <w:r w:rsidRPr="00750617">
        <w:t> 595), art</w:t>
      </w:r>
      <w:r w:rsidRPr="00F22925">
        <w:t>.</w:t>
      </w:r>
      <w:r w:rsidRPr="00750617">
        <w:t> 19</w:t>
      </w:r>
      <w:r w:rsidRPr="00F22925">
        <w:t>.</w:t>
      </w:r>
      <w:r w:rsidRPr="00750617">
        <w:t xml:space="preserve"> On peut citer comme exemples parmi les traités multilatéraux : l’Accord relatif à l’application de la partie XI de la Convention des Nations Unies sur le droit de la mer du 10 décembre 1982, art</w:t>
      </w:r>
      <w:r w:rsidRPr="00F22925">
        <w:t>.</w:t>
      </w:r>
      <w:r w:rsidRPr="00750617">
        <w:t> 7 ; l’Accord sur les modifications à l’Accord-cadre relatif au bassin de la Save et au Protocole à l’Accord-cadre relatif au bassin de la Save concernant le régime de la navigation (ibid</w:t>
      </w:r>
      <w:r w:rsidRPr="00F22925">
        <w:t>.</w:t>
      </w:r>
      <w:r w:rsidRPr="00750617">
        <w:t>, vol</w:t>
      </w:r>
      <w:r w:rsidRPr="00F22925">
        <w:t>.</w:t>
      </w:r>
      <w:r w:rsidRPr="00750617">
        <w:t xml:space="preserve"> 2367, </w:t>
      </w:r>
      <w:r w:rsidRPr="00750617">
        <w:rPr>
          <w:rFonts w:eastAsia="MS Mincho"/>
        </w:rPr>
        <w:t>n</w:t>
      </w:r>
      <w:r w:rsidRPr="00750617">
        <w:rPr>
          <w:rFonts w:eastAsia="MS Mincho"/>
          <w:vertAlign w:val="superscript"/>
        </w:rPr>
        <w:t>o</w:t>
      </w:r>
      <w:r w:rsidRPr="00750617">
        <w:t> 42662, p</w:t>
      </w:r>
      <w:r w:rsidRPr="00F22925">
        <w:t>.</w:t>
      </w:r>
      <w:r w:rsidRPr="00750617">
        <w:t> 697), art</w:t>
      </w:r>
      <w:r w:rsidRPr="00F22925">
        <w:t>.</w:t>
      </w:r>
      <w:r w:rsidRPr="00750617">
        <w:t> 3, par</w:t>
      </w:r>
      <w:r w:rsidRPr="00F22925">
        <w:t>.</w:t>
      </w:r>
      <w:r w:rsidRPr="00750617">
        <w:t> 5 ; l’Accord-cadre pour un programme multilatéral environnemental dans le domaine nucléaire en Fédération de Russie (ibid</w:t>
      </w:r>
      <w:r w:rsidRPr="00F22925">
        <w:t>.</w:t>
      </w:r>
      <w:r w:rsidRPr="00750617">
        <w:t>, vol</w:t>
      </w:r>
      <w:r w:rsidRPr="00F22925">
        <w:t>.</w:t>
      </w:r>
      <w:r w:rsidRPr="00750617">
        <w:t xml:space="preserve"> 2265, </w:t>
      </w:r>
      <w:r w:rsidRPr="00750617">
        <w:rPr>
          <w:rFonts w:eastAsia="MS Mincho"/>
        </w:rPr>
        <w:t>n</w:t>
      </w:r>
      <w:r w:rsidRPr="00750617">
        <w:rPr>
          <w:rFonts w:eastAsia="MS Mincho"/>
          <w:vertAlign w:val="superscript"/>
        </w:rPr>
        <w:t>o</w:t>
      </w:r>
      <w:r w:rsidRPr="00750617">
        <w:t> 40358, p</w:t>
      </w:r>
      <w:r w:rsidRPr="00F22925">
        <w:t>.</w:t>
      </w:r>
      <w:r w:rsidRPr="00750617">
        <w:t> 5, à la page 15), art</w:t>
      </w:r>
      <w:r w:rsidRPr="00F22925">
        <w:t>.</w:t>
      </w:r>
      <w:r w:rsidRPr="00750617">
        <w:t> 18, par</w:t>
      </w:r>
      <w:r w:rsidRPr="00F22925">
        <w:t>.</w:t>
      </w:r>
      <w:r w:rsidRPr="00750617">
        <w:t> 7, et son Protocole concernant les actions en justice, les procédures judiciaires et l’indemnisation (ibid</w:t>
      </w:r>
      <w:r w:rsidRPr="00F22925">
        <w:t>.</w:t>
      </w:r>
      <w:r w:rsidRPr="00750617">
        <w:t>, p</w:t>
      </w:r>
      <w:r w:rsidRPr="00F22925">
        <w:t>.</w:t>
      </w:r>
      <w:r w:rsidRPr="00750617">
        <w:t> 41), art</w:t>
      </w:r>
      <w:r w:rsidRPr="00F22925">
        <w:t>.</w:t>
      </w:r>
      <w:r w:rsidRPr="00750617">
        <w:t> 4, par</w:t>
      </w:r>
      <w:r w:rsidRPr="00F22925">
        <w:t>.</w:t>
      </w:r>
      <w:r w:rsidRPr="00750617">
        <w:t> 8 ; les Statuts de la Communauté des pays de langue portugaise (ibid</w:t>
      </w:r>
      <w:r w:rsidRPr="00F22925">
        <w:t>.</w:t>
      </w:r>
      <w:r w:rsidRPr="00750617">
        <w:t>, vol</w:t>
      </w:r>
      <w:r w:rsidRPr="00F22925">
        <w:t>.</w:t>
      </w:r>
      <w:r w:rsidRPr="00750617">
        <w:t xml:space="preserve"> 2233, </w:t>
      </w:r>
      <w:r w:rsidRPr="00750617">
        <w:rPr>
          <w:rFonts w:eastAsia="MS Mincho"/>
        </w:rPr>
        <w:t>n</w:t>
      </w:r>
      <w:r w:rsidRPr="00750617">
        <w:rPr>
          <w:rFonts w:eastAsia="MS Mincho"/>
          <w:vertAlign w:val="superscript"/>
        </w:rPr>
        <w:t>o</w:t>
      </w:r>
      <w:r w:rsidRPr="00750617">
        <w:t> 39756, p</w:t>
      </w:r>
      <w:r w:rsidRPr="00F22925">
        <w:t>.</w:t>
      </w:r>
      <w:r w:rsidRPr="00750617">
        <w:t> 207), art</w:t>
      </w:r>
      <w:r w:rsidRPr="00F22925">
        <w:t>.</w:t>
      </w:r>
      <w:r w:rsidRPr="00750617">
        <w:t> 21 ; et la Convention portant création de la Fondation « </w:t>
      </w:r>
      <w:proofErr w:type="spellStart"/>
      <w:r w:rsidRPr="00750617">
        <w:t>Karanta</w:t>
      </w:r>
      <w:proofErr w:type="spellEnd"/>
      <w:r w:rsidRPr="00750617">
        <w:t> » pour l’appui aux politiques d’éducation non formelle et comportant en annexe les Statuts de la Fondation (ibid</w:t>
      </w:r>
      <w:r w:rsidRPr="00F22925">
        <w:t>.</w:t>
      </w:r>
      <w:r w:rsidRPr="00750617">
        <w:t>, vol</w:t>
      </w:r>
      <w:r w:rsidRPr="00F22925">
        <w:t>.</w:t>
      </w:r>
      <w:r w:rsidRPr="00750617">
        <w:t xml:space="preserve"> 2341, </w:t>
      </w:r>
      <w:r w:rsidRPr="00750617">
        <w:rPr>
          <w:rFonts w:eastAsia="MS Mincho"/>
        </w:rPr>
        <w:t>n</w:t>
      </w:r>
      <w:r w:rsidRPr="00750617">
        <w:rPr>
          <w:rFonts w:eastAsia="MS Mincho"/>
          <w:vertAlign w:val="superscript"/>
        </w:rPr>
        <w:t>o</w:t>
      </w:r>
      <w:r w:rsidRPr="00750617">
        <w:t> 41941, p</w:t>
      </w:r>
      <w:r w:rsidRPr="00F22925">
        <w:t>.</w:t>
      </w:r>
      <w:r w:rsidRPr="00750617">
        <w:t> 3), art</w:t>
      </w:r>
      <w:r w:rsidRPr="00F22925">
        <w:t>.</w:t>
      </w:r>
      <w:r w:rsidRPr="00750617">
        <w:t> 8 et 49, respectivement</w:t>
      </w:r>
      <w:r w:rsidRPr="00F22925">
        <w:t>.</w:t>
      </w:r>
      <w:r w:rsidRPr="00750617">
        <w:t xml:space="preserve"> </w:t>
      </w:r>
    </w:p>
  </w:footnote>
  <w:footnote w:id="19">
    <w:p w14:paraId="2005470B" w14:textId="77777777" w:rsidR="0043175D" w:rsidRPr="00750617" w:rsidRDefault="0043175D" w:rsidP="0043175D">
      <w:pPr>
        <w:pStyle w:val="FootnoteText"/>
      </w:pPr>
      <w:r w:rsidRPr="00750617">
        <w:tab/>
      </w:r>
      <w:r w:rsidRPr="00750617">
        <w:rPr>
          <w:rStyle w:val="FootnoteReference"/>
        </w:rPr>
        <w:footnoteRef/>
      </w:r>
      <w:r w:rsidRPr="00750617">
        <w:tab/>
        <w:t xml:space="preserve">Voir, par exemple, l’Accord international de 1994 sur les bois tropicaux (Nations Unies, </w:t>
      </w:r>
      <w:r w:rsidRPr="00750617">
        <w:rPr>
          <w:i/>
        </w:rPr>
        <w:t>Recueil des Traités</w:t>
      </w:r>
      <w:r w:rsidRPr="00750617">
        <w:t>, vol</w:t>
      </w:r>
      <w:r w:rsidRPr="00F22925">
        <w:t>.</w:t>
      </w:r>
      <w:r w:rsidRPr="00750617">
        <w:t xml:space="preserve"> 1955, </w:t>
      </w:r>
      <w:r w:rsidRPr="00750617">
        <w:rPr>
          <w:rFonts w:eastAsia="MS Mincho"/>
        </w:rPr>
        <w:t>n</w:t>
      </w:r>
      <w:r w:rsidRPr="00750617">
        <w:rPr>
          <w:rFonts w:eastAsia="MS Mincho"/>
          <w:vertAlign w:val="superscript"/>
        </w:rPr>
        <w:t>o</w:t>
      </w:r>
      <w:r w:rsidRPr="00750617">
        <w:t> 33484, p</w:t>
      </w:r>
      <w:r w:rsidRPr="00F22925">
        <w:t>.</w:t>
      </w:r>
      <w:r w:rsidRPr="00750617">
        <w:t> 81), qui a été prorogé plusieurs fois en vertu de l’article 46 de l’Accord et auquel quelques États (Guatemala, Mexique, Nigéria et Pologne) ont adhéré dans l’intervalle</w:t>
      </w:r>
      <w:r w:rsidRPr="00F22925">
        <w:t>.</w:t>
      </w:r>
      <w:r w:rsidRPr="00750617">
        <w:t xml:space="preserve"> Voir aussi le cas du Monténégro vis-à-vis du Protocole </w:t>
      </w:r>
      <w:r w:rsidRPr="00750617">
        <w:rPr>
          <w:rFonts w:eastAsia="MS Mincho"/>
        </w:rPr>
        <w:t>n</w:t>
      </w:r>
      <w:r w:rsidRPr="00750617">
        <w:rPr>
          <w:rFonts w:eastAsia="MS Mincho"/>
          <w:vertAlign w:val="superscript"/>
        </w:rPr>
        <w:t>o</w:t>
      </w:r>
      <w:r w:rsidRPr="00750617">
        <w:t> 14 à la Convention de sauvegarde des droits de l’homme et des libertés fondamentales, amendant le système de contrôle de la Convention (ibid</w:t>
      </w:r>
      <w:r w:rsidRPr="00F22925">
        <w:t>.</w:t>
      </w:r>
      <w:r w:rsidRPr="00750617">
        <w:t>, vol</w:t>
      </w:r>
      <w:r w:rsidRPr="00F22925">
        <w:t>.</w:t>
      </w:r>
      <w:r w:rsidRPr="00750617">
        <w:t xml:space="preserve"> 2677, </w:t>
      </w:r>
      <w:r w:rsidRPr="00750617">
        <w:rPr>
          <w:rFonts w:eastAsia="MS Mincho"/>
        </w:rPr>
        <w:t>n</w:t>
      </w:r>
      <w:r w:rsidRPr="00750617">
        <w:rPr>
          <w:rFonts w:eastAsia="MS Mincho"/>
          <w:vertAlign w:val="superscript"/>
        </w:rPr>
        <w:t>o</w:t>
      </w:r>
      <w:r w:rsidRPr="00750617">
        <w:t> 2889, p</w:t>
      </w:r>
      <w:r w:rsidRPr="00F22925">
        <w:t>.</w:t>
      </w:r>
      <w:r w:rsidRPr="00750617">
        <w:t> 3, à la page 34)</w:t>
      </w:r>
      <w:r w:rsidRPr="00F22925">
        <w:t>.</w:t>
      </w:r>
      <w:r w:rsidRPr="00750617">
        <w:t xml:space="preserve"> Le Monténégro, qui a accédé à l’indépendance en 2006 et n’était donc pas un État ayant participé à la négociation, a succédé audit traité et a eu le choix d’appliquer à titre provisoire certaines de ses dispositions conformément à l’Accord de Madrid (Accord sur l’application provisoire de certaines dispositions du Protocole </w:t>
      </w:r>
      <w:r w:rsidRPr="00750617">
        <w:rPr>
          <w:rFonts w:eastAsia="MS Mincho"/>
        </w:rPr>
        <w:t>n</w:t>
      </w:r>
      <w:r w:rsidRPr="00750617">
        <w:rPr>
          <w:rFonts w:eastAsia="MS Mincho"/>
          <w:vertAlign w:val="superscript"/>
        </w:rPr>
        <w:t>o</w:t>
      </w:r>
      <w:r w:rsidRPr="00750617">
        <w:t> 14 [</w:t>
      </w:r>
      <w:r w:rsidRPr="00750617">
        <w:rPr>
          <w:rStyle w:val="fr"/>
        </w:rPr>
        <w:t xml:space="preserve">à la Convention européenne des droits de l’homme] </w:t>
      </w:r>
      <w:r w:rsidRPr="00750617">
        <w:t>dans l’attente de son entrée en vigueur)</w:t>
      </w:r>
      <w:r w:rsidRPr="00F22925">
        <w:t>.</w:t>
      </w:r>
      <w:r w:rsidRPr="00750617">
        <w:t xml:space="preserve"> Pour les déclarations par lesquelles l’Albanie, l’Allemagne, la Belgique, l’Espagne, l’Estonie, le Liechtenstein, le Luxembourg, les Pays-Bas, le Royaume-Uni de Grande-Bretagne et d’Irlande du Nord et la Suisse ont accepté l’application provisoire, voir ibid</w:t>
      </w:r>
      <w:r w:rsidRPr="00F22925">
        <w:t>.</w:t>
      </w:r>
      <w:r w:rsidRPr="00750617">
        <w:t>, p</w:t>
      </w:r>
      <w:r w:rsidRPr="00F22925">
        <w:t>.</w:t>
      </w:r>
      <w:r w:rsidRPr="00750617">
        <w:t> 30 à 37</w:t>
      </w:r>
      <w:r w:rsidRPr="00F22925">
        <w:t>.</w:t>
      </w:r>
    </w:p>
  </w:footnote>
  <w:footnote w:id="20">
    <w:p w14:paraId="058345D2" w14:textId="77777777" w:rsidR="0043175D" w:rsidRPr="00750617" w:rsidRDefault="0043175D" w:rsidP="0043175D">
      <w:pPr>
        <w:pStyle w:val="FootnoteText"/>
      </w:pPr>
      <w:r w:rsidRPr="00750617">
        <w:tab/>
      </w:r>
      <w:r w:rsidRPr="00750617">
        <w:rPr>
          <w:rStyle w:val="FootnoteReference"/>
        </w:rPr>
        <w:footnoteRef/>
      </w:r>
      <w:r w:rsidRPr="00750617">
        <w:tab/>
        <w:t>Voir, par exemple, l’article 23 du Traité sur le commerce des armes</w:t>
      </w:r>
      <w:r w:rsidRPr="00F22925">
        <w:t>.</w:t>
      </w:r>
      <w:r w:rsidRPr="00750617">
        <w:t xml:space="preserve"> Pour un exemple de consentement à être lié par l’application à titre provisoire d’un traité ou d’une partie d’un traité exprimé au moyen d’une déclaration, mais néanmoins expressément prévu par un accord parallèle au traité, voir le </w:t>
      </w:r>
      <w:r w:rsidRPr="00750617">
        <w:rPr>
          <w:iCs/>
        </w:rPr>
        <w:t xml:space="preserve">Protocole sur l’application provisoire de l’Accord relatif à une juridiction unifiée du brevet </w:t>
      </w:r>
      <w:r w:rsidRPr="00750617">
        <w:t>(Bruxelles, 1</w:t>
      </w:r>
      <w:r w:rsidRPr="00750617">
        <w:rPr>
          <w:vertAlign w:val="superscript"/>
        </w:rPr>
        <w:t>er</w:t>
      </w:r>
      <w:r w:rsidRPr="00750617">
        <w:t xml:space="preserve"> octobre 2015, disponible à l’adresse suivante : </w:t>
      </w:r>
      <w:hyperlink r:id="rId11" w:tgtFrame="_blank" w:history="1">
        <w:r w:rsidRPr="00750617">
          <w:rPr>
            <w:rStyle w:val="Hyperlink"/>
          </w:rPr>
          <w:t>https://www</w:t>
        </w:r>
        <w:r w:rsidRPr="00F22925">
          <w:rPr>
            <w:rStyle w:val="Hyperlink"/>
          </w:rPr>
          <w:t>.</w:t>
        </w:r>
        <w:r w:rsidRPr="00750617">
          <w:rPr>
            <w:rStyle w:val="Hyperlink"/>
          </w:rPr>
          <w:t>ris</w:t>
        </w:r>
        <w:r w:rsidRPr="00F22925">
          <w:rPr>
            <w:rStyle w:val="Hyperlink"/>
          </w:rPr>
          <w:t>.</w:t>
        </w:r>
        <w:r w:rsidRPr="00750617">
          <w:rPr>
            <w:rStyle w:val="Hyperlink"/>
          </w:rPr>
          <w:t>bka</w:t>
        </w:r>
        <w:r w:rsidRPr="00F22925">
          <w:rPr>
            <w:rStyle w:val="Hyperlink"/>
          </w:rPr>
          <w:t>.</w:t>
        </w:r>
        <w:r w:rsidRPr="00750617">
          <w:rPr>
            <w:rStyle w:val="Hyperlink"/>
          </w:rPr>
          <w:t>gv</w:t>
        </w:r>
        <w:r w:rsidRPr="00F22925">
          <w:rPr>
            <w:rStyle w:val="Hyperlink"/>
          </w:rPr>
          <w:t>.</w:t>
        </w:r>
        <w:r w:rsidRPr="00750617">
          <w:rPr>
            <w:rStyle w:val="Hyperlink"/>
          </w:rPr>
          <w:t>at/ Dokumente/RegV/REGV_COO_2026_100_2_1876101/COO_2026_100_2_1879091</w:t>
        </w:r>
        <w:r w:rsidRPr="00F22925">
          <w:rPr>
            <w:rStyle w:val="Hyperlink"/>
          </w:rPr>
          <w:t>.</w:t>
        </w:r>
        <w:r w:rsidRPr="00750617">
          <w:rPr>
            <w:rStyle w:val="Hyperlink"/>
          </w:rPr>
          <w:t>pdf</w:t>
        </w:r>
      </w:hyperlink>
      <w:r w:rsidRPr="00750617">
        <w:t>)</w:t>
      </w:r>
      <w:r w:rsidRPr="00F22925">
        <w:t>.</w:t>
      </w:r>
      <w:r>
        <w:t xml:space="preserve"> </w:t>
      </w:r>
      <w:r>
        <w:rPr>
          <w:lang w:val="fr-FR"/>
        </w:rPr>
        <w:t xml:space="preserve">Voir aussi le paragraphe 2 de l’article 37 du Protocole d’amendement à la Convention pour la protection des personnes à l'égard du traitement automatisé des données à caractère personnel, (Strasbourg, 10 octobre 2018, Conseil de l’Europe, </w:t>
      </w:r>
      <w:r>
        <w:rPr>
          <w:i/>
          <w:iCs/>
          <w:lang w:val="fr-FR"/>
        </w:rPr>
        <w:t>Série des Traités</w:t>
      </w:r>
      <w:r>
        <w:rPr>
          <w:lang w:val="fr-FR"/>
        </w:rPr>
        <w:t>, n</w:t>
      </w:r>
      <w:r>
        <w:rPr>
          <w:vertAlign w:val="superscript"/>
          <w:lang w:val="fr-FR"/>
        </w:rPr>
        <w:t>o </w:t>
      </w:r>
      <w:r>
        <w:rPr>
          <w:lang w:val="fr-FR"/>
        </w:rPr>
        <w:t>223).</w:t>
      </w:r>
    </w:p>
  </w:footnote>
  <w:footnote w:id="21">
    <w:p w14:paraId="181A2E15" w14:textId="77777777" w:rsidR="0043175D" w:rsidRPr="00750617" w:rsidRDefault="0043175D" w:rsidP="0043175D">
      <w:pPr>
        <w:pStyle w:val="FootnoteText"/>
      </w:pPr>
      <w:r w:rsidRPr="00750617">
        <w:tab/>
      </w:r>
      <w:r w:rsidRPr="00750617">
        <w:rPr>
          <w:rStyle w:val="FootnoteReference"/>
        </w:rPr>
        <w:footnoteRef/>
      </w:r>
      <w:r w:rsidRPr="00750617">
        <w:tab/>
        <w:t>Parmi les exemples de traités bilatéraux relatifs à l’application à titre provisoire qui sont distincts du traité appliqué provisoirement, on peut citer l’Accord relatif à la fiscalité des revenus de l’épargne et à son application provisoire entre les Pays-Bas et l’Allemagne (ibid</w:t>
      </w:r>
      <w:r w:rsidRPr="00F22925">
        <w:t>.</w:t>
      </w:r>
      <w:r w:rsidRPr="00750617">
        <w:t>, vol</w:t>
      </w:r>
      <w:r w:rsidRPr="00F22925">
        <w:t>.</w:t>
      </w:r>
      <w:r w:rsidRPr="00750617">
        <w:t xml:space="preserve"> 2821, </w:t>
      </w:r>
      <w:r w:rsidRPr="00750617">
        <w:rPr>
          <w:rFonts w:eastAsia="MS Mincho"/>
        </w:rPr>
        <w:t>n</w:t>
      </w:r>
      <w:r w:rsidRPr="00750617">
        <w:rPr>
          <w:rFonts w:eastAsia="MS Mincho"/>
          <w:vertAlign w:val="superscript"/>
        </w:rPr>
        <w:t>o</w:t>
      </w:r>
      <w:r w:rsidRPr="00750617">
        <w:t> 49430, p</w:t>
      </w:r>
      <w:r w:rsidRPr="00F22925">
        <w:t>.</w:t>
      </w:r>
      <w:r w:rsidRPr="00750617">
        <w:t xml:space="preserve"> 3) et l’Amendement à l’Accord relatif aux services aériens entre le Royaume des Pays-Bas et l’État du Qatar (</w:t>
      </w:r>
      <w:r w:rsidRPr="00750617">
        <w:rPr>
          <w:iCs/>
        </w:rPr>
        <w:t>ibid</w:t>
      </w:r>
      <w:r w:rsidRPr="00F22925">
        <w:t>.</w:t>
      </w:r>
      <w:r w:rsidRPr="00750617">
        <w:t>, vol</w:t>
      </w:r>
      <w:r w:rsidRPr="00F22925">
        <w:t>.</w:t>
      </w:r>
      <w:r w:rsidRPr="00750617">
        <w:t xml:space="preserve"> 2265, </w:t>
      </w:r>
      <w:r w:rsidRPr="00750617">
        <w:rPr>
          <w:rFonts w:eastAsia="MS Mincho"/>
        </w:rPr>
        <w:t>n</w:t>
      </w:r>
      <w:r w:rsidRPr="00750617">
        <w:rPr>
          <w:rFonts w:eastAsia="MS Mincho"/>
          <w:vertAlign w:val="superscript"/>
        </w:rPr>
        <w:t>o</w:t>
      </w:r>
      <w:r w:rsidRPr="00750617">
        <w:t> 40360, p</w:t>
      </w:r>
      <w:r w:rsidRPr="00F22925">
        <w:t>.</w:t>
      </w:r>
      <w:r w:rsidRPr="00750617">
        <w:t> 507, à la page 515)</w:t>
      </w:r>
      <w:r w:rsidRPr="00F22925">
        <w:t>.</w:t>
      </w:r>
      <w:r w:rsidRPr="00750617">
        <w:t xml:space="preserve"> Les Pays-Bas ont conclu un certain nombre de traités de ce type</w:t>
      </w:r>
      <w:r w:rsidRPr="00F22925">
        <w:t>.</w:t>
      </w:r>
      <w:r w:rsidRPr="00750617">
        <w:t xml:space="preserve"> Parmi les exemples de traités multilatéraux relatifs à l’application à titre provisoire qui sont distincts du traité appliqué provisoirement, on peut citer le Protocole d’application provisoire de l’Accord portant création du Centre de la Communauté des Caraïbes sur les changements climatiques (ibid</w:t>
      </w:r>
      <w:r w:rsidRPr="00F22925">
        <w:t>.</w:t>
      </w:r>
      <w:r w:rsidRPr="00750617">
        <w:t>, vol</w:t>
      </w:r>
      <w:r w:rsidRPr="00F22925">
        <w:t>.</w:t>
      </w:r>
      <w:r w:rsidRPr="00750617">
        <w:t xml:space="preserve"> 2953, </w:t>
      </w:r>
      <w:r w:rsidRPr="00750617">
        <w:rPr>
          <w:rFonts w:eastAsia="MS Mincho"/>
        </w:rPr>
        <w:t>n</w:t>
      </w:r>
      <w:r w:rsidRPr="00750617">
        <w:rPr>
          <w:rFonts w:eastAsia="MS Mincho"/>
          <w:vertAlign w:val="superscript"/>
        </w:rPr>
        <w:t>o</w:t>
      </w:r>
      <w:r w:rsidRPr="00750617">
        <w:t> 51181, p</w:t>
      </w:r>
      <w:r w:rsidRPr="00F22925">
        <w:t>.</w:t>
      </w:r>
      <w:r w:rsidRPr="00750617">
        <w:t xml:space="preserve"> 181), le Protocole d’application provisoire du Traité révisé de </w:t>
      </w:r>
      <w:proofErr w:type="spellStart"/>
      <w:r w:rsidRPr="00750617">
        <w:t>Chaguaramas</w:t>
      </w:r>
      <w:proofErr w:type="spellEnd"/>
      <w:r w:rsidRPr="00750617">
        <w:t xml:space="preserve"> et l’Accord de Madrid (Accord sur l’application provisoire de certaines dispositions du Protocole </w:t>
      </w:r>
      <w:r w:rsidRPr="00750617">
        <w:rPr>
          <w:rFonts w:eastAsia="MS Mincho"/>
        </w:rPr>
        <w:t>n</w:t>
      </w:r>
      <w:r w:rsidRPr="00750617">
        <w:rPr>
          <w:rFonts w:eastAsia="MS Mincho"/>
          <w:vertAlign w:val="superscript"/>
        </w:rPr>
        <w:t>o</w:t>
      </w:r>
      <w:r w:rsidRPr="00750617">
        <w:t> 14 [à la Convention européenne des droits de l’homme] dans l’attente de son entrée en vigueur)</w:t>
      </w:r>
      <w:r w:rsidRPr="00F22925">
        <w:t>.</w:t>
      </w:r>
    </w:p>
  </w:footnote>
  <w:footnote w:id="22">
    <w:p w14:paraId="3F669639" w14:textId="77777777" w:rsidR="0043175D" w:rsidRPr="00750617" w:rsidRDefault="0043175D" w:rsidP="0043175D">
      <w:pPr>
        <w:pStyle w:val="FootnoteText"/>
      </w:pPr>
      <w:r w:rsidRPr="00750617">
        <w:tab/>
      </w:r>
      <w:r w:rsidRPr="00750617">
        <w:rPr>
          <w:rStyle w:val="FootnoteReference"/>
        </w:rPr>
        <w:footnoteRef/>
      </w:r>
      <w:r w:rsidRPr="00750617">
        <w:tab/>
        <w:t>Voir le paragraphe 2 du commentaire de l’article 22 du projet d’articles sur le droit des traités (note </w:t>
      </w:r>
      <w:r w:rsidRPr="00750617">
        <w:fldChar w:fldCharType="begin"/>
      </w:r>
      <w:r w:rsidRPr="00750617">
        <w:instrText xml:space="preserve"> NOTEREF _Ref76973086 \h  \* MERGEFORMAT </w:instrText>
      </w:r>
      <w:r w:rsidRPr="00750617">
        <w:fldChar w:fldCharType="separate"/>
      </w:r>
      <w:r>
        <w:t>265</w:t>
      </w:r>
      <w:r w:rsidRPr="00750617">
        <w:fldChar w:fldCharType="end"/>
      </w:r>
      <w:r w:rsidRPr="00750617">
        <w:t xml:space="preserve"> </w:t>
      </w:r>
      <w:r w:rsidRPr="00750617">
        <w:rPr>
          <w:i/>
          <w:iCs/>
        </w:rPr>
        <w:t>supra</w:t>
      </w:r>
      <w:r w:rsidRPr="00750617">
        <w:t>), p</w:t>
      </w:r>
      <w:r w:rsidRPr="00F22925">
        <w:t>.</w:t>
      </w:r>
      <w:r w:rsidRPr="00750617">
        <w:t xml:space="preserve"> 210 ; O</w:t>
      </w:r>
      <w:r w:rsidRPr="00F22925">
        <w:t>.</w:t>
      </w:r>
      <w:r w:rsidRPr="00750617">
        <w:t xml:space="preserve"> </w:t>
      </w:r>
      <w:proofErr w:type="spellStart"/>
      <w:r w:rsidRPr="00750617">
        <w:t>Dӧrr</w:t>
      </w:r>
      <w:proofErr w:type="spellEnd"/>
      <w:r w:rsidRPr="00750617">
        <w:t xml:space="preserve"> et K</w:t>
      </w:r>
      <w:r w:rsidRPr="00F22925">
        <w:t>.</w:t>
      </w:r>
      <w:r w:rsidRPr="00750617">
        <w:t xml:space="preserve"> </w:t>
      </w:r>
      <w:proofErr w:type="spellStart"/>
      <w:r w:rsidRPr="00750617">
        <w:t>Schmalenbach</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r w:rsidRPr="00750617">
        <w:rPr>
          <w:i/>
          <w:iCs/>
        </w:rPr>
        <w:t xml:space="preserve">Vienna Convention on the Law of </w:t>
      </w:r>
      <w:proofErr w:type="spellStart"/>
      <w:r w:rsidRPr="00750617">
        <w:rPr>
          <w:i/>
          <w:iCs/>
        </w:rPr>
        <w:t>Treaties</w:t>
      </w:r>
      <w:proofErr w:type="spellEnd"/>
      <w:r w:rsidRPr="00F22925">
        <w:rPr>
          <w:i/>
          <w:iCs/>
        </w:rPr>
        <w:t>.</w:t>
      </w:r>
      <w:r w:rsidRPr="00750617">
        <w:rPr>
          <w:i/>
          <w:iCs/>
        </w:rPr>
        <w:t xml:space="preserve"> A </w:t>
      </w:r>
      <w:proofErr w:type="spellStart"/>
      <w:r w:rsidRPr="00750617">
        <w:rPr>
          <w:i/>
          <w:iCs/>
        </w:rPr>
        <w:t>Commentary</w:t>
      </w:r>
      <w:proofErr w:type="spellEnd"/>
      <w:r w:rsidRPr="00750617">
        <w:t>, 2</w:t>
      </w:r>
      <w:r w:rsidRPr="00750617">
        <w:rPr>
          <w:vertAlign w:val="superscript"/>
        </w:rPr>
        <w:t>e</w:t>
      </w:r>
      <w:r w:rsidRPr="00750617">
        <w:t xml:space="preserve"> éd</w:t>
      </w:r>
      <w:r w:rsidRPr="00F22925">
        <w:t>.</w:t>
      </w:r>
      <w:r w:rsidRPr="00750617">
        <w:t xml:space="preserve"> (Berlin, Springer, 2018), p</w:t>
      </w:r>
      <w:r w:rsidRPr="00F22925">
        <w:t>.</w:t>
      </w:r>
      <w:r w:rsidRPr="00750617">
        <w:t xml:space="preserve"> 449 et 450 ; </w:t>
      </w:r>
      <w:proofErr w:type="spellStart"/>
      <w:r w:rsidRPr="00750617">
        <w:t>Mathy</w:t>
      </w:r>
      <w:proofErr w:type="spellEnd"/>
      <w:r w:rsidRPr="00750617">
        <w:t>, « Article 25 » (note </w:t>
      </w:r>
      <w:r w:rsidRPr="00750617">
        <w:fldChar w:fldCharType="begin"/>
      </w:r>
      <w:r w:rsidRPr="00750617">
        <w:instrText xml:space="preserve"> NOTEREF _Ref76972961 \h  \* MERGEFORMAT </w:instrText>
      </w:r>
      <w:r w:rsidRPr="00750617">
        <w:fldChar w:fldCharType="separate"/>
      </w:r>
      <w:r>
        <w:t>254</w:t>
      </w:r>
      <w:r w:rsidRPr="00750617">
        <w:fldChar w:fldCharType="end"/>
      </w:r>
      <w:r w:rsidRPr="00750617">
        <w:t> </w:t>
      </w:r>
      <w:r w:rsidRPr="00750617">
        <w:rPr>
          <w:i/>
          <w:iCs/>
        </w:rPr>
        <w:t>supra</w:t>
      </w:r>
      <w:r w:rsidRPr="00750617">
        <w:t>), p</w:t>
      </w:r>
      <w:r w:rsidRPr="00F22925">
        <w:t>.</w:t>
      </w:r>
      <w:r w:rsidRPr="00750617">
        <w:t> 649 à 651</w:t>
      </w:r>
      <w:r w:rsidRPr="00F22925">
        <w:t>.</w:t>
      </w:r>
    </w:p>
  </w:footnote>
  <w:footnote w:id="23">
    <w:p w14:paraId="5D9DE431" w14:textId="77777777" w:rsidR="0043175D" w:rsidRPr="00750617" w:rsidRDefault="0043175D" w:rsidP="0043175D">
      <w:pPr>
        <w:pStyle w:val="FootnoteText"/>
        <w:rPr>
          <w:bCs/>
        </w:rPr>
      </w:pPr>
      <w:r w:rsidRPr="00750617">
        <w:tab/>
      </w:r>
      <w:r w:rsidRPr="00750617">
        <w:rPr>
          <w:rStyle w:val="FootnoteReference"/>
        </w:rPr>
        <w:footnoteRef/>
      </w:r>
      <w:r w:rsidRPr="00750617">
        <w:tab/>
        <w:t>Dans la pratique, certains traités ont été enregistrés auprès de l’Organisation des Nations Unies comme ayant été appliqués à titre provisoire, mais aucune indication n’a été fournie quant aux moyens ou arrangements employés pour convenir de l’application provisoire</w:t>
      </w:r>
      <w:r w:rsidRPr="00F22925">
        <w:t>.</w:t>
      </w:r>
      <w:r w:rsidRPr="00750617">
        <w:t xml:space="preserve"> Entre autres exemples, on peut citer : l’Accord entre le Royaume des Pays-Bas et les États-Unis d’Amérique relatif au statut du personnel des États-Unis dans la partie caribéenne du Royaume (ibid</w:t>
      </w:r>
      <w:r w:rsidRPr="00F22925">
        <w:t>.</w:t>
      </w:r>
      <w:r w:rsidRPr="00750617">
        <w:t>, vol</w:t>
      </w:r>
      <w:r w:rsidRPr="00F22925">
        <w:t>.</w:t>
      </w:r>
      <w:r w:rsidRPr="00750617">
        <w:t xml:space="preserve"> 2967, </w:t>
      </w:r>
      <w:r w:rsidRPr="00750617">
        <w:rPr>
          <w:rFonts w:eastAsia="MS Mincho"/>
        </w:rPr>
        <w:t>n</w:t>
      </w:r>
      <w:r w:rsidRPr="00750617">
        <w:rPr>
          <w:rFonts w:eastAsia="MS Mincho"/>
          <w:vertAlign w:val="superscript"/>
        </w:rPr>
        <w:t>o</w:t>
      </w:r>
      <w:r w:rsidRPr="00750617">
        <w:t> 51578, p</w:t>
      </w:r>
      <w:r w:rsidRPr="00F22925">
        <w:t>.</w:t>
      </w:r>
      <w:r w:rsidRPr="00750617">
        <w:t xml:space="preserve"> 79) ; l’Accord de coopération entre le Gouvernement de la République de Lettonie et le Gouvernement de la République azerbaïdjanaise en vue de combattre le terrorisme, le trafic illicite de stupéfiants, de substances psychotropes et ses précurseurs et le crime organisé (ibid</w:t>
      </w:r>
      <w:r w:rsidRPr="00F22925">
        <w:t>.</w:t>
      </w:r>
      <w:r w:rsidRPr="00750617">
        <w:t>, vol</w:t>
      </w:r>
      <w:r w:rsidRPr="00F22925">
        <w:t>.</w:t>
      </w:r>
      <w:r w:rsidRPr="00750617">
        <w:t xml:space="preserve"> 2461, </w:t>
      </w:r>
      <w:r w:rsidRPr="00750617">
        <w:rPr>
          <w:rFonts w:eastAsia="MS Mincho"/>
        </w:rPr>
        <w:t>n</w:t>
      </w:r>
      <w:r w:rsidRPr="00750617">
        <w:rPr>
          <w:rFonts w:eastAsia="MS Mincho"/>
          <w:vertAlign w:val="superscript"/>
        </w:rPr>
        <w:t>o</w:t>
      </w:r>
      <w:r w:rsidRPr="00750617">
        <w:t> 44230, p</w:t>
      </w:r>
      <w:r w:rsidRPr="00F22925">
        <w:t>.</w:t>
      </w:r>
      <w:r w:rsidRPr="00750617">
        <w:t xml:space="preserve"> 205) ; l’Accord entre l’Organisation des Nations Unies et le Gouvernement de la République du Kazakhstan relatif à la création du Bureau </w:t>
      </w:r>
      <w:proofErr w:type="spellStart"/>
      <w:r w:rsidRPr="00750617">
        <w:t>sous-régional</w:t>
      </w:r>
      <w:proofErr w:type="spellEnd"/>
      <w:r w:rsidRPr="00750617">
        <w:t xml:space="preserve"> pour l’Asie du Nord et l’Asie centrale de la Commission économique et sociale pour l’Asie et le Pacifique des Nations Unies (ibid</w:t>
      </w:r>
      <w:r w:rsidRPr="00F22925">
        <w:t>.</w:t>
      </w:r>
      <w:r w:rsidRPr="00750617">
        <w:t>, vol</w:t>
      </w:r>
      <w:r w:rsidRPr="00F22925">
        <w:t>.</w:t>
      </w:r>
      <w:r w:rsidRPr="00750617">
        <w:t xml:space="preserve"> 2761, </w:t>
      </w:r>
      <w:r w:rsidRPr="00750617">
        <w:rPr>
          <w:rFonts w:eastAsia="MS Mincho"/>
        </w:rPr>
        <w:t>n</w:t>
      </w:r>
      <w:r w:rsidRPr="00750617">
        <w:rPr>
          <w:rFonts w:eastAsia="MS Mincho"/>
          <w:vertAlign w:val="superscript"/>
        </w:rPr>
        <w:t>o</w:t>
      </w:r>
      <w:r w:rsidRPr="00750617">
        <w:t> 48688, p</w:t>
      </w:r>
      <w:r w:rsidRPr="00F22925">
        <w:t>.</w:t>
      </w:r>
      <w:r w:rsidRPr="00750617">
        <w:t> 352)</w:t>
      </w:r>
      <w:r w:rsidRPr="00F22925">
        <w:t>.</w:t>
      </w:r>
      <w:r w:rsidRPr="00750617">
        <w:t xml:space="preserve"> </w:t>
      </w:r>
      <w:proofErr w:type="spellStart"/>
      <w:r w:rsidRPr="000D3559">
        <w:rPr>
          <w:lang w:val="en-US"/>
        </w:rPr>
        <w:t>Voir</w:t>
      </w:r>
      <w:proofErr w:type="spellEnd"/>
      <w:r w:rsidRPr="000D3559">
        <w:rPr>
          <w:lang w:val="en-US"/>
        </w:rPr>
        <w:t xml:space="preserve"> </w:t>
      </w:r>
      <w:r w:rsidRPr="000D3559">
        <w:rPr>
          <w:bCs/>
          <w:lang w:val="en-US"/>
        </w:rPr>
        <w:t>R. </w:t>
      </w:r>
      <w:proofErr w:type="spellStart"/>
      <w:r w:rsidRPr="000D3559">
        <w:rPr>
          <w:bCs/>
          <w:lang w:val="en-US"/>
        </w:rPr>
        <w:t>Lefeber</w:t>
      </w:r>
      <w:proofErr w:type="spellEnd"/>
      <w:r w:rsidRPr="000D3559">
        <w:rPr>
          <w:bCs/>
          <w:lang w:val="en-US"/>
        </w:rPr>
        <w:t>, « The provisional application of treaties »,</w:t>
      </w:r>
      <w:r w:rsidRPr="000D3559">
        <w:rPr>
          <w:bCs/>
          <w:i/>
          <w:lang w:val="en-US"/>
        </w:rPr>
        <w:t xml:space="preserve"> </w:t>
      </w:r>
      <w:r w:rsidRPr="000D3559">
        <w:rPr>
          <w:lang w:val="en-US"/>
        </w:rPr>
        <w:t xml:space="preserve">dans </w:t>
      </w:r>
      <w:r w:rsidRPr="000D3559">
        <w:rPr>
          <w:i/>
          <w:lang w:val="en-US"/>
        </w:rPr>
        <w:t xml:space="preserve">Essays on the Law of Treaties: A Collection of Essays in </w:t>
      </w:r>
      <w:proofErr w:type="spellStart"/>
      <w:r w:rsidRPr="000D3559">
        <w:rPr>
          <w:i/>
          <w:lang w:val="en-US"/>
        </w:rPr>
        <w:t>Honour</w:t>
      </w:r>
      <w:proofErr w:type="spellEnd"/>
      <w:r w:rsidRPr="000D3559">
        <w:rPr>
          <w:i/>
          <w:lang w:val="en-US"/>
        </w:rPr>
        <w:t xml:space="preserve"> of Bert </w:t>
      </w:r>
      <w:proofErr w:type="spellStart"/>
      <w:r w:rsidRPr="000D3559">
        <w:rPr>
          <w:i/>
          <w:lang w:val="en-US"/>
        </w:rPr>
        <w:t>Vierdag</w:t>
      </w:r>
      <w:proofErr w:type="spellEnd"/>
      <w:r w:rsidRPr="000D3559">
        <w:rPr>
          <w:lang w:val="en-US"/>
        </w:rPr>
        <w:t>, J. </w:t>
      </w:r>
      <w:proofErr w:type="spellStart"/>
      <w:r w:rsidRPr="000D3559">
        <w:rPr>
          <w:lang w:val="en-US"/>
        </w:rPr>
        <w:t>Klabbers</w:t>
      </w:r>
      <w:proofErr w:type="spellEnd"/>
      <w:r w:rsidRPr="000D3559">
        <w:rPr>
          <w:lang w:val="en-US"/>
        </w:rPr>
        <w:t xml:space="preserve"> et R. </w:t>
      </w:r>
      <w:proofErr w:type="spellStart"/>
      <w:r w:rsidRPr="000D3559">
        <w:rPr>
          <w:lang w:val="en-US"/>
        </w:rPr>
        <w:t>Lefeber</w:t>
      </w:r>
      <w:proofErr w:type="spellEnd"/>
      <w:r w:rsidRPr="000D3559">
        <w:rPr>
          <w:lang w:val="en-US"/>
        </w:rPr>
        <w:t xml:space="preserve"> (dir. publ.) </w:t>
      </w:r>
      <w:r w:rsidRPr="00750617">
        <w:t xml:space="preserve">(La Haye, </w:t>
      </w:r>
      <w:proofErr w:type="spellStart"/>
      <w:r w:rsidRPr="00750617">
        <w:t>Martinus</w:t>
      </w:r>
      <w:proofErr w:type="spellEnd"/>
      <w:r w:rsidRPr="00750617">
        <w:t xml:space="preserve"> </w:t>
      </w:r>
      <w:proofErr w:type="spellStart"/>
      <w:r w:rsidRPr="00750617">
        <w:t>Nijhoff</w:t>
      </w:r>
      <w:proofErr w:type="spellEnd"/>
      <w:r w:rsidRPr="00750617">
        <w:t>, 1998), p</w:t>
      </w:r>
      <w:r w:rsidRPr="00F22925">
        <w:t>.</w:t>
      </w:r>
      <w:r w:rsidRPr="00750617">
        <w:t> 81</w:t>
      </w:r>
      <w:r w:rsidRPr="00F22925">
        <w:t>.</w:t>
      </w:r>
    </w:p>
  </w:footnote>
  <w:footnote w:id="24">
    <w:p w14:paraId="0D4823B1" w14:textId="77777777" w:rsidR="0043175D" w:rsidRPr="00750617" w:rsidRDefault="0043175D" w:rsidP="0043175D">
      <w:pPr>
        <w:pStyle w:val="FootnoteText"/>
      </w:pPr>
      <w:r w:rsidRPr="00750617">
        <w:tab/>
      </w:r>
      <w:r w:rsidRPr="00750617">
        <w:rPr>
          <w:rStyle w:val="FootnoteReference"/>
        </w:rPr>
        <w:footnoteRef/>
      </w:r>
      <w:r w:rsidRPr="00750617">
        <w:tab/>
      </w:r>
      <w:r w:rsidRPr="00750617">
        <w:rPr>
          <w:i/>
        </w:rPr>
        <w:t>Annuaire … 2011</w:t>
      </w:r>
      <w:r w:rsidRPr="00750617">
        <w:t>, vol</w:t>
      </w:r>
      <w:r w:rsidRPr="00F22925">
        <w:t>.</w:t>
      </w:r>
      <w:r w:rsidRPr="00750617">
        <w:t xml:space="preserve"> II (2</w:t>
      </w:r>
      <w:r w:rsidRPr="00750617">
        <w:rPr>
          <w:vertAlign w:val="superscript"/>
        </w:rPr>
        <w:t>e</w:t>
      </w:r>
      <w:r w:rsidRPr="00750617">
        <w:t xml:space="preserve"> partie), par</w:t>
      </w:r>
      <w:r w:rsidRPr="00F22925">
        <w:t>.</w:t>
      </w:r>
      <w:r w:rsidRPr="00750617">
        <w:t xml:space="preserve"> 87 et 88, ultérieurement annexé à la résolution </w:t>
      </w:r>
      <w:hyperlink r:id="rId12" w:history="1">
        <w:r w:rsidRPr="00750617">
          <w:rPr>
            <w:rStyle w:val="Hyperlink"/>
          </w:rPr>
          <w:t>66/100</w:t>
        </w:r>
      </w:hyperlink>
      <w:r w:rsidRPr="00750617">
        <w:t xml:space="preserve"> de l’Assemblée générale en date du 9 décembre 2011</w:t>
      </w:r>
      <w:r w:rsidRPr="00F22925">
        <w:t>.</w:t>
      </w:r>
      <w:r w:rsidRPr="00750617">
        <w:t xml:space="preserve"> </w:t>
      </w:r>
    </w:p>
  </w:footnote>
  <w:footnote w:id="25">
    <w:p w14:paraId="238DE264" w14:textId="77777777" w:rsidR="0043175D" w:rsidRPr="00750617" w:rsidRDefault="0043175D" w:rsidP="0043175D">
      <w:pPr>
        <w:pStyle w:val="FootnoteText"/>
      </w:pPr>
      <w:r w:rsidRPr="00750617">
        <w:tab/>
      </w:r>
      <w:r w:rsidRPr="00750617">
        <w:rPr>
          <w:rStyle w:val="FootnoteReference"/>
        </w:rPr>
        <w:footnoteRef/>
      </w:r>
      <w:r w:rsidRPr="00750617">
        <w:tab/>
        <w:t>On peut citer en exemple la déclaration de la République arabe syrienne, de la Convention sur l’interdiction de la mise au point, de la fabrication, du stockage et de l’emploi des armes chimiques et sur leur destruction (Nations Unies,</w:t>
      </w:r>
      <w:r w:rsidRPr="00750617">
        <w:rPr>
          <w:i/>
          <w:iCs/>
        </w:rPr>
        <w:t xml:space="preserve"> Recueil des Traités</w:t>
      </w:r>
      <w:r w:rsidRPr="00750617">
        <w:rPr>
          <w:iCs/>
        </w:rPr>
        <w:t>, vol</w:t>
      </w:r>
      <w:r w:rsidRPr="00F22925">
        <w:rPr>
          <w:iCs/>
        </w:rPr>
        <w:t>.</w:t>
      </w:r>
      <w:r w:rsidRPr="00750617">
        <w:rPr>
          <w:iCs/>
        </w:rPr>
        <w:t> 1974, n</w:t>
      </w:r>
      <w:r w:rsidRPr="00750617">
        <w:rPr>
          <w:iCs/>
          <w:vertAlign w:val="superscript"/>
        </w:rPr>
        <w:t>o</w:t>
      </w:r>
      <w:r w:rsidRPr="00750617">
        <w:rPr>
          <w:iCs/>
        </w:rPr>
        <w:t> 33757)</w:t>
      </w:r>
      <w:r w:rsidRPr="00F22925">
        <w:rPr>
          <w:iCs/>
        </w:rPr>
        <w:t>.</w:t>
      </w:r>
      <w:r w:rsidRPr="00750617">
        <w:rPr>
          <w:iCs/>
        </w:rPr>
        <w:t xml:space="preserve"> Quand la République arabe syrienne a déclaré unilatéralement qu’elle appliquerait la Convention à titre provisoire, le Directeur général de l’Organisation pour l’interdiction des armes chimiques lui a répondu que sa « demande » d’application provisoire serait communiquée aux États parties</w:t>
      </w:r>
      <w:r w:rsidRPr="00750617">
        <w:rPr>
          <w:color w:val="800080"/>
          <w:sz w:val="20"/>
        </w:rPr>
        <w:t xml:space="preserve"> </w:t>
      </w:r>
      <w:r w:rsidRPr="00750617">
        <w:rPr>
          <w:iCs/>
        </w:rPr>
        <w:t>par l’entremise du Dépositaire</w:t>
      </w:r>
      <w:r w:rsidRPr="00F22925">
        <w:rPr>
          <w:iCs/>
        </w:rPr>
        <w:t>.</w:t>
      </w:r>
      <w:r w:rsidRPr="00750617">
        <w:rPr>
          <w:iCs/>
        </w:rPr>
        <w:t xml:space="preserve"> La Convention ne prévoit pas l’application provisoire, et celle-ci n’a pas été envisagée lors des négociations</w:t>
      </w:r>
      <w:r w:rsidRPr="00F22925">
        <w:rPr>
          <w:iCs/>
        </w:rPr>
        <w:t>.</w:t>
      </w:r>
      <w:r w:rsidRPr="00750617">
        <w:rPr>
          <w:iCs/>
        </w:rPr>
        <w:t xml:space="preserve"> Ni les États parties ni l’organisation ne se sont opposés à ce que la République arabe syrienne donne suite à sa déclaration unilatérale (voir le deuxième rapport du Rapporteur spécial (</w:t>
      </w:r>
      <w:hyperlink r:id="rId13" w:history="1">
        <w:r w:rsidRPr="00750617">
          <w:rPr>
            <w:rStyle w:val="Hyperlink"/>
            <w:iCs/>
            <w:szCs w:val="18"/>
          </w:rPr>
          <w:t>A/CN</w:t>
        </w:r>
        <w:r w:rsidRPr="00F22925">
          <w:rPr>
            <w:rStyle w:val="Hyperlink"/>
            <w:iCs/>
            <w:szCs w:val="18"/>
          </w:rPr>
          <w:t>.</w:t>
        </w:r>
        <w:r w:rsidRPr="00750617">
          <w:rPr>
            <w:rStyle w:val="Hyperlink"/>
            <w:iCs/>
            <w:szCs w:val="18"/>
          </w:rPr>
          <w:t>4/675</w:t>
        </w:r>
      </w:hyperlink>
      <w:r w:rsidRPr="00750617">
        <w:rPr>
          <w:iCs/>
        </w:rPr>
        <w:t>), par</w:t>
      </w:r>
      <w:r w:rsidRPr="00F22925">
        <w:rPr>
          <w:iCs/>
        </w:rPr>
        <w:t>.</w:t>
      </w:r>
      <w:r w:rsidRPr="00750617">
        <w:rPr>
          <w:iCs/>
        </w:rPr>
        <w:t xml:space="preserve"> 35 c), et le troisième rapport du Rapporteur spécial </w:t>
      </w:r>
      <w:r w:rsidRPr="00750617">
        <w:rPr>
          <w:iCs/>
          <w:szCs w:val="18"/>
        </w:rPr>
        <w:t>(</w:t>
      </w:r>
      <w:hyperlink r:id="rId14" w:history="1">
        <w:r w:rsidRPr="00750617">
          <w:rPr>
            <w:rStyle w:val="Hyperlink"/>
            <w:iCs/>
            <w:szCs w:val="18"/>
          </w:rPr>
          <w:t>A/CN</w:t>
        </w:r>
        <w:r w:rsidRPr="00F22925">
          <w:rPr>
            <w:rStyle w:val="Hyperlink"/>
            <w:iCs/>
            <w:szCs w:val="18"/>
          </w:rPr>
          <w:t>.</w:t>
        </w:r>
        <w:r w:rsidRPr="00750617">
          <w:rPr>
            <w:rStyle w:val="Hyperlink"/>
            <w:iCs/>
            <w:szCs w:val="18"/>
          </w:rPr>
          <w:t>4/687</w:t>
        </w:r>
      </w:hyperlink>
      <w:r w:rsidRPr="00750617">
        <w:rPr>
          <w:iCs/>
        </w:rPr>
        <w:t>, par</w:t>
      </w:r>
      <w:r w:rsidRPr="00F22925">
        <w:rPr>
          <w:iCs/>
        </w:rPr>
        <w:t>.</w:t>
      </w:r>
      <w:r w:rsidRPr="00750617">
        <w:rPr>
          <w:iCs/>
        </w:rPr>
        <w:t> 120)</w:t>
      </w:r>
      <w:r w:rsidRPr="00F22925">
        <w:rPr>
          <w:iCs/>
        </w:rPr>
        <w:t>.</w:t>
      </w:r>
      <w:r w:rsidRPr="00750617">
        <w:rPr>
          <w:iCs/>
        </w:rPr>
        <w:t xml:space="preserve"> </w:t>
      </w:r>
    </w:p>
  </w:footnote>
  <w:footnote w:id="26">
    <w:p w14:paraId="1532ECCC" w14:textId="77777777" w:rsidR="0043175D" w:rsidRPr="00750617" w:rsidRDefault="0043175D" w:rsidP="0043175D">
      <w:pPr>
        <w:pStyle w:val="FootnoteText"/>
      </w:pPr>
      <w:r w:rsidRPr="00750617">
        <w:tab/>
      </w:r>
      <w:r w:rsidRPr="00750617">
        <w:rPr>
          <w:rStyle w:val="FootnoteReference"/>
        </w:rPr>
        <w:footnoteRef/>
      </w:r>
      <w:r w:rsidRPr="00750617">
        <w:tab/>
      </w:r>
      <w:r w:rsidRPr="00750617">
        <w:rPr>
          <w:i/>
        </w:rPr>
        <w:t>Annuaire … 2006</w:t>
      </w:r>
      <w:r w:rsidRPr="00750617">
        <w:t>, vol</w:t>
      </w:r>
      <w:r w:rsidRPr="00F22925">
        <w:t>.</w:t>
      </w:r>
      <w:r w:rsidRPr="00750617">
        <w:t xml:space="preserve"> II (2</w:t>
      </w:r>
      <w:r w:rsidRPr="00750617">
        <w:rPr>
          <w:vertAlign w:val="superscript"/>
        </w:rPr>
        <w:t>e</w:t>
      </w:r>
      <w:r w:rsidRPr="00750617">
        <w:t xml:space="preserve"> partie), par</w:t>
      </w:r>
      <w:r w:rsidRPr="00F22925">
        <w:t>.</w:t>
      </w:r>
      <w:r w:rsidRPr="00750617">
        <w:t xml:space="preserve"> 173 à 177</w:t>
      </w:r>
      <w:r w:rsidRPr="00F22925">
        <w:t>.</w:t>
      </w:r>
    </w:p>
  </w:footnote>
  <w:footnote w:id="27">
    <w:p w14:paraId="5DB3191C" w14:textId="77777777" w:rsidR="0043175D" w:rsidRPr="00750617" w:rsidRDefault="0043175D" w:rsidP="0043175D">
      <w:pPr>
        <w:pStyle w:val="FootnoteText"/>
      </w:pPr>
      <w:r w:rsidRPr="00750617">
        <w:tab/>
      </w:r>
      <w:r w:rsidRPr="00750617">
        <w:rPr>
          <w:rStyle w:val="FootnoteReference"/>
        </w:rPr>
        <w:footnoteRef/>
      </w:r>
      <w:r w:rsidRPr="00750617">
        <w:tab/>
        <w:t xml:space="preserve">Voir </w:t>
      </w:r>
      <w:hyperlink r:id="rId15" w:history="1">
        <w:r w:rsidRPr="00750617">
          <w:rPr>
            <w:rStyle w:val="Hyperlink"/>
            <w:szCs w:val="18"/>
          </w:rPr>
          <w:t>A/CN</w:t>
        </w:r>
        <w:r w:rsidRPr="00F22925">
          <w:rPr>
            <w:rStyle w:val="Hyperlink"/>
            <w:szCs w:val="18"/>
          </w:rPr>
          <w:t>.</w:t>
        </w:r>
        <w:r w:rsidRPr="00750617">
          <w:rPr>
            <w:rStyle w:val="Hyperlink"/>
            <w:szCs w:val="18"/>
          </w:rPr>
          <w:t>4/707</w:t>
        </w:r>
      </w:hyperlink>
      <w:r w:rsidRPr="00750617">
        <w:t>, par</w:t>
      </w:r>
      <w:r w:rsidRPr="00F22925">
        <w:t>.</w:t>
      </w:r>
      <w:r w:rsidRPr="00750617">
        <w:t xml:space="preserve"> 104, al</w:t>
      </w:r>
      <w:r w:rsidRPr="00F22925">
        <w:t>.</w:t>
      </w:r>
      <w:r w:rsidRPr="00750617">
        <w:t xml:space="preserve"> d) à g)</w:t>
      </w:r>
      <w:r w:rsidRPr="00F22925">
        <w:t>.</w:t>
      </w:r>
    </w:p>
  </w:footnote>
  <w:footnote w:id="28">
    <w:p w14:paraId="3AD7408E" w14:textId="77777777" w:rsidR="0043175D" w:rsidRPr="00750617" w:rsidRDefault="0043175D" w:rsidP="0043175D">
      <w:pPr>
        <w:pStyle w:val="FootnoteText"/>
      </w:pPr>
      <w:r w:rsidRPr="00750617">
        <w:tab/>
      </w:r>
      <w:r w:rsidRPr="00750617">
        <w:rPr>
          <w:rStyle w:val="FootnoteReference"/>
        </w:rPr>
        <w:footnoteRef/>
      </w:r>
      <w:r w:rsidRPr="00750617">
        <w:tab/>
        <w:t xml:space="preserve">Voir </w:t>
      </w:r>
      <w:proofErr w:type="spellStart"/>
      <w:r w:rsidRPr="00750617">
        <w:t>Mathy</w:t>
      </w:r>
      <w:proofErr w:type="spellEnd"/>
      <w:r w:rsidRPr="00750617">
        <w:t xml:space="preserve">, « Article 25 » (note </w:t>
      </w:r>
      <w:r w:rsidRPr="00750617">
        <w:fldChar w:fldCharType="begin"/>
      </w:r>
      <w:r w:rsidRPr="00750617">
        <w:instrText xml:space="preserve"> NOTEREF _Ref76972961 \h  \* MERGEFORMAT </w:instrText>
      </w:r>
      <w:r w:rsidRPr="00750617">
        <w:fldChar w:fldCharType="separate"/>
      </w:r>
      <w:r>
        <w:t>254</w:t>
      </w:r>
      <w:r w:rsidRPr="00750617">
        <w:fldChar w:fldCharType="end"/>
      </w:r>
      <w:r w:rsidRPr="00750617">
        <w:t xml:space="preserve"> </w:t>
      </w:r>
      <w:r w:rsidRPr="00750617">
        <w:rPr>
          <w:i/>
          <w:iCs/>
        </w:rPr>
        <w:t>supra</w:t>
      </w:r>
      <w:r w:rsidRPr="00750617">
        <w:t>), p</w:t>
      </w:r>
      <w:r w:rsidRPr="00F22925">
        <w:t>.</w:t>
      </w:r>
      <w:r w:rsidRPr="00750617">
        <w:t xml:space="preserve"> 651</w:t>
      </w:r>
      <w:r w:rsidRPr="00F22925">
        <w:t>.</w:t>
      </w:r>
    </w:p>
  </w:footnote>
  <w:footnote w:id="29">
    <w:p w14:paraId="6ED46B50" w14:textId="77777777" w:rsidR="0043175D" w:rsidRPr="00750617" w:rsidRDefault="0043175D" w:rsidP="0043175D">
      <w:pPr>
        <w:pStyle w:val="FootnoteText"/>
      </w:pPr>
      <w:r w:rsidRPr="00750617">
        <w:tab/>
      </w:r>
      <w:r w:rsidRPr="00750617">
        <w:rPr>
          <w:rStyle w:val="FootnoteReference"/>
        </w:rPr>
        <w:footnoteRef/>
      </w:r>
      <w:r w:rsidRPr="00750617">
        <w:tab/>
        <w:t>Voir les exemples de la pratique de l’Association européenne de libre-échange (AELE) présentés dans le cinquième rapport du Rapporteur spécial (</w:t>
      </w:r>
      <w:hyperlink r:id="rId16" w:history="1">
        <w:r w:rsidRPr="00750617">
          <w:rPr>
            <w:rStyle w:val="Hyperlink"/>
            <w:szCs w:val="18"/>
          </w:rPr>
          <w:t>A/CN</w:t>
        </w:r>
        <w:r w:rsidRPr="00F22925">
          <w:rPr>
            <w:rStyle w:val="Hyperlink"/>
            <w:szCs w:val="18"/>
          </w:rPr>
          <w:t>.</w:t>
        </w:r>
        <w:r w:rsidRPr="00750617">
          <w:rPr>
            <w:rStyle w:val="Hyperlink"/>
            <w:szCs w:val="18"/>
          </w:rPr>
          <w:t>4/718</w:t>
        </w:r>
      </w:hyperlink>
      <w:r w:rsidRPr="00750617">
        <w:t>)</w:t>
      </w:r>
      <w:r w:rsidRPr="00F22925">
        <w:t>.</w:t>
      </w:r>
      <w:r w:rsidRPr="00750617">
        <w:t xml:space="preserve"> </w:t>
      </w:r>
    </w:p>
  </w:footnote>
  <w:footnote w:id="30">
    <w:p w14:paraId="6625D332" w14:textId="77777777" w:rsidR="0043175D" w:rsidRPr="00750617" w:rsidRDefault="0043175D" w:rsidP="0043175D">
      <w:pPr>
        <w:pStyle w:val="FootnoteText"/>
      </w:pPr>
      <w:r w:rsidRPr="00750617">
        <w:tab/>
      </w:r>
      <w:r w:rsidRPr="00750617">
        <w:rPr>
          <w:rStyle w:val="FootnoteReference"/>
        </w:rPr>
        <w:footnoteRef/>
      </w:r>
      <w:r w:rsidRPr="00750617">
        <w:tab/>
        <w:t>Voir le paragraphe 1 du commentaire du projet d’article 22 du projet d’articles sur le droit des traités (note </w:t>
      </w:r>
      <w:r w:rsidRPr="00750617">
        <w:fldChar w:fldCharType="begin"/>
      </w:r>
      <w:r w:rsidRPr="00750617">
        <w:instrText xml:space="preserve"> NOTEREF _Ref76973086 \h  \* MERGEFORMAT </w:instrText>
      </w:r>
      <w:r w:rsidRPr="00750617">
        <w:fldChar w:fldCharType="separate"/>
      </w:r>
      <w:r>
        <w:t>265</w:t>
      </w:r>
      <w:r w:rsidRPr="00750617">
        <w:fldChar w:fldCharType="end"/>
      </w:r>
      <w:r w:rsidRPr="00750617">
        <w:t> </w:t>
      </w:r>
      <w:r w:rsidRPr="00750617">
        <w:rPr>
          <w:i/>
          <w:iCs/>
        </w:rPr>
        <w:t>supra</w:t>
      </w:r>
      <w:r w:rsidRPr="00750617">
        <w:t>), p</w:t>
      </w:r>
      <w:r w:rsidRPr="00F22925">
        <w:t>.</w:t>
      </w:r>
      <w:r w:rsidRPr="00750617">
        <w:t xml:space="preserve"> 229, et </w:t>
      </w:r>
      <w:r w:rsidRPr="00750617">
        <w:rPr>
          <w:i/>
          <w:iCs/>
        </w:rPr>
        <w:t>Annuaire … 2013</w:t>
      </w:r>
      <w:r w:rsidRPr="00750617">
        <w:t>, vol</w:t>
      </w:r>
      <w:r w:rsidRPr="00F22925">
        <w:t>.</w:t>
      </w:r>
      <w:r w:rsidRPr="00750617">
        <w:t xml:space="preserve"> II (1</w:t>
      </w:r>
      <w:r w:rsidRPr="00750617">
        <w:rPr>
          <w:vertAlign w:val="superscript"/>
        </w:rPr>
        <w:t>re</w:t>
      </w:r>
      <w:r w:rsidRPr="00750617">
        <w:t xml:space="preserve"> partie), et l’étude du Secrétariat sur l’application à titre provisoire des traités (</w:t>
      </w:r>
      <w:hyperlink r:id="rId17" w:history="1">
        <w:r w:rsidRPr="00750617">
          <w:rPr>
            <w:rStyle w:val="Hyperlink"/>
          </w:rPr>
          <w:t>A/CN</w:t>
        </w:r>
        <w:r w:rsidRPr="00F22925">
          <w:rPr>
            <w:rStyle w:val="Hyperlink"/>
          </w:rPr>
          <w:t>.</w:t>
        </w:r>
        <w:r w:rsidRPr="00750617">
          <w:rPr>
            <w:rStyle w:val="Hyperlink"/>
          </w:rPr>
          <w:t>4/658</w:t>
        </w:r>
      </w:hyperlink>
      <w:r w:rsidRPr="00750617">
        <w:rPr>
          <w:rStyle w:val="Hyperlink"/>
        </w:rPr>
        <w:t>)</w:t>
      </w:r>
      <w:r w:rsidRPr="00750617">
        <w:t>, par</w:t>
      </w:r>
      <w:r w:rsidRPr="00F22925">
        <w:t>.</w:t>
      </w:r>
      <w:r w:rsidRPr="00750617">
        <w:t xml:space="preserve"> 44 à 55</w:t>
      </w:r>
      <w:r w:rsidRPr="00F22925">
        <w:t>.</w:t>
      </w:r>
      <w:r w:rsidRPr="00750617">
        <w:t xml:space="preserve"> Voir aussi le premier rapport du Rapporteur spécial (</w:t>
      </w:r>
      <w:hyperlink r:id="rId18" w:history="1">
        <w:r w:rsidRPr="00750617">
          <w:rPr>
            <w:rStyle w:val="Hyperlink"/>
          </w:rPr>
          <w:t>A/CN</w:t>
        </w:r>
        <w:r w:rsidRPr="00F22925">
          <w:rPr>
            <w:rStyle w:val="Hyperlink"/>
          </w:rPr>
          <w:t>.</w:t>
        </w:r>
        <w:r w:rsidRPr="00750617">
          <w:rPr>
            <w:rStyle w:val="Hyperlink"/>
          </w:rPr>
          <w:t>4/664</w:t>
        </w:r>
      </w:hyperlink>
      <w:r w:rsidRPr="00750617">
        <w:t>)</w:t>
      </w:r>
      <w:r w:rsidRPr="00F22925">
        <w:t>.</w:t>
      </w:r>
    </w:p>
  </w:footnote>
  <w:footnote w:id="31">
    <w:p w14:paraId="54241E2C" w14:textId="77777777" w:rsidR="0043175D" w:rsidRPr="00750617" w:rsidRDefault="0043175D" w:rsidP="0043175D">
      <w:pPr>
        <w:pStyle w:val="FootnoteText"/>
      </w:pPr>
      <w:r w:rsidRPr="00750617">
        <w:tab/>
      </w:r>
      <w:r w:rsidRPr="00750617">
        <w:rPr>
          <w:rStyle w:val="FootnoteReference"/>
        </w:rPr>
        <w:footnoteRef/>
      </w:r>
      <w:r w:rsidRPr="00750617">
        <w:tab/>
        <w:t>Cela étant, la pratique ultérieure de l’une ou de plusieurs des parties à un traité peut être un moyen d’interprétation du traité au sens des articles 31 ou 32 de la Convention de Vienne de 1969</w:t>
      </w:r>
      <w:r w:rsidRPr="00F22925">
        <w:t>.</w:t>
      </w:r>
      <w:r w:rsidRPr="00750617">
        <w:t xml:space="preserve"> Voir le chapitre IV du document </w:t>
      </w:r>
      <w:hyperlink r:id="rId19" w:history="1">
        <w:r w:rsidRPr="00750617">
          <w:rPr>
            <w:rStyle w:val="Hyperlink"/>
          </w:rPr>
          <w:t>A/73/10</w:t>
        </w:r>
      </w:hyperlink>
      <w:r w:rsidRPr="00750617">
        <w:t>, sur les accords et la pratique ultérieurs dans le contexte de l’interprétation des traités</w:t>
      </w:r>
      <w:r w:rsidRPr="00F22925">
        <w:t>.</w:t>
      </w:r>
    </w:p>
  </w:footnote>
  <w:footnote w:id="32">
    <w:p w14:paraId="08A6653D" w14:textId="77777777" w:rsidR="0043175D" w:rsidRPr="00750617" w:rsidRDefault="0043175D" w:rsidP="0043175D">
      <w:pPr>
        <w:pStyle w:val="FootnoteText"/>
      </w:pPr>
      <w:r w:rsidRPr="00750617">
        <w:tab/>
      </w:r>
      <w:r w:rsidRPr="00750617">
        <w:rPr>
          <w:rStyle w:val="FootnoteReference"/>
        </w:rPr>
        <w:footnoteRef/>
      </w:r>
      <w:r w:rsidRPr="00750617">
        <w:tab/>
        <w:t>Voir les commentaires et observations reçus des États et des organisations internationales (</w:t>
      </w:r>
      <w:hyperlink r:id="rId20" w:history="1">
        <w:r w:rsidRPr="00750617">
          <w:rPr>
            <w:rStyle w:val="Hyperlink"/>
          </w:rPr>
          <w:t>A/CN</w:t>
        </w:r>
        <w:r w:rsidRPr="00F22925">
          <w:rPr>
            <w:rStyle w:val="Hyperlink"/>
          </w:rPr>
          <w:t>.</w:t>
        </w:r>
        <w:r w:rsidRPr="00750617">
          <w:rPr>
            <w:rStyle w:val="Hyperlink"/>
          </w:rPr>
          <w:t>4/737</w:t>
        </w:r>
      </w:hyperlink>
      <w:r w:rsidRPr="00750617">
        <w:t>)</w:t>
      </w:r>
      <w:r w:rsidRPr="00F22925">
        <w:t>.</w:t>
      </w:r>
    </w:p>
  </w:footnote>
  <w:footnote w:id="33">
    <w:p w14:paraId="7286942C" w14:textId="77777777" w:rsidR="0043175D" w:rsidRPr="00750617" w:rsidRDefault="0043175D" w:rsidP="0043175D">
      <w:pPr>
        <w:pStyle w:val="FootnoteText"/>
      </w:pPr>
      <w:r w:rsidRPr="00750617">
        <w:tab/>
      </w:r>
      <w:r w:rsidRPr="00750617">
        <w:rPr>
          <w:rStyle w:val="FootnoteReference"/>
        </w:rPr>
        <w:footnoteRef/>
      </w:r>
      <w:r w:rsidRPr="00750617">
        <w:tab/>
      </w:r>
      <w:r w:rsidRPr="00750617">
        <w:rPr>
          <w:i/>
          <w:iCs/>
        </w:rPr>
        <w:t>Annuaire … 2011</w:t>
      </w:r>
      <w:r w:rsidRPr="00750617">
        <w:t>, vol</w:t>
      </w:r>
      <w:r w:rsidRPr="00F22925">
        <w:t>.</w:t>
      </w:r>
      <w:r w:rsidRPr="00750617">
        <w:t xml:space="preserve"> II (3</w:t>
      </w:r>
      <w:r w:rsidRPr="00750617">
        <w:rPr>
          <w:vertAlign w:val="superscript"/>
        </w:rPr>
        <w:t>e</w:t>
      </w:r>
      <w:r w:rsidRPr="00750617">
        <w:t xml:space="preserve"> partie)</w:t>
      </w:r>
      <w:r w:rsidRPr="00F22925">
        <w:t>.</w:t>
      </w:r>
    </w:p>
  </w:footnote>
  <w:footnote w:id="34">
    <w:p w14:paraId="2FEF52F9" w14:textId="77777777" w:rsidR="0043175D" w:rsidRPr="00750617" w:rsidRDefault="0043175D" w:rsidP="0043175D">
      <w:pPr>
        <w:pStyle w:val="FootnoteText"/>
      </w:pPr>
      <w:r w:rsidRPr="00750617">
        <w:tab/>
      </w:r>
      <w:r w:rsidRPr="00750617">
        <w:rPr>
          <w:rStyle w:val="FootnoteReference"/>
        </w:rPr>
        <w:footnoteRef/>
      </w:r>
      <w:r w:rsidRPr="00750617">
        <w:tab/>
        <w:t>Voir la directive 1</w:t>
      </w:r>
      <w:r w:rsidRPr="00F22925">
        <w:t>.</w:t>
      </w:r>
      <w:r w:rsidRPr="00750617">
        <w:t>6</w:t>
      </w:r>
      <w:r w:rsidRPr="00F22925">
        <w:t>.</w:t>
      </w:r>
      <w:r w:rsidRPr="00750617">
        <w:t xml:space="preserve">1 du Guide de la pratique sur les réserves aux traités, </w:t>
      </w:r>
      <w:r w:rsidRPr="00750617">
        <w:rPr>
          <w:i/>
          <w:iCs/>
        </w:rPr>
        <w:t>Annuaire … 2011</w:t>
      </w:r>
      <w:r w:rsidRPr="00750617">
        <w:t>, vol</w:t>
      </w:r>
      <w:r w:rsidRPr="00F22925">
        <w:t>.</w:t>
      </w:r>
      <w:r w:rsidRPr="00750617">
        <w:t> II (3</w:t>
      </w:r>
      <w:r w:rsidRPr="00750617">
        <w:rPr>
          <w:vertAlign w:val="superscript"/>
        </w:rPr>
        <w:t>e</w:t>
      </w:r>
      <w:r w:rsidRPr="00750617">
        <w:t xml:space="preserve"> partie), par</w:t>
      </w:r>
      <w:r w:rsidRPr="00F22925">
        <w:t>.</w:t>
      </w:r>
      <w:r w:rsidRPr="00750617">
        <w:t xml:space="preserve"> 1 et 2</w:t>
      </w:r>
      <w:r w:rsidRPr="00F22925">
        <w:t>.</w:t>
      </w:r>
    </w:p>
  </w:footnote>
  <w:footnote w:id="35">
    <w:p w14:paraId="0B4EDF05" w14:textId="77777777" w:rsidR="0043175D" w:rsidRPr="00750617" w:rsidRDefault="0043175D" w:rsidP="0043175D">
      <w:pPr>
        <w:pStyle w:val="FootnoteText"/>
      </w:pPr>
      <w:r w:rsidRPr="00750617">
        <w:tab/>
      </w:r>
      <w:r w:rsidRPr="00750617">
        <w:rPr>
          <w:rStyle w:val="FootnoteReference"/>
        </w:rPr>
        <w:footnoteRef/>
      </w:r>
      <w:r w:rsidRPr="00750617">
        <w:tab/>
        <w:t>Voir, en particulier, la directive 1</w:t>
      </w:r>
      <w:r w:rsidRPr="00F22925">
        <w:t>.</w:t>
      </w:r>
      <w:r w:rsidRPr="00750617">
        <w:t>3 du Guide de la pratique sur les réserves aux traités, ibid</w:t>
      </w:r>
      <w:r w:rsidRPr="00F22925">
        <w:t>.</w:t>
      </w:r>
      <w:r w:rsidRPr="00750617">
        <w:t xml:space="preserve"> </w:t>
      </w:r>
    </w:p>
  </w:footnote>
  <w:footnote w:id="36">
    <w:p w14:paraId="6BCE7E02" w14:textId="77777777" w:rsidR="0043175D" w:rsidRPr="00750617" w:rsidRDefault="0043175D" w:rsidP="0043175D">
      <w:pPr>
        <w:pStyle w:val="FootnoteText"/>
      </w:pPr>
      <w:r w:rsidRPr="00750617">
        <w:tab/>
      </w:r>
      <w:r w:rsidRPr="00750617">
        <w:rPr>
          <w:rStyle w:val="FootnoteReference"/>
        </w:rPr>
        <w:footnoteRef/>
      </w:r>
      <w:r w:rsidRPr="00750617">
        <w:tab/>
        <w:t>Voir, par exemple, l’article 45 (par</w:t>
      </w:r>
      <w:r w:rsidRPr="00F22925">
        <w:t>.</w:t>
      </w:r>
      <w:r w:rsidRPr="00750617">
        <w:t xml:space="preserve"> 2 a)) du Traité sur la Charte de l’énergie (Nations Unies, </w:t>
      </w:r>
      <w:r w:rsidRPr="00750617">
        <w:rPr>
          <w:i/>
          <w:iCs/>
        </w:rPr>
        <w:t>Recueil des Traités</w:t>
      </w:r>
      <w:r w:rsidRPr="00750617">
        <w:t>, vol</w:t>
      </w:r>
      <w:r w:rsidRPr="00F22925">
        <w:t>.</w:t>
      </w:r>
      <w:r w:rsidRPr="00750617">
        <w:t xml:space="preserve"> 2080, n</w:t>
      </w:r>
      <w:r w:rsidRPr="00750617">
        <w:rPr>
          <w:vertAlign w:val="superscript"/>
        </w:rPr>
        <w:t>o</w:t>
      </w:r>
      <w:r w:rsidRPr="00750617">
        <w:t xml:space="preserve"> 36116, p</w:t>
      </w:r>
      <w:r w:rsidRPr="00F22925">
        <w:t>.</w:t>
      </w:r>
      <w:r w:rsidRPr="00750617">
        <w:t xml:space="preserve"> 95) et l’article 7 (par</w:t>
      </w:r>
      <w:r w:rsidRPr="00F22925">
        <w:t>.</w:t>
      </w:r>
      <w:r w:rsidRPr="00750617">
        <w:t xml:space="preserve"> 1 a)) de l’Accord relatif à l’application de la Partie IX de la Convention des Nations Unies sur le droit de la mer du 10 décembre 1982</w:t>
      </w:r>
      <w:r w:rsidRPr="00F22925">
        <w:t>.</w:t>
      </w:r>
    </w:p>
  </w:footnote>
  <w:footnote w:id="37">
    <w:p w14:paraId="6BC4FF98" w14:textId="77777777" w:rsidR="0043175D" w:rsidRPr="00750617" w:rsidRDefault="0043175D" w:rsidP="0043175D">
      <w:pPr>
        <w:pStyle w:val="FootnoteText"/>
      </w:pPr>
      <w:r w:rsidRPr="00750617">
        <w:tab/>
      </w:r>
      <w:r w:rsidRPr="00750617">
        <w:rPr>
          <w:rStyle w:val="FootnoteReference"/>
        </w:rPr>
        <w:footnoteRef/>
      </w:r>
      <w:r w:rsidRPr="00750617">
        <w:tab/>
      </w:r>
      <w:r w:rsidRPr="00750617">
        <w:rPr>
          <w:i/>
          <w:iCs/>
        </w:rPr>
        <w:t>Annuaire … 2001</w:t>
      </w:r>
      <w:r w:rsidRPr="00750617">
        <w:t>, vol</w:t>
      </w:r>
      <w:r w:rsidRPr="00F22925">
        <w:t>.</w:t>
      </w:r>
      <w:r w:rsidRPr="00750617">
        <w:t xml:space="preserve"> II (2</w:t>
      </w:r>
      <w:r w:rsidRPr="00750617">
        <w:rPr>
          <w:vertAlign w:val="superscript"/>
        </w:rPr>
        <w:t>e</w:t>
      </w:r>
      <w:r w:rsidRPr="00750617">
        <w:t xml:space="preserve"> partie) et rectificatif, par</w:t>
      </w:r>
      <w:r w:rsidRPr="00F22925">
        <w:t>.</w:t>
      </w:r>
      <w:r w:rsidRPr="00750617">
        <w:t xml:space="preserve"> 76, ultérieurement annexé à la résolution </w:t>
      </w:r>
      <w:hyperlink r:id="rId21" w:history="1">
        <w:r w:rsidRPr="00750617">
          <w:rPr>
            <w:rStyle w:val="Hyperlink"/>
          </w:rPr>
          <w:t>56/83</w:t>
        </w:r>
      </w:hyperlink>
      <w:r w:rsidRPr="00750617">
        <w:t xml:space="preserve"> de l’Assemblée générale, en date du 12 décembre 2001</w:t>
      </w:r>
      <w:r w:rsidRPr="00F22925">
        <w:t>.</w:t>
      </w:r>
      <w:r w:rsidRPr="00750617">
        <w:t xml:space="preserve"> </w:t>
      </w:r>
    </w:p>
  </w:footnote>
  <w:footnote w:id="38">
    <w:p w14:paraId="7F8E6792" w14:textId="77777777" w:rsidR="0043175D" w:rsidRPr="00750617" w:rsidRDefault="0043175D" w:rsidP="0043175D">
      <w:pPr>
        <w:pStyle w:val="FootnoteText"/>
      </w:pPr>
      <w:r w:rsidRPr="00750617">
        <w:tab/>
      </w:r>
      <w:r w:rsidRPr="00750617">
        <w:rPr>
          <w:rStyle w:val="FootnoteReference"/>
        </w:rPr>
        <w:footnoteRef/>
      </w:r>
      <w:r w:rsidRPr="00750617">
        <w:tab/>
      </w:r>
      <w:r w:rsidRPr="00750617">
        <w:rPr>
          <w:i/>
          <w:iCs/>
        </w:rPr>
        <w:t>Annuaire … 2011</w:t>
      </w:r>
      <w:r w:rsidRPr="00750617">
        <w:t>, vol</w:t>
      </w:r>
      <w:r w:rsidRPr="00F22925">
        <w:t>.</w:t>
      </w:r>
      <w:r w:rsidRPr="00750617">
        <w:t xml:space="preserve"> II (2</w:t>
      </w:r>
      <w:r w:rsidRPr="00750617">
        <w:rPr>
          <w:vertAlign w:val="superscript"/>
        </w:rPr>
        <w:t>e</w:t>
      </w:r>
      <w:r w:rsidRPr="00750617">
        <w:t xml:space="preserve"> partie), par</w:t>
      </w:r>
      <w:r w:rsidRPr="00F22925">
        <w:t>.</w:t>
      </w:r>
      <w:r w:rsidRPr="00750617">
        <w:t xml:space="preserve"> 87, ultérieurement annexé à la résolution </w:t>
      </w:r>
      <w:hyperlink r:id="rId22" w:history="1">
        <w:r w:rsidRPr="00750617">
          <w:rPr>
            <w:rStyle w:val="Hyperlink"/>
          </w:rPr>
          <w:t>66/100</w:t>
        </w:r>
      </w:hyperlink>
      <w:r w:rsidRPr="00750617">
        <w:t xml:space="preserve"> de l’Assemblée générale, en date du 9 décembre 2011</w:t>
      </w:r>
      <w:r w:rsidRPr="00F22925">
        <w:t>.</w:t>
      </w:r>
      <w:r w:rsidRPr="00750617">
        <w:t xml:space="preserve"> </w:t>
      </w:r>
    </w:p>
  </w:footnote>
  <w:footnote w:id="39">
    <w:p w14:paraId="152847E6" w14:textId="77777777" w:rsidR="0043175D" w:rsidRPr="00750617" w:rsidRDefault="0043175D" w:rsidP="0043175D">
      <w:pPr>
        <w:pStyle w:val="FootnoteText"/>
      </w:pPr>
      <w:r w:rsidRPr="00750617">
        <w:tab/>
      </w:r>
      <w:r w:rsidRPr="00750617">
        <w:rPr>
          <w:rStyle w:val="FootnoteReference"/>
        </w:rPr>
        <w:footnoteRef/>
      </w:r>
      <w:r w:rsidRPr="00750617">
        <w:tab/>
        <w:t>Voir l’étude du Secrétariat sur l’application à titre provisoire des traités (</w:t>
      </w:r>
      <w:hyperlink r:id="rId23" w:history="1">
        <w:r w:rsidRPr="00750617">
          <w:rPr>
            <w:rStyle w:val="Hyperlink"/>
            <w:szCs w:val="18"/>
          </w:rPr>
          <w:t>A/CN</w:t>
        </w:r>
        <w:r w:rsidRPr="00F22925">
          <w:rPr>
            <w:rStyle w:val="Hyperlink"/>
            <w:szCs w:val="18"/>
          </w:rPr>
          <w:t>.</w:t>
        </w:r>
        <w:r w:rsidRPr="00750617">
          <w:rPr>
            <w:rStyle w:val="Hyperlink"/>
            <w:szCs w:val="18"/>
          </w:rPr>
          <w:t>4/707</w:t>
        </w:r>
      </w:hyperlink>
      <w:r w:rsidRPr="00750617">
        <w:rPr>
          <w:rStyle w:val="Hyperlink"/>
          <w:szCs w:val="18"/>
        </w:rPr>
        <w:t>)</w:t>
      </w:r>
      <w:r w:rsidRPr="00750617">
        <w:t>, par</w:t>
      </w:r>
      <w:r w:rsidRPr="00F22925">
        <w:t>.</w:t>
      </w:r>
      <w:r w:rsidRPr="00750617">
        <w:t xml:space="preserve"> 88</w:t>
      </w:r>
      <w:r w:rsidRPr="00F22925">
        <w:t>.</w:t>
      </w:r>
    </w:p>
  </w:footnote>
  <w:footnote w:id="40">
    <w:p w14:paraId="455AFFC5" w14:textId="77777777" w:rsidR="0043175D" w:rsidRPr="00750617" w:rsidRDefault="0043175D" w:rsidP="0043175D">
      <w:pPr>
        <w:pStyle w:val="FootnoteText"/>
      </w:pPr>
      <w:r w:rsidRPr="00750617">
        <w:tab/>
      </w:r>
      <w:r w:rsidRPr="00750617">
        <w:rPr>
          <w:rStyle w:val="FootnoteReference"/>
        </w:rPr>
        <w:footnoteRef/>
      </w:r>
      <w:r w:rsidRPr="00750617">
        <w:tab/>
        <w:t>La plupart des traités bilatéraux disposent que le traité s’applique à titre provisoire « en attendant son entrée en vigueur », « en attendant sa ratification », « en attendant l’accomplissement des formalités nécessaires à son entrée en vigueur », « en attendant l’aboutissement de ces procédures internes et l’entrée en vigueur de la présente Convention », « en attendant que les Gouvernements s’informent par écrit de l’accomplissement des formalités constitutionnelles requises dans leurs pays respectifs », « jusqu’à l’accomplissement de toutes les procédures mentionnées au paragraphe 1 du présent article » ou « jusqu’à son entrée en vigueur » (voir</w:t>
      </w:r>
      <w:bookmarkStart w:id="17" w:name="_Hlk515958723"/>
      <w:r w:rsidRPr="00750617">
        <w:t xml:space="preserve"> </w:t>
      </w:r>
      <w:hyperlink r:id="rId24" w:history="1">
        <w:r w:rsidRPr="00750617">
          <w:rPr>
            <w:rStyle w:val="Hyperlink"/>
            <w:szCs w:val="18"/>
          </w:rPr>
          <w:t>A/CN</w:t>
        </w:r>
        <w:r w:rsidRPr="00F22925">
          <w:rPr>
            <w:rStyle w:val="Hyperlink"/>
            <w:szCs w:val="18"/>
          </w:rPr>
          <w:t>.</w:t>
        </w:r>
        <w:r w:rsidRPr="00750617">
          <w:rPr>
            <w:rStyle w:val="Hyperlink"/>
            <w:szCs w:val="18"/>
          </w:rPr>
          <w:t>4/707</w:t>
        </w:r>
        <w:bookmarkEnd w:id="17"/>
      </w:hyperlink>
      <w:r w:rsidRPr="00750617">
        <w:t>, par</w:t>
      </w:r>
      <w:r w:rsidRPr="00F22925">
        <w:t>.</w:t>
      </w:r>
      <w:r w:rsidRPr="00750617">
        <w:t xml:space="preserve"> 90)</w:t>
      </w:r>
      <w:r w:rsidRPr="00F22925">
        <w:t>.</w:t>
      </w:r>
      <w:r w:rsidRPr="00750617">
        <w:t xml:space="preserve"> C’est aussi le cas de traités multilatéraux comme l’Accord de Madrid (Accord sur l’application provisoire de certaines dispositions du Protocole n</w:t>
      </w:r>
      <w:r w:rsidRPr="00750617">
        <w:rPr>
          <w:vertAlign w:val="superscript"/>
        </w:rPr>
        <w:t>o</w:t>
      </w:r>
      <w:r w:rsidRPr="00750617">
        <w:t xml:space="preserve"> 14 à la Convention européenne des droits de l’homme dans l’attente de son entrée en vigueur) qui prévoit, au paragraphe d), que « [c]</w:t>
      </w:r>
      <w:proofErr w:type="spellStart"/>
      <w:r w:rsidRPr="00750617">
        <w:t>ette</w:t>
      </w:r>
      <w:proofErr w:type="spellEnd"/>
      <w:r w:rsidRPr="00750617">
        <w:t xml:space="preserve"> déclaration [d’acceptation de l’application provisoire] cessera d’être effective au moment de l’entrée en vigueur du Protocole n</w:t>
      </w:r>
      <w:r w:rsidRPr="00750617">
        <w:rPr>
          <w:vertAlign w:val="superscript"/>
        </w:rPr>
        <w:t>o</w:t>
      </w:r>
      <w:r w:rsidRPr="00750617">
        <w:t> 14 </w:t>
      </w:r>
      <w:r w:rsidRPr="00750617">
        <w:rPr>
          <w:i/>
          <w:iCs/>
        </w:rPr>
        <w:t xml:space="preserve">bis </w:t>
      </w:r>
      <w:r w:rsidRPr="00750617">
        <w:t>à l’égard de la Haute Partie contractante concernée »</w:t>
      </w:r>
      <w:r w:rsidRPr="00F22925">
        <w:t>.</w:t>
      </w:r>
    </w:p>
  </w:footnote>
  <w:footnote w:id="41">
    <w:p w14:paraId="4F1311C4" w14:textId="77777777" w:rsidR="0043175D" w:rsidRPr="00750617" w:rsidRDefault="0043175D" w:rsidP="0043175D">
      <w:pPr>
        <w:pStyle w:val="FootnoteText"/>
      </w:pPr>
      <w:r w:rsidRPr="00750617">
        <w:tab/>
      </w:r>
      <w:r w:rsidRPr="00750617">
        <w:rPr>
          <w:rStyle w:val="FootnoteReference"/>
        </w:rPr>
        <w:footnoteRef/>
      </w:r>
      <w:r w:rsidRPr="00750617">
        <w:tab/>
        <w:t xml:space="preserve">Voir, par exemple, l’Accord entre le Gouvernement de la République fédérale d’Allemagne et le Gouvernement de la République de Slovénie concernant l’inclusion dans les réserves de l’Office slovène des réserves minimum en pétrole et dérivés de pétrole slovène des provisions du pétrole et des dérivés de pétrole stocké en Allemagne pour la Slovénie (Nations Unies, </w:t>
      </w:r>
      <w:r w:rsidRPr="00750617">
        <w:rPr>
          <w:i/>
          <w:iCs/>
        </w:rPr>
        <w:t>Recueil des Traités</w:t>
      </w:r>
      <w:r w:rsidRPr="00750617">
        <w:t>, vol</w:t>
      </w:r>
      <w:r w:rsidRPr="00F22925">
        <w:t>.</w:t>
      </w:r>
      <w:r w:rsidRPr="00750617">
        <w:t> 2169, n</w:t>
      </w:r>
      <w:r w:rsidRPr="00750617">
        <w:rPr>
          <w:vertAlign w:val="superscript"/>
        </w:rPr>
        <w:t>o</w:t>
      </w:r>
      <w:r w:rsidRPr="00750617">
        <w:t xml:space="preserve"> 38039, p</w:t>
      </w:r>
      <w:r w:rsidRPr="00F22925">
        <w:t>.</w:t>
      </w:r>
      <w:r w:rsidRPr="00750617">
        <w:t xml:space="preserve"> 287, à la page 306) et l’Échange de notes constituant un accord entre le Gouvernement espagnol et le Gouvernement colombien sur la gratuité de visas (ibid</w:t>
      </w:r>
      <w:r w:rsidRPr="00F22925">
        <w:t>.</w:t>
      </w:r>
      <w:r w:rsidRPr="00750617">
        <w:t>, vol</w:t>
      </w:r>
      <w:r w:rsidRPr="00F22925">
        <w:t>.</w:t>
      </w:r>
      <w:r w:rsidRPr="00750617">
        <w:t xml:space="preserve"> 2253, n</w:t>
      </w:r>
      <w:r w:rsidRPr="00750617">
        <w:rPr>
          <w:vertAlign w:val="superscript"/>
        </w:rPr>
        <w:t>o</w:t>
      </w:r>
      <w:r w:rsidRPr="00750617">
        <w:t> 20662, p</w:t>
      </w:r>
      <w:r w:rsidRPr="00F22925">
        <w:t>.</w:t>
      </w:r>
      <w:r w:rsidRPr="00750617">
        <w:t xml:space="preserve"> 328, aux pages 335 à 338)</w:t>
      </w:r>
      <w:r w:rsidRPr="00F22925">
        <w:t>.</w:t>
      </w:r>
    </w:p>
  </w:footnote>
  <w:footnote w:id="42">
    <w:p w14:paraId="299D66F1" w14:textId="77777777" w:rsidR="0043175D" w:rsidRPr="00750617" w:rsidRDefault="0043175D" w:rsidP="0043175D">
      <w:pPr>
        <w:pStyle w:val="FootnoteText"/>
      </w:pPr>
      <w:r w:rsidRPr="00750617">
        <w:tab/>
      </w:r>
      <w:r w:rsidRPr="00750617">
        <w:rPr>
          <w:rStyle w:val="FootnoteReference"/>
        </w:rPr>
        <w:footnoteRef/>
      </w:r>
      <w:r w:rsidRPr="00750617">
        <w:tab/>
        <w:t>Cette approche cadre avec celle qui a été suivie dans le projet de directive 3 concernant la position des États ayant participé à la négociation</w:t>
      </w:r>
      <w:r w:rsidRPr="00F22925">
        <w:t>.</w:t>
      </w:r>
      <w:r w:rsidRPr="00750617">
        <w:t xml:space="preserve"> Voir </w:t>
      </w:r>
      <w:r w:rsidRPr="00750617">
        <w:rPr>
          <w:i/>
          <w:iCs/>
        </w:rPr>
        <w:t>supra</w:t>
      </w:r>
      <w:r w:rsidRPr="00750617">
        <w:t xml:space="preserve"> le paragraphe 6 du commentaire du projet de directive 3</w:t>
      </w:r>
      <w:r w:rsidRPr="00F22925">
        <w:t>.</w:t>
      </w:r>
    </w:p>
  </w:footnote>
  <w:footnote w:id="43">
    <w:p w14:paraId="1683041E" w14:textId="77777777" w:rsidR="0043175D" w:rsidRPr="00750617" w:rsidRDefault="0043175D" w:rsidP="0043175D">
      <w:pPr>
        <w:pStyle w:val="FootnoteText"/>
      </w:pPr>
      <w:r w:rsidRPr="00750617">
        <w:tab/>
      </w:r>
      <w:r w:rsidRPr="00750617">
        <w:rPr>
          <w:rStyle w:val="FootnoteReference"/>
        </w:rPr>
        <w:footnoteRef/>
      </w:r>
      <w:r w:rsidRPr="00750617">
        <w:tab/>
        <w:t>Un petit nombre de traités bilatéraux contiennent des dispositions expresses sur la cessation de l’application à titre provisoire, et certains en prévoient la notification</w:t>
      </w:r>
      <w:r w:rsidRPr="00F22925">
        <w:t>.</w:t>
      </w:r>
      <w:r w:rsidRPr="00750617">
        <w:t xml:space="preserve"> À titre d’exemple, on peut citer l’Accord entre le Gouvernement des États-Unis d’Amérique et le Gouvernement de la République des Îles Marshall concernant la coopération en vue de la répression par mer de la prolifération des armes de destruction massive, leurs systèmes de lancement et matériels connexes (Nations Unies, </w:t>
      </w:r>
      <w:r w:rsidRPr="00750617">
        <w:rPr>
          <w:i/>
          <w:iCs/>
        </w:rPr>
        <w:t>Recueil des traités</w:t>
      </w:r>
      <w:r w:rsidRPr="00750617">
        <w:t>, vol</w:t>
      </w:r>
      <w:r w:rsidRPr="00F22925">
        <w:t>.</w:t>
      </w:r>
      <w:r w:rsidRPr="00750617">
        <w:t xml:space="preserve"> 2962, n</w:t>
      </w:r>
      <w:r w:rsidRPr="00750617">
        <w:rPr>
          <w:vertAlign w:val="superscript"/>
        </w:rPr>
        <w:t>o</w:t>
      </w:r>
      <w:r w:rsidRPr="00750617">
        <w:t xml:space="preserve"> 51490, p</w:t>
      </w:r>
      <w:r w:rsidRPr="00F22925">
        <w:t>.</w:t>
      </w:r>
      <w:r w:rsidRPr="00750617">
        <w:t xml:space="preserve"> 339), art</w:t>
      </w:r>
      <w:r w:rsidRPr="00F22925">
        <w:t>.</w:t>
      </w:r>
      <w:r w:rsidRPr="00750617">
        <w:t xml:space="preserve"> 17, ainsi que : le Traité entre la République fédérale d’Allemagne et le Royaume des Pays-Bas relatif à la mise en œuvre de contrôles de la circulation aérienne par la République fédérale d’Allemagne au-dessus du territoire néerlandais et relatif à l’impact des opérations de l’aéroport </w:t>
      </w:r>
      <w:proofErr w:type="spellStart"/>
      <w:r w:rsidRPr="00750617">
        <w:t>Niederrhein</w:t>
      </w:r>
      <w:proofErr w:type="spellEnd"/>
      <w:r w:rsidRPr="00750617">
        <w:t xml:space="preserve"> sur le territoire du Royaume des Pays-Bas (ibid</w:t>
      </w:r>
      <w:r w:rsidRPr="00F22925">
        <w:t>.</w:t>
      </w:r>
      <w:r w:rsidRPr="00750617">
        <w:t>, vol</w:t>
      </w:r>
      <w:r w:rsidRPr="00F22925">
        <w:t>.</w:t>
      </w:r>
      <w:r w:rsidRPr="00750617">
        <w:t xml:space="preserve"> 2389, n</w:t>
      </w:r>
      <w:r w:rsidRPr="00750617">
        <w:rPr>
          <w:vertAlign w:val="superscript"/>
        </w:rPr>
        <w:t>o</w:t>
      </w:r>
      <w:r w:rsidRPr="00750617">
        <w:t xml:space="preserve"> 43165, p</w:t>
      </w:r>
      <w:r w:rsidRPr="00F22925">
        <w:t>.</w:t>
      </w:r>
      <w:r w:rsidRPr="00750617">
        <w:t xml:space="preserve"> 117, à la page 187) ; l’Accord entre l’Espagne et le Fonds international d’indemnisation des dommages dus à la pollution par les hydrocarbures (ibid</w:t>
      </w:r>
      <w:r w:rsidRPr="00F22925">
        <w:t>.</w:t>
      </w:r>
      <w:r w:rsidRPr="00750617">
        <w:t>, vol</w:t>
      </w:r>
      <w:r w:rsidRPr="00F22925">
        <w:t>.</w:t>
      </w:r>
      <w:r w:rsidRPr="00750617">
        <w:t xml:space="preserve"> 2161, n</w:t>
      </w:r>
      <w:r w:rsidRPr="00750617">
        <w:rPr>
          <w:vertAlign w:val="superscript"/>
        </w:rPr>
        <w:t>o</w:t>
      </w:r>
      <w:r w:rsidRPr="00750617">
        <w:t xml:space="preserve"> 37756, p</w:t>
      </w:r>
      <w:r w:rsidRPr="00F22925">
        <w:t>.</w:t>
      </w:r>
      <w:r w:rsidRPr="00750617">
        <w:t> 45, à la page 54) ; le Traité entre le Royaume d’Espagne et l’Organisation du Traité de l’Atlantique Nord représentée par le Grand quartier général des puissances alliées en Europe sur les conditions spéciales applicables à l’établissement et au fonctionnement sur le territoire espagnol de quartiers généraux militaires internationaux (ibid</w:t>
      </w:r>
      <w:r w:rsidRPr="00F22925">
        <w:t>.</w:t>
      </w:r>
      <w:r w:rsidRPr="00750617">
        <w:t>, vol</w:t>
      </w:r>
      <w:r w:rsidRPr="00F22925">
        <w:t>.</w:t>
      </w:r>
      <w:r w:rsidRPr="00750617">
        <w:t xml:space="preserve"> 2156, n</w:t>
      </w:r>
      <w:r w:rsidRPr="00750617">
        <w:rPr>
          <w:vertAlign w:val="superscript"/>
        </w:rPr>
        <w:t>o</w:t>
      </w:r>
      <w:r w:rsidRPr="00750617">
        <w:t xml:space="preserve"> 37662, p</w:t>
      </w:r>
      <w:r w:rsidRPr="00F22925">
        <w:t>.</w:t>
      </w:r>
      <w:r w:rsidRPr="00750617">
        <w:t xml:space="preserve"> 139, à la page 173)</w:t>
      </w:r>
      <w:r w:rsidRPr="00F22925">
        <w:t>.</w:t>
      </w:r>
      <w:r w:rsidRPr="00750617">
        <w:t xml:space="preserve"> En ce qui concerne la cessation de l’application provisoire des traités multilatéraux, l’Accord aux fins de l’application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(ibid</w:t>
      </w:r>
      <w:r w:rsidRPr="00F22925">
        <w:t>.</w:t>
      </w:r>
      <w:r w:rsidRPr="00750617">
        <w:t>, vol</w:t>
      </w:r>
      <w:r w:rsidRPr="00F22925">
        <w:t>.</w:t>
      </w:r>
      <w:r w:rsidRPr="00750617">
        <w:t xml:space="preserve"> 2167, n</w:t>
      </w:r>
      <w:r w:rsidRPr="00750617">
        <w:rPr>
          <w:vertAlign w:val="superscript"/>
        </w:rPr>
        <w:t>o</w:t>
      </w:r>
      <w:r w:rsidRPr="00750617">
        <w:t xml:space="preserve"> 37924, p</w:t>
      </w:r>
      <w:r w:rsidRPr="00F22925">
        <w:t>.</w:t>
      </w:r>
      <w:r w:rsidRPr="00750617">
        <w:t xml:space="preserve"> 3, aux pages 126 et 127) comprend une disposition (l’article 41) qui permet de mettre fin à l’application à titre provisoire au moyen d’une notification, et qui s’inspire du libellé du paragraphe 2 de l’article 25 de la Convention de Vienne de 1969</w:t>
      </w:r>
      <w:r w:rsidRPr="00F22925">
        <w:t>.</w:t>
      </w:r>
      <w:r w:rsidRPr="00750617">
        <w:t xml:space="preserve"> En outre, la pratique relative aux accords sur les produits de base montre qu’il peut être convenu de mettre fin à l’application à titre provisoire par un retrait de l’accord, comme dans le cas de l’Accord international sur l’huile d’olive et les olives de table</w:t>
      </w:r>
      <w:r w:rsidRPr="00F22925">
        <w:t>.</w:t>
      </w:r>
    </w:p>
  </w:footnote>
  <w:footnote w:id="44">
    <w:p w14:paraId="3B41C133" w14:textId="77777777" w:rsidR="0043175D" w:rsidRPr="000D3559" w:rsidRDefault="0043175D" w:rsidP="0043175D">
      <w:pPr>
        <w:pStyle w:val="FootnoteText"/>
        <w:rPr>
          <w:lang w:val="en-US"/>
        </w:rPr>
      </w:pPr>
      <w:r w:rsidRPr="00750617">
        <w:tab/>
      </w:r>
      <w:r w:rsidRPr="00750617">
        <w:rPr>
          <w:rStyle w:val="FootnoteReference"/>
        </w:rPr>
        <w:footnoteRef/>
      </w:r>
      <w:r w:rsidRPr="000D3559">
        <w:rPr>
          <w:lang w:val="en-US"/>
        </w:rPr>
        <w:tab/>
      </w:r>
      <w:proofErr w:type="spellStart"/>
      <w:r w:rsidRPr="000D3559">
        <w:rPr>
          <w:lang w:val="en-US"/>
        </w:rPr>
        <w:t>Voir</w:t>
      </w:r>
      <w:proofErr w:type="spellEnd"/>
      <w:r w:rsidRPr="000D3559">
        <w:rPr>
          <w:lang w:val="en-US"/>
        </w:rPr>
        <w:t xml:space="preserve"> S. </w:t>
      </w:r>
      <w:proofErr w:type="spellStart"/>
      <w:r w:rsidRPr="000D3559">
        <w:rPr>
          <w:lang w:val="en-US"/>
        </w:rPr>
        <w:t>Talmon</w:t>
      </w:r>
      <w:proofErr w:type="spellEnd"/>
      <w:r w:rsidRPr="000D3559">
        <w:rPr>
          <w:lang w:val="en-US"/>
        </w:rPr>
        <w:t xml:space="preserve"> et A. Quast </w:t>
      </w:r>
      <w:proofErr w:type="spellStart"/>
      <w:r w:rsidRPr="000D3559">
        <w:rPr>
          <w:lang w:val="en-US"/>
        </w:rPr>
        <w:t>Mertsch</w:t>
      </w:r>
      <w:proofErr w:type="spellEnd"/>
      <w:r w:rsidRPr="000D3559">
        <w:rPr>
          <w:lang w:val="en-US"/>
        </w:rPr>
        <w:t xml:space="preserve">, « Germany’s position and practice on provisional application of treaties », </w:t>
      </w:r>
      <w:r w:rsidRPr="000D3559">
        <w:rPr>
          <w:iCs/>
          <w:lang w:val="en-US"/>
        </w:rPr>
        <w:t>GPIL − German Practice in International Law,</w:t>
      </w:r>
      <w:r w:rsidRPr="000D3559">
        <w:rPr>
          <w:i/>
          <w:lang w:val="en-US"/>
        </w:rPr>
        <w:t xml:space="preserve"> </w:t>
      </w:r>
      <w:r w:rsidRPr="000D3559">
        <w:rPr>
          <w:lang w:val="en-US"/>
        </w:rPr>
        <w:t>2021.</w:t>
      </w:r>
    </w:p>
  </w:footnote>
  <w:footnote w:id="45">
    <w:p w14:paraId="649D943F" w14:textId="77777777" w:rsidR="0043175D" w:rsidRPr="00750617" w:rsidRDefault="0043175D" w:rsidP="0043175D">
      <w:pPr>
        <w:pStyle w:val="FootnoteText"/>
      </w:pPr>
      <w:r w:rsidRPr="000D3559">
        <w:rPr>
          <w:lang w:val="en-US"/>
        </w:rPr>
        <w:tab/>
      </w:r>
      <w:r w:rsidRPr="00750617">
        <w:rPr>
          <w:rStyle w:val="FootnoteReference"/>
        </w:rPr>
        <w:footnoteRef/>
      </w:r>
      <w:r w:rsidRPr="00750617">
        <w:tab/>
        <w:t xml:space="preserve">L’article 27 de la Convention de Vienne de 1969 dispose : </w:t>
      </w:r>
    </w:p>
    <w:p w14:paraId="0C4D231C" w14:textId="77777777" w:rsidR="0043175D" w:rsidRPr="00750617" w:rsidRDefault="0043175D" w:rsidP="0043175D">
      <w:pPr>
        <w:pStyle w:val="FootnoteText"/>
        <w:ind w:left="1701" w:firstLine="0"/>
        <w:rPr>
          <w:bCs/>
          <w:iCs/>
        </w:rPr>
      </w:pPr>
      <w:r w:rsidRPr="00750617">
        <w:rPr>
          <w:bCs/>
          <w:iCs/>
        </w:rPr>
        <w:t>Droit interne et respect des traités</w:t>
      </w:r>
    </w:p>
    <w:p w14:paraId="0648A412" w14:textId="77777777" w:rsidR="0043175D" w:rsidRPr="00750617" w:rsidRDefault="0043175D" w:rsidP="0043175D">
      <w:pPr>
        <w:pStyle w:val="FootnoteText"/>
        <w:ind w:left="1701" w:firstLine="0"/>
      </w:pPr>
      <w:r w:rsidRPr="00750617">
        <w:tab/>
      </w:r>
      <w:r w:rsidRPr="00750617">
        <w:tab/>
        <w:t>Une partie ne peut invoquer les dispositions de son droit interne comme justifiant la non-exécution d’un traité</w:t>
      </w:r>
      <w:r w:rsidRPr="00F22925">
        <w:t>.</w:t>
      </w:r>
      <w:r w:rsidRPr="00750617">
        <w:t xml:space="preserve"> Cette règle est sans préjudice de l’article 46</w:t>
      </w:r>
      <w:r w:rsidRPr="00F22925">
        <w:t>.</w:t>
      </w:r>
      <w:r w:rsidRPr="00750617">
        <w:t xml:space="preserve"> </w:t>
      </w:r>
    </w:p>
  </w:footnote>
  <w:footnote w:id="46">
    <w:p w14:paraId="2BCAF12D" w14:textId="77777777" w:rsidR="0043175D" w:rsidRPr="00750617" w:rsidRDefault="0043175D" w:rsidP="0043175D">
      <w:pPr>
        <w:pStyle w:val="FootnoteText"/>
      </w:pPr>
      <w:r w:rsidRPr="00750617">
        <w:tab/>
      </w:r>
      <w:r w:rsidRPr="00750617">
        <w:rPr>
          <w:rStyle w:val="FootnoteReference"/>
        </w:rPr>
        <w:footnoteRef/>
      </w:r>
      <w:r w:rsidRPr="00750617">
        <w:tab/>
        <w:t xml:space="preserve">L’article 27 de la Convention de Vienne de 1986 dispose : </w:t>
      </w:r>
    </w:p>
    <w:p w14:paraId="23930C63" w14:textId="77777777" w:rsidR="0043175D" w:rsidRPr="00750617" w:rsidRDefault="0043175D" w:rsidP="0043175D">
      <w:pPr>
        <w:pStyle w:val="FootnoteText"/>
        <w:ind w:left="1701" w:firstLine="0"/>
      </w:pPr>
      <w:r w:rsidRPr="00750617">
        <w:t>Droit interne des États, règles des organisations internationales et respect des traités</w:t>
      </w:r>
    </w:p>
    <w:p w14:paraId="5B4EFEEA" w14:textId="77777777" w:rsidR="0043175D" w:rsidRPr="00750617" w:rsidRDefault="0043175D" w:rsidP="0043175D">
      <w:pPr>
        <w:pStyle w:val="FootnoteText"/>
        <w:ind w:left="1701" w:firstLine="0"/>
      </w:pPr>
      <w:r w:rsidRPr="00750617">
        <w:t>1</w:t>
      </w:r>
      <w:r w:rsidRPr="00F22925">
        <w:t>.</w:t>
      </w:r>
      <w:r w:rsidRPr="00750617">
        <w:tab/>
        <w:t>Un État partie à un traité ne peut invoquer les dispositions de son droit interne comme justifiant la non-exécution du traité</w:t>
      </w:r>
      <w:r w:rsidRPr="00F22925">
        <w:t>.</w:t>
      </w:r>
    </w:p>
    <w:p w14:paraId="009645C2" w14:textId="77777777" w:rsidR="0043175D" w:rsidRPr="00750617" w:rsidRDefault="0043175D" w:rsidP="0043175D">
      <w:pPr>
        <w:pStyle w:val="FootnoteText"/>
        <w:ind w:left="1701" w:firstLine="0"/>
      </w:pPr>
      <w:r w:rsidRPr="00750617">
        <w:t>2</w:t>
      </w:r>
      <w:r w:rsidRPr="00F22925">
        <w:t>.</w:t>
      </w:r>
      <w:r w:rsidRPr="00750617">
        <w:tab/>
        <w:t>Une organisation internationale partie à un traité ne peut invoquer les règles de l’organisation comme justifiant la non-exécution du traité</w:t>
      </w:r>
      <w:r w:rsidRPr="00F22925">
        <w:t>.</w:t>
      </w:r>
    </w:p>
    <w:p w14:paraId="1FFEC26D" w14:textId="77777777" w:rsidR="0043175D" w:rsidRPr="00750617" w:rsidRDefault="0043175D" w:rsidP="0043175D">
      <w:pPr>
        <w:pStyle w:val="FootnoteText"/>
        <w:ind w:left="1701" w:firstLine="0"/>
      </w:pPr>
      <w:r w:rsidRPr="00750617">
        <w:t>3</w:t>
      </w:r>
      <w:r w:rsidRPr="00F22925">
        <w:t>.</w:t>
      </w:r>
      <w:r w:rsidRPr="00750617">
        <w:tab/>
        <w:t>Les règles énoncées dans les paragraphes précédents sont sans préjudice de l’article 46</w:t>
      </w:r>
      <w:r w:rsidRPr="00F22925">
        <w:t>.</w:t>
      </w:r>
      <w:r w:rsidRPr="00750617">
        <w:t xml:space="preserve"> </w:t>
      </w:r>
    </w:p>
  </w:footnote>
  <w:footnote w:id="47">
    <w:p w14:paraId="0B7583C1" w14:textId="77777777" w:rsidR="0043175D" w:rsidRPr="00750617" w:rsidRDefault="0043175D" w:rsidP="0043175D">
      <w:pPr>
        <w:pStyle w:val="FootnoteText"/>
      </w:pPr>
      <w:r w:rsidRPr="00750617">
        <w:tab/>
      </w:r>
      <w:r w:rsidRPr="00750617">
        <w:rPr>
          <w:rStyle w:val="FootnoteReference"/>
        </w:rPr>
        <w:footnoteRef/>
      </w:r>
      <w:r w:rsidRPr="00750617">
        <w:tab/>
        <w:t>Voir A</w:t>
      </w:r>
      <w:r w:rsidRPr="00F22925">
        <w:t>.</w:t>
      </w:r>
      <w:r w:rsidRPr="00750617">
        <w:t xml:space="preserve"> </w:t>
      </w:r>
      <w:proofErr w:type="spellStart"/>
      <w:r w:rsidRPr="00750617">
        <w:t>Schaus</w:t>
      </w:r>
      <w:proofErr w:type="spellEnd"/>
      <w:r w:rsidRPr="00750617">
        <w:t>, « Convention de 1969</w:t>
      </w:r>
      <w:r w:rsidRPr="00F22925">
        <w:t>.</w:t>
      </w:r>
      <w:r w:rsidRPr="00750617">
        <w:t xml:space="preserve"> Article 27 : droit interne et respect des traités », dans </w:t>
      </w:r>
      <w:proofErr w:type="spellStart"/>
      <w:r w:rsidRPr="00750617">
        <w:t>Corten</w:t>
      </w:r>
      <w:proofErr w:type="spellEnd"/>
      <w:r w:rsidRPr="00750617">
        <w:t xml:space="preserve"> et Klein, </w:t>
      </w:r>
      <w:r w:rsidRPr="00750617">
        <w:rPr>
          <w:i/>
          <w:iCs/>
        </w:rPr>
        <w:t xml:space="preserve">The Vienna Conventions on the Law of </w:t>
      </w:r>
      <w:proofErr w:type="spellStart"/>
      <w:proofErr w:type="gramStart"/>
      <w:r w:rsidRPr="00750617">
        <w:rPr>
          <w:i/>
          <w:iCs/>
        </w:rPr>
        <w:t>Treaties</w:t>
      </w:r>
      <w:proofErr w:type="spellEnd"/>
      <w:r w:rsidRPr="00750617">
        <w:rPr>
          <w:i/>
          <w:iCs/>
        </w:rPr>
        <w:t>:</w:t>
      </w:r>
      <w:proofErr w:type="gramEnd"/>
      <w:r w:rsidRPr="00750617">
        <w:rPr>
          <w:i/>
          <w:iCs/>
        </w:rPr>
        <w:t xml:space="preserve"> A </w:t>
      </w:r>
      <w:proofErr w:type="spellStart"/>
      <w:r w:rsidRPr="00750617">
        <w:rPr>
          <w:i/>
          <w:iCs/>
        </w:rPr>
        <w:t>Commentary</w:t>
      </w:r>
      <w:proofErr w:type="spellEnd"/>
      <w:r w:rsidRPr="00750617">
        <w:t>, vol</w:t>
      </w:r>
      <w:r w:rsidRPr="00F22925">
        <w:t>.</w:t>
      </w:r>
      <w:r w:rsidRPr="00750617">
        <w:t xml:space="preserve"> I (voir </w:t>
      </w:r>
      <w:r w:rsidRPr="00750617">
        <w:rPr>
          <w:i/>
          <w:iCs/>
        </w:rPr>
        <w:t>supra</w:t>
      </w:r>
      <w:r w:rsidRPr="00750617">
        <w:t xml:space="preserve"> la note </w:t>
      </w:r>
      <w:r w:rsidRPr="00750617">
        <w:fldChar w:fldCharType="begin"/>
      </w:r>
      <w:r w:rsidRPr="00750617">
        <w:instrText xml:space="preserve"> NOTEREF _Ref76972961 \h  \* MERGEFORMAT </w:instrText>
      </w:r>
      <w:r w:rsidRPr="00750617">
        <w:fldChar w:fldCharType="separate"/>
      </w:r>
      <w:r>
        <w:t>254</w:t>
      </w:r>
      <w:r w:rsidRPr="00750617">
        <w:fldChar w:fldCharType="end"/>
      </w:r>
      <w:r w:rsidRPr="00750617">
        <w:t>), p</w:t>
      </w:r>
      <w:r w:rsidRPr="00F22925">
        <w:t>.</w:t>
      </w:r>
      <w:r w:rsidRPr="00750617">
        <w:t xml:space="preserve"> 688 à 701, à la page 689</w:t>
      </w:r>
      <w:r w:rsidRPr="00F22925">
        <w:t>.</w:t>
      </w:r>
      <w:r w:rsidRPr="00750617">
        <w:t xml:space="preserve"> </w:t>
      </w:r>
    </w:p>
  </w:footnote>
  <w:footnote w:id="48">
    <w:p w14:paraId="364C2BEA" w14:textId="77777777" w:rsidR="0043175D" w:rsidRPr="000D3559" w:rsidRDefault="0043175D" w:rsidP="0043175D">
      <w:pPr>
        <w:pStyle w:val="FootnoteText"/>
        <w:rPr>
          <w:lang w:val="en-US"/>
        </w:rPr>
      </w:pPr>
      <w:r w:rsidRPr="00750617">
        <w:tab/>
      </w:r>
      <w:r w:rsidRPr="00750617">
        <w:rPr>
          <w:rStyle w:val="FootnoteReference"/>
        </w:rPr>
        <w:footnoteRef/>
      </w:r>
      <w:r w:rsidRPr="00750617">
        <w:tab/>
        <w:t xml:space="preserve">Voir l’article 7, « Caractère obligatoire des traités : principe de la primauté du droit international sur le droit interne », dans le quatrième rapport de Sir Gerald </w:t>
      </w:r>
      <w:proofErr w:type="spellStart"/>
      <w:r w:rsidRPr="00750617">
        <w:t>Fitzmaurice</w:t>
      </w:r>
      <w:proofErr w:type="spellEnd"/>
      <w:r w:rsidRPr="00750617">
        <w:t>, Rapporteur spécial (</w:t>
      </w:r>
      <w:r w:rsidRPr="00750617">
        <w:rPr>
          <w:i/>
          <w:iCs/>
        </w:rPr>
        <w:t>Annuaire … </w:t>
      </w:r>
      <w:r w:rsidRPr="000D3559">
        <w:rPr>
          <w:i/>
          <w:iCs/>
          <w:lang w:val="en-US"/>
        </w:rPr>
        <w:t>1959</w:t>
      </w:r>
      <w:r w:rsidRPr="000D3559">
        <w:rPr>
          <w:lang w:val="en-US"/>
        </w:rPr>
        <w:t xml:space="preserve">, vol. II, </w:t>
      </w:r>
      <w:hyperlink r:id="rId25" w:history="1">
        <w:r w:rsidRPr="000D3559">
          <w:rPr>
            <w:rStyle w:val="Hyperlink"/>
            <w:szCs w:val="18"/>
            <w:lang w:val="en-US"/>
          </w:rPr>
          <w:t>A/CN.4/120</w:t>
        </w:r>
      </w:hyperlink>
      <w:r w:rsidRPr="000D3559">
        <w:rPr>
          <w:lang w:val="en-US"/>
        </w:rPr>
        <w:t>, p. 44).</w:t>
      </w:r>
    </w:p>
  </w:footnote>
  <w:footnote w:id="49">
    <w:p w14:paraId="233D72F5" w14:textId="77777777" w:rsidR="0043175D" w:rsidRPr="00750617" w:rsidRDefault="0043175D" w:rsidP="0043175D">
      <w:pPr>
        <w:pStyle w:val="FootnoteText"/>
      </w:pPr>
      <w:r w:rsidRPr="000D3559">
        <w:rPr>
          <w:lang w:val="en-US"/>
        </w:rPr>
        <w:tab/>
      </w:r>
      <w:r w:rsidRPr="00750617">
        <w:rPr>
          <w:rStyle w:val="FootnoteReference"/>
        </w:rPr>
        <w:footnoteRef/>
      </w:r>
      <w:r w:rsidRPr="000D3559">
        <w:rPr>
          <w:lang w:val="en-US"/>
        </w:rPr>
        <w:tab/>
      </w:r>
      <w:proofErr w:type="spellStart"/>
      <w:r w:rsidRPr="000D3559">
        <w:rPr>
          <w:lang w:val="en-US"/>
        </w:rPr>
        <w:t>Voir</w:t>
      </w:r>
      <w:proofErr w:type="spellEnd"/>
      <w:r w:rsidRPr="000D3559">
        <w:rPr>
          <w:lang w:val="en-US"/>
        </w:rPr>
        <w:t xml:space="preserve"> </w:t>
      </w:r>
      <w:proofErr w:type="spellStart"/>
      <w:r w:rsidRPr="000D3559">
        <w:rPr>
          <w:lang w:val="en-US"/>
        </w:rPr>
        <w:t>Mertsch</w:t>
      </w:r>
      <w:proofErr w:type="spellEnd"/>
      <w:r w:rsidRPr="000D3559">
        <w:rPr>
          <w:lang w:val="en-US"/>
        </w:rPr>
        <w:t xml:space="preserve">, </w:t>
      </w:r>
      <w:r w:rsidRPr="000D3559">
        <w:rPr>
          <w:i/>
          <w:iCs/>
          <w:lang w:val="en-US"/>
        </w:rPr>
        <w:t>Provisionally Applied Treaties</w:t>
      </w:r>
      <w:r w:rsidRPr="000D3559">
        <w:rPr>
          <w:lang w:val="en-US"/>
        </w:rPr>
        <w:t xml:space="preserve">… </w:t>
      </w:r>
      <w:r w:rsidRPr="00750617">
        <w:t xml:space="preserve">(note </w:t>
      </w:r>
      <w:r w:rsidRPr="00750617">
        <w:fldChar w:fldCharType="begin"/>
      </w:r>
      <w:r w:rsidRPr="00750617">
        <w:instrText xml:space="preserve"> NOTEREF _Ref76972961 \h  \* MERGEFORMAT </w:instrText>
      </w:r>
      <w:r w:rsidRPr="00750617">
        <w:fldChar w:fldCharType="separate"/>
      </w:r>
      <w:r>
        <w:t>254</w:t>
      </w:r>
      <w:r w:rsidRPr="00750617">
        <w:fldChar w:fldCharType="end"/>
      </w:r>
      <w:r w:rsidRPr="00750617">
        <w:t xml:space="preserve"> </w:t>
      </w:r>
      <w:r w:rsidRPr="00750617">
        <w:rPr>
          <w:i/>
          <w:iCs/>
        </w:rPr>
        <w:t>supra</w:t>
      </w:r>
      <w:r w:rsidRPr="00750617">
        <w:t>), p</w:t>
      </w:r>
      <w:r w:rsidRPr="00F22925">
        <w:t>.</w:t>
      </w:r>
      <w:r w:rsidRPr="00750617">
        <w:t xml:space="preserve"> 64</w:t>
      </w:r>
      <w:r w:rsidRPr="00F22925">
        <w:t>.</w:t>
      </w:r>
    </w:p>
  </w:footnote>
  <w:footnote w:id="50">
    <w:p w14:paraId="076FF2FB" w14:textId="77777777" w:rsidR="0043175D" w:rsidRPr="00750617" w:rsidRDefault="0043175D" w:rsidP="0043175D">
      <w:pPr>
        <w:pStyle w:val="FootnoteText"/>
      </w:pPr>
      <w:r w:rsidRPr="00750617">
        <w:tab/>
      </w:r>
      <w:r w:rsidRPr="00750617">
        <w:rPr>
          <w:rStyle w:val="FootnoteReference"/>
        </w:rPr>
        <w:footnoteRef/>
      </w:r>
      <w:r w:rsidRPr="00750617">
        <w:tab/>
        <w:t xml:space="preserve">Voir </w:t>
      </w:r>
      <w:proofErr w:type="spellStart"/>
      <w:r w:rsidRPr="00750617">
        <w:t>Mathy</w:t>
      </w:r>
      <w:proofErr w:type="spellEnd"/>
      <w:r w:rsidRPr="00750617">
        <w:t xml:space="preserve">, « Article 25 » </w:t>
      </w:r>
      <w:r w:rsidRPr="00750617">
        <w:rPr>
          <w:lang w:eastAsia="es-ES_tradnl"/>
        </w:rPr>
        <w:t xml:space="preserve">(note </w:t>
      </w:r>
      <w:r w:rsidRPr="00750617">
        <w:fldChar w:fldCharType="begin"/>
      </w:r>
      <w:r w:rsidRPr="00750617">
        <w:rPr>
          <w:lang w:eastAsia="es-ES_tradnl"/>
        </w:rPr>
        <w:instrText xml:space="preserve"> NOTEREF _Ref76972961 \h </w:instrText>
      </w:r>
      <w:r w:rsidRPr="00750617">
        <w:instrText xml:space="preserve"> \* MERGEFORMAT </w:instrText>
      </w:r>
      <w:r w:rsidRPr="00750617">
        <w:fldChar w:fldCharType="separate"/>
      </w:r>
      <w:r>
        <w:rPr>
          <w:lang w:eastAsia="es-ES_tradnl"/>
        </w:rPr>
        <w:t>254</w:t>
      </w:r>
      <w:r w:rsidRPr="00750617">
        <w:fldChar w:fldCharType="end"/>
      </w:r>
      <w:r w:rsidRPr="00750617">
        <w:t xml:space="preserve"> </w:t>
      </w:r>
      <w:r w:rsidRPr="00750617">
        <w:rPr>
          <w:i/>
          <w:iCs/>
          <w:lang w:eastAsia="es-ES_tradnl"/>
        </w:rPr>
        <w:t>supra</w:t>
      </w:r>
      <w:r w:rsidRPr="00750617">
        <w:rPr>
          <w:lang w:eastAsia="es-ES_tradnl"/>
        </w:rPr>
        <w:t xml:space="preserve">), </w:t>
      </w:r>
      <w:r w:rsidRPr="00750617">
        <w:t>p</w:t>
      </w:r>
      <w:r w:rsidRPr="00F22925">
        <w:t>.</w:t>
      </w:r>
      <w:r w:rsidRPr="00750617">
        <w:t xml:space="preserve"> 646</w:t>
      </w:r>
      <w:r w:rsidRPr="00F22925">
        <w:t>.</w:t>
      </w:r>
    </w:p>
  </w:footnote>
  <w:footnote w:id="51">
    <w:p w14:paraId="6CC92FB8" w14:textId="77777777" w:rsidR="0043175D" w:rsidRPr="00750617" w:rsidRDefault="0043175D" w:rsidP="0043175D">
      <w:pPr>
        <w:pStyle w:val="FootnoteText"/>
      </w:pPr>
      <w:r w:rsidRPr="00750617">
        <w:tab/>
      </w:r>
      <w:r w:rsidRPr="00750617">
        <w:rPr>
          <w:rStyle w:val="FootnoteReference"/>
        </w:rPr>
        <w:footnoteRef/>
      </w:r>
      <w:r w:rsidRPr="00750617">
        <w:tab/>
        <w:t>Voir l’article 3 des articles de 2001 sur la responsabilité de l’État pour fait internationalement illicite (</w:t>
      </w:r>
      <w:r w:rsidRPr="00750617">
        <w:rPr>
          <w:i/>
          <w:iCs/>
        </w:rPr>
        <w:t>Annuaire … 2001</w:t>
      </w:r>
      <w:r w:rsidRPr="00750617">
        <w:t>, vol</w:t>
      </w:r>
      <w:r w:rsidRPr="00F22925">
        <w:t>.</w:t>
      </w:r>
      <w:r w:rsidRPr="00750617">
        <w:t xml:space="preserve"> II (2</w:t>
      </w:r>
      <w:r w:rsidRPr="00750617">
        <w:rPr>
          <w:vertAlign w:val="superscript"/>
        </w:rPr>
        <w:t>e</w:t>
      </w:r>
      <w:r w:rsidRPr="00750617">
        <w:t xml:space="preserve"> partie) et rectificatif, par</w:t>
      </w:r>
      <w:r w:rsidRPr="00F22925">
        <w:t>.</w:t>
      </w:r>
      <w:r w:rsidRPr="00750617">
        <w:t xml:space="preserve"> 76, </w:t>
      </w:r>
      <w:r w:rsidRPr="00750617">
        <w:rPr>
          <w:spacing w:val="-4"/>
        </w:rPr>
        <w:t>ultérieurement annexé à la résolution </w:t>
      </w:r>
      <w:hyperlink r:id="rId26" w:history="1">
        <w:r w:rsidRPr="00750617">
          <w:rPr>
            <w:rStyle w:val="Hyperlink"/>
            <w:spacing w:val="-4"/>
          </w:rPr>
          <w:t>56/83</w:t>
        </w:r>
      </w:hyperlink>
      <w:r w:rsidRPr="00750617">
        <w:t xml:space="preserve"> de l’Assemblée générale, en date du 12 décembre 2001) ; et l’article 5 des articles de 2011 sur la responsabilité des organisations internationales (</w:t>
      </w:r>
      <w:r w:rsidRPr="00750617">
        <w:rPr>
          <w:i/>
          <w:iCs/>
        </w:rPr>
        <w:t>Annuaire … 2011</w:t>
      </w:r>
      <w:r w:rsidRPr="00750617">
        <w:t>, vol</w:t>
      </w:r>
      <w:r w:rsidRPr="00F22925">
        <w:t>.</w:t>
      </w:r>
      <w:r w:rsidRPr="00750617">
        <w:t xml:space="preserve"> II (2</w:t>
      </w:r>
      <w:r w:rsidRPr="00750617">
        <w:rPr>
          <w:vertAlign w:val="superscript"/>
        </w:rPr>
        <w:t>e</w:t>
      </w:r>
      <w:r w:rsidRPr="00750617">
        <w:t xml:space="preserve"> partie), par</w:t>
      </w:r>
      <w:r w:rsidRPr="00F22925">
        <w:t>.</w:t>
      </w:r>
      <w:r w:rsidRPr="00750617">
        <w:t xml:space="preserve"> 87, ultérieurement annexé à la résolution </w:t>
      </w:r>
      <w:hyperlink r:id="rId27" w:history="1">
        <w:r w:rsidRPr="00750617">
          <w:rPr>
            <w:rStyle w:val="Hyperlink"/>
          </w:rPr>
          <w:t>66/100</w:t>
        </w:r>
      </w:hyperlink>
      <w:r w:rsidRPr="00750617">
        <w:t xml:space="preserve"> de l’Assemblée générale, en date du 9 décembre 2011)</w:t>
      </w:r>
      <w:r w:rsidRPr="00F22925">
        <w:t>.</w:t>
      </w:r>
      <w:r w:rsidRPr="00750617">
        <w:t xml:space="preserve"> </w:t>
      </w:r>
    </w:p>
  </w:footnote>
  <w:footnote w:id="52">
    <w:p w14:paraId="7D3889F2" w14:textId="77777777" w:rsidR="0043175D" w:rsidRPr="00750617" w:rsidRDefault="0043175D" w:rsidP="0043175D">
      <w:pPr>
        <w:pStyle w:val="FootnoteText"/>
      </w:pPr>
      <w:r w:rsidRPr="00750617">
        <w:tab/>
      </w:r>
      <w:r w:rsidRPr="00750617">
        <w:rPr>
          <w:rStyle w:val="FootnoteReference"/>
        </w:rPr>
        <w:footnoteRef/>
      </w:r>
      <w:r w:rsidRPr="00750617">
        <w:tab/>
        <w:t xml:space="preserve">L’article 46 de la Convention de Vienne de 1969 dispose : </w:t>
      </w:r>
    </w:p>
    <w:p w14:paraId="7D10FC86" w14:textId="77777777" w:rsidR="0043175D" w:rsidRPr="00750617" w:rsidRDefault="0043175D" w:rsidP="0043175D">
      <w:pPr>
        <w:pStyle w:val="FootnoteText"/>
        <w:ind w:left="1701" w:firstLine="0"/>
        <w:rPr>
          <w:bCs/>
        </w:rPr>
      </w:pPr>
      <w:r w:rsidRPr="00750617">
        <w:rPr>
          <w:bCs/>
        </w:rPr>
        <w:t xml:space="preserve">Dispositions du droit interne concernant la compétence pour conclure des traités </w:t>
      </w:r>
    </w:p>
    <w:p w14:paraId="0FB4AB60" w14:textId="77777777" w:rsidR="0043175D" w:rsidRPr="00750617" w:rsidRDefault="0043175D" w:rsidP="0043175D">
      <w:pPr>
        <w:pStyle w:val="FootnoteText"/>
        <w:ind w:left="1701" w:firstLine="0"/>
      </w:pPr>
      <w:r w:rsidRPr="00750617">
        <w:t>1</w:t>
      </w:r>
      <w:r w:rsidRPr="00F22925">
        <w:t>.</w:t>
      </w:r>
      <w:r w:rsidRPr="00750617">
        <w:tab/>
        <w:t>Le fait que le consentement d’un État à être lié par un traité a été exprimé en violation d’une disposition de son droit interne concernant la compétence pour conclure des traités ne peut être invoqué par cet État comme viciant son consentement, à moins que cette violation n’ait été manifeste et ne concerne une règle de son droit interne d’importance fondamentale</w:t>
      </w:r>
      <w:r w:rsidRPr="00F22925">
        <w:t>.</w:t>
      </w:r>
      <w:r w:rsidRPr="00750617">
        <w:br/>
        <w:t>2</w:t>
      </w:r>
      <w:r w:rsidRPr="00F22925">
        <w:t>.</w:t>
      </w:r>
      <w:r w:rsidRPr="00750617">
        <w:tab/>
        <w:t>Une violation est manifeste si elle est objectivement évidente pour tout État se comportant en la matière conformément à la pratique habituelle et de bonne foi</w:t>
      </w:r>
      <w:r w:rsidRPr="00F22925">
        <w:t>.</w:t>
      </w:r>
    </w:p>
  </w:footnote>
  <w:footnote w:id="53">
    <w:p w14:paraId="211F3DBF" w14:textId="77777777" w:rsidR="0043175D" w:rsidRPr="00750617" w:rsidRDefault="0043175D" w:rsidP="0043175D">
      <w:pPr>
        <w:pStyle w:val="FootnoteText"/>
      </w:pPr>
      <w:r w:rsidRPr="00750617">
        <w:tab/>
      </w:r>
      <w:r w:rsidRPr="00750617">
        <w:rPr>
          <w:rStyle w:val="FootnoteReference"/>
        </w:rPr>
        <w:footnoteRef/>
      </w:r>
      <w:r w:rsidRPr="00750617">
        <w:tab/>
        <w:t xml:space="preserve">L’article 46 de la Convention de Vienne de 1986 dispose : </w:t>
      </w:r>
    </w:p>
    <w:p w14:paraId="469080E2" w14:textId="77777777" w:rsidR="0043175D" w:rsidRPr="00750617" w:rsidRDefault="0043175D" w:rsidP="0043175D">
      <w:pPr>
        <w:pStyle w:val="FootnoteText"/>
        <w:ind w:left="1701" w:firstLine="0"/>
        <w:rPr>
          <w:bCs/>
        </w:rPr>
      </w:pPr>
      <w:r w:rsidRPr="00750617">
        <w:rPr>
          <w:bCs/>
        </w:rPr>
        <w:t xml:space="preserve">Dispositions du droit interne d’un État et règles d’une organisation internationale concernant la compétence pour conclure des traités </w:t>
      </w:r>
    </w:p>
    <w:p w14:paraId="30AD364B" w14:textId="77777777" w:rsidR="0043175D" w:rsidRPr="00750617" w:rsidRDefault="0043175D" w:rsidP="0043175D">
      <w:pPr>
        <w:pStyle w:val="FootnoteText"/>
        <w:ind w:left="1701" w:firstLine="0"/>
      </w:pPr>
      <w:r w:rsidRPr="00750617">
        <w:t>1</w:t>
      </w:r>
      <w:r w:rsidRPr="00F22925">
        <w:t>.</w:t>
      </w:r>
      <w:r w:rsidRPr="00750617">
        <w:tab/>
        <w:t>Le fait que le consentement d’un État à être lié par un traité a été exprimé en violation d’une disposition de son droit interne concernant la compétence pour conclure des traités ne peut être invoqué par cet État comme viciant son consentement, à moins que cette violation n’ait été manifeste et ne concerne une règle de son droit interne d’importance fondamentale</w:t>
      </w:r>
      <w:r w:rsidRPr="00F22925">
        <w:t>.</w:t>
      </w:r>
      <w:r w:rsidRPr="00750617">
        <w:t xml:space="preserve"> </w:t>
      </w:r>
    </w:p>
    <w:p w14:paraId="0008AD12" w14:textId="77777777" w:rsidR="0043175D" w:rsidRPr="00750617" w:rsidRDefault="0043175D" w:rsidP="0043175D">
      <w:pPr>
        <w:pStyle w:val="FootnoteText"/>
        <w:ind w:left="1701" w:firstLine="0"/>
      </w:pPr>
      <w:r w:rsidRPr="00750617">
        <w:t>2</w:t>
      </w:r>
      <w:r w:rsidRPr="00F22925">
        <w:t>.</w:t>
      </w:r>
      <w:r w:rsidRPr="00750617">
        <w:tab/>
        <w:t>Le fait que le consentement d’une organisation internationale à être liée par un traité a été exprimé en violation des règles de l’organisation concernant la compétence pour conclure des traités ne peut être invoqué par cette organisation comme viciant son consentement, à moins que cette violation n’ait été manifeste et ne concerne une règle d’importance fondamentale</w:t>
      </w:r>
      <w:r w:rsidRPr="00F22925">
        <w:t>.</w:t>
      </w:r>
    </w:p>
    <w:p w14:paraId="67E44C80" w14:textId="77777777" w:rsidR="0043175D" w:rsidRPr="00750617" w:rsidRDefault="0043175D" w:rsidP="0043175D">
      <w:pPr>
        <w:pStyle w:val="FootnoteText"/>
        <w:ind w:left="1701" w:firstLine="0"/>
      </w:pPr>
      <w:r w:rsidRPr="00750617">
        <w:t>3</w:t>
      </w:r>
      <w:r w:rsidRPr="00F22925">
        <w:t>.</w:t>
      </w:r>
      <w:r w:rsidRPr="00750617">
        <w:tab/>
        <w:t>Une violation est manifeste si elle est objectivement évidente pour tout État ou toute organisation internationale se comportant en la matière conformément à la pratique habituelle des États et, le cas échéant, des organisations internationales et de bonne foi</w:t>
      </w:r>
      <w:r w:rsidRPr="00F22925">
        <w:t>.</w:t>
      </w:r>
    </w:p>
  </w:footnote>
  <w:footnote w:id="54">
    <w:p w14:paraId="3C57B6D9" w14:textId="77777777" w:rsidR="0043175D" w:rsidRPr="00750617" w:rsidRDefault="0043175D" w:rsidP="0043175D">
      <w:pPr>
        <w:pStyle w:val="FootnoteText"/>
      </w:pPr>
      <w:r w:rsidRPr="00750617">
        <w:tab/>
      </w:r>
      <w:r w:rsidRPr="00750617">
        <w:rPr>
          <w:rStyle w:val="FootnoteReference"/>
        </w:rPr>
        <w:footnoteRef/>
      </w:r>
      <w:r w:rsidRPr="00750617">
        <w:tab/>
        <w:t>Comme prévu au paragraphe 2 de l’article 46 de la Convention de Vienne de 1969 et au paragraphe 3 de l’article 46 de la Convention de Vienne de 1986</w:t>
      </w:r>
      <w:r w:rsidRPr="00F22925">
        <w:t>.</w:t>
      </w:r>
      <w:r w:rsidRPr="00750617">
        <w:t xml:space="preserve"> </w:t>
      </w:r>
    </w:p>
  </w:footnote>
  <w:footnote w:id="55">
    <w:p w14:paraId="0C0E7CF9" w14:textId="77777777" w:rsidR="0043175D" w:rsidRPr="00750617" w:rsidRDefault="0043175D" w:rsidP="0043175D">
      <w:pPr>
        <w:pStyle w:val="FootnoteText"/>
      </w:pPr>
      <w:r w:rsidRPr="00750617">
        <w:tab/>
      </w:r>
      <w:r w:rsidRPr="00750617">
        <w:rPr>
          <w:rStyle w:val="FootnoteReference"/>
        </w:rPr>
        <w:footnoteRef/>
      </w:r>
      <w:r w:rsidRPr="00750617">
        <w:tab/>
        <w:t>Voir, par exemple, l’article 45 du Traité sur la Charte de l’énergie</w:t>
      </w:r>
      <w:r w:rsidRPr="00F22925">
        <w:t>.</w:t>
      </w:r>
      <w:r w:rsidRPr="00750617">
        <w:t xml:space="preserve"> </w:t>
      </w:r>
    </w:p>
  </w:footnote>
  <w:footnote w:id="56">
    <w:p w14:paraId="22DD23A4" w14:textId="77777777" w:rsidR="0043175D" w:rsidRPr="00750617" w:rsidRDefault="0043175D" w:rsidP="0043175D">
      <w:pPr>
        <w:pStyle w:val="FootnoteText"/>
      </w:pPr>
      <w:r w:rsidRPr="00750617">
        <w:tab/>
      </w:r>
      <w:r w:rsidRPr="00750617">
        <w:rPr>
          <w:rStyle w:val="FootnoteReference"/>
        </w:rPr>
        <w:footnoteRef/>
      </w:r>
      <w:r w:rsidRPr="00750617">
        <w:tab/>
        <w:t>Voir les exemples d’accords de libre-échange entre les États de l’AELE et de nombreux autres États (Albanie, Bosnie-Herzégovine, Canada, Chili, Égypte, ex-République yougoslave de Macédoine, Géorgie, Liban, Mexique, Monténégro, Pérou, Philippines, République de Corée, Serbie, Singapour, Tunisie et États d’Amérique centrale, États membres du Conseil de coopération du Golfe et États de l’Union douanière de l’Afrique australe), dans lesquels différentes clauses sont utilisées à cette fin, notamment « sous réserve de ses exigences constitutionnelles », « si son propre cadre juridique l’y autorise » ou « si leur droit interne les y autorise » (</w:t>
      </w:r>
      <w:hyperlink r:id="rId28" w:history="1">
        <w:r w:rsidRPr="00750617">
          <w:rPr>
            <w:rStyle w:val="Hyperlink"/>
            <w:szCs w:val="18"/>
          </w:rPr>
          <w:t>http://www</w:t>
        </w:r>
        <w:r w:rsidRPr="00F22925">
          <w:rPr>
            <w:rStyle w:val="Hyperlink"/>
            <w:szCs w:val="18"/>
          </w:rPr>
          <w:t>.</w:t>
        </w:r>
        <w:r w:rsidRPr="00750617">
          <w:rPr>
            <w:rStyle w:val="Hyperlink"/>
            <w:szCs w:val="18"/>
          </w:rPr>
          <w:t>efta</w:t>
        </w:r>
        <w:r w:rsidRPr="00F22925">
          <w:rPr>
            <w:rStyle w:val="Hyperlink"/>
            <w:szCs w:val="18"/>
          </w:rPr>
          <w:t>.</w:t>
        </w:r>
        <w:r w:rsidRPr="00750617">
          <w:rPr>
            <w:rStyle w:val="Hyperlink"/>
            <w:szCs w:val="18"/>
          </w:rPr>
          <w:t>int/free-trade/free-trade-agreements</w:t>
        </w:r>
      </w:hyperlink>
      <w:r w:rsidRPr="00750617">
        <w:t>)</w:t>
      </w:r>
      <w:r w:rsidRPr="00F22925">
        <w:t>.</w:t>
      </w:r>
      <w:r w:rsidRPr="00750617">
        <w:t xml:space="preserve"> Par exemple, le paragraphe 2 de l’article 43 de l’Accord de libre-échange entre les États de l’AELE et les États de l’Union douanière de l’Afrique australe est ainsi libellé : </w:t>
      </w:r>
    </w:p>
    <w:p w14:paraId="18AD137C" w14:textId="77777777" w:rsidR="0043175D" w:rsidRPr="00750617" w:rsidRDefault="0043175D" w:rsidP="0043175D">
      <w:pPr>
        <w:pStyle w:val="FootnoteText"/>
        <w:ind w:left="1701" w:firstLine="0"/>
      </w:pPr>
      <w:r w:rsidRPr="00750617">
        <w:t>Article 43 (Entrée en vigueur)</w:t>
      </w:r>
    </w:p>
    <w:p w14:paraId="42D14BC5" w14:textId="77777777" w:rsidR="0043175D" w:rsidRPr="00750617" w:rsidRDefault="0043175D" w:rsidP="0043175D">
      <w:pPr>
        <w:pStyle w:val="FootnoteText"/>
        <w:ind w:left="1701" w:firstLine="0"/>
      </w:pPr>
      <w:r w:rsidRPr="00750617">
        <w:t>[…]</w:t>
      </w:r>
    </w:p>
    <w:p w14:paraId="7254A898" w14:textId="77777777" w:rsidR="0043175D" w:rsidRPr="00750617" w:rsidRDefault="0043175D" w:rsidP="0043175D">
      <w:pPr>
        <w:pStyle w:val="FootnoteText"/>
        <w:ind w:left="1701" w:firstLine="0"/>
      </w:pPr>
      <w:r w:rsidRPr="00750617">
        <w:t>2</w:t>
      </w:r>
      <w:r w:rsidRPr="00F22925">
        <w:t>.</w:t>
      </w:r>
      <w:r w:rsidRPr="00750617">
        <w:tab/>
        <w:t>Sous réserve de ses exigences constitutionnelles, tout État de l’AELE ou de la SACU peut appliquer le présent Accord à titre provisoire</w:t>
      </w:r>
      <w:r w:rsidRPr="00F22925">
        <w:t>.</w:t>
      </w:r>
      <w:r w:rsidRPr="00750617">
        <w:t xml:space="preserve"> L’application provisoire du présent Accord en vertu du présent paragraphe fait l’objet d’une notification au Dépositaire</w:t>
      </w:r>
      <w:r w:rsidRPr="00F22925">
        <w:t>.</w:t>
      </w:r>
      <w:r w:rsidRPr="00750617">
        <w:t xml:space="preserve"> </w:t>
      </w:r>
    </w:p>
    <w:p w14:paraId="34D4BBDE" w14:textId="77777777" w:rsidR="0043175D" w:rsidRPr="00750617" w:rsidRDefault="0043175D" w:rsidP="0043175D">
      <w:pPr>
        <w:pStyle w:val="FootnoteText"/>
        <w:ind w:firstLine="0"/>
      </w:pPr>
      <w:r w:rsidRPr="00750617">
        <w:t xml:space="preserve">Voir aussi l’article 22 </w:t>
      </w:r>
      <w:proofErr w:type="gramStart"/>
      <w:r w:rsidRPr="00750617">
        <w:t xml:space="preserve">de </w:t>
      </w:r>
      <w:r w:rsidRPr="00750617">
        <w:rPr>
          <w:rStyle w:val="preferred"/>
        </w:rPr>
        <w:t>Accord</w:t>
      </w:r>
      <w:proofErr w:type="gramEnd"/>
      <w:r w:rsidRPr="00750617">
        <w:rPr>
          <w:rStyle w:val="preferred"/>
        </w:rPr>
        <w:t xml:space="preserve"> général sur les privilèges et immunités du Conseil de l’Europe (Paris, 2 septembre 1949, </w:t>
      </w:r>
      <w:r w:rsidRPr="00750617">
        <w:rPr>
          <w:rStyle w:val="preferred"/>
          <w:i/>
          <w:iCs/>
        </w:rPr>
        <w:t>Série des traités européens</w:t>
      </w:r>
      <w:r w:rsidRPr="00750617">
        <w:rPr>
          <w:rStyle w:val="preferred"/>
        </w:rPr>
        <w:t xml:space="preserve">, </w:t>
      </w:r>
      <w:r w:rsidRPr="00750617">
        <w:rPr>
          <w:rStyle w:val="preferred"/>
          <w:rFonts w:eastAsia="MS Mincho"/>
        </w:rPr>
        <w:t>n</w:t>
      </w:r>
      <w:r w:rsidRPr="00750617">
        <w:rPr>
          <w:rStyle w:val="preferred"/>
          <w:rFonts w:eastAsia="MS Mincho"/>
          <w:vertAlign w:val="superscript"/>
        </w:rPr>
        <w:t>o</w:t>
      </w:r>
      <w:r w:rsidRPr="00750617">
        <w:rPr>
          <w:rStyle w:val="preferred"/>
        </w:rPr>
        <w:t> 2) et l’article 17 de la Convention relative à l’élaboration d’une Pharmacopée européenne (Strasbourg, 22 juillet 1964, ibid</w:t>
      </w:r>
      <w:r w:rsidRPr="00F22925">
        <w:rPr>
          <w:rStyle w:val="preferred"/>
        </w:rPr>
        <w:t>.</w:t>
      </w:r>
      <w:r w:rsidRPr="00750617">
        <w:rPr>
          <w:rStyle w:val="preferred"/>
        </w:rPr>
        <w:t xml:space="preserve">, </w:t>
      </w:r>
      <w:r w:rsidRPr="00750617">
        <w:rPr>
          <w:rStyle w:val="preferred"/>
          <w:rFonts w:eastAsia="MS Mincho"/>
        </w:rPr>
        <w:t>n</w:t>
      </w:r>
      <w:r w:rsidRPr="00750617">
        <w:rPr>
          <w:rStyle w:val="preferred"/>
          <w:rFonts w:eastAsia="MS Mincho"/>
          <w:vertAlign w:val="superscript"/>
        </w:rPr>
        <w:t>o</w:t>
      </w:r>
      <w:r w:rsidRPr="00750617">
        <w:rPr>
          <w:rStyle w:val="preferred"/>
        </w:rPr>
        <w:t> 50)</w:t>
      </w:r>
      <w:r w:rsidRPr="00F22925">
        <w:rPr>
          <w:rStyle w:val="preferre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16D4C83"/>
    <w:multiLevelType w:val="multilevel"/>
    <w:tmpl w:val="40E036F0"/>
    <w:styleLink w:val="CurrentList2"/>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9206BAD"/>
    <w:multiLevelType w:val="multilevel"/>
    <w:tmpl w:val="9C363498"/>
    <w:styleLink w:val="CurrentList1"/>
    <w:lvl w:ilvl="0">
      <w:start w:val="1"/>
      <w:numFmt w:val="lowerRoman"/>
      <w:lvlText w:val="(%1)"/>
      <w:lvlJc w:val="left"/>
      <w:pPr>
        <w:ind w:left="1890" w:hanging="72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2"/>
  </w:num>
  <w:num w:numId="4">
    <w:abstractNumId w:val="0"/>
  </w:num>
  <w:num w:numId="5">
    <w:abstractNumId w:val="6"/>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5D"/>
    <w:rsid w:val="00014CBC"/>
    <w:rsid w:val="000B75FE"/>
    <w:rsid w:val="002A3CEE"/>
    <w:rsid w:val="00330E9D"/>
    <w:rsid w:val="00332B5D"/>
    <w:rsid w:val="0036584B"/>
    <w:rsid w:val="00383A15"/>
    <w:rsid w:val="0043175D"/>
    <w:rsid w:val="00464F7E"/>
    <w:rsid w:val="005B0396"/>
    <w:rsid w:val="00610EC5"/>
    <w:rsid w:val="00632697"/>
    <w:rsid w:val="006F2A17"/>
    <w:rsid w:val="00731E31"/>
    <w:rsid w:val="007A64AC"/>
    <w:rsid w:val="00A3455E"/>
    <w:rsid w:val="00B03ED2"/>
    <w:rsid w:val="00B23F13"/>
    <w:rsid w:val="00C205B2"/>
    <w:rsid w:val="00CB6319"/>
    <w:rsid w:val="00CC5620"/>
    <w:rsid w:val="00E20467"/>
    <w:rsid w:val="00E52F3B"/>
    <w:rsid w:val="00E66E99"/>
    <w:rsid w:val="00EE5DAE"/>
    <w:rsid w:val="00EF6E8E"/>
    <w:rsid w:val="00F6717E"/>
    <w:rsid w:val="00F70EFE"/>
    <w:rsid w:val="00F82317"/>
    <w:rsid w:val="00FC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DA72"/>
  <w14:defaultImageDpi w14:val="32767"/>
  <w15:chartTrackingRefBased/>
  <w15:docId w15:val="{83934C02-06B7-2D46-B164-8F4AD806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175D"/>
    <w:pPr>
      <w:suppressAutoHyphens/>
      <w:kinsoku w:val="0"/>
      <w:overflowPunct w:val="0"/>
      <w:autoSpaceDE w:val="0"/>
      <w:autoSpaceDN w:val="0"/>
      <w:adjustRightInd w:val="0"/>
      <w:snapToGrid w:val="0"/>
      <w:spacing w:line="240" w:lineRule="atLeast"/>
    </w:pPr>
    <w:rPr>
      <w:rFonts w:ascii="Times New Roman" w:hAnsi="Times New Roman" w:cs="Times New Roman"/>
      <w:sz w:val="20"/>
      <w:szCs w:val="20"/>
      <w:lang w:val="fr-CH"/>
    </w:rPr>
  </w:style>
  <w:style w:type="paragraph" w:styleId="Heading1">
    <w:name w:val="heading 1"/>
    <w:aliases w:val="Table_G"/>
    <w:basedOn w:val="SingleTxtG"/>
    <w:next w:val="SingleTxtG"/>
    <w:link w:val="Heading1Char"/>
    <w:qFormat/>
    <w:rsid w:val="0043175D"/>
    <w:pPr>
      <w:keepNext/>
      <w:keepLines/>
      <w:spacing w:after="0" w:line="240" w:lineRule="auto"/>
      <w:ind w:right="0"/>
      <w:jc w:val="left"/>
      <w:outlineLvl w:val="0"/>
    </w:pPr>
  </w:style>
  <w:style w:type="paragraph" w:styleId="Heading2">
    <w:name w:val="heading 2"/>
    <w:basedOn w:val="Normal"/>
    <w:next w:val="Normal"/>
    <w:link w:val="Heading2Char"/>
    <w:qFormat/>
    <w:rsid w:val="0043175D"/>
    <w:pPr>
      <w:outlineLvl w:val="1"/>
    </w:pPr>
  </w:style>
  <w:style w:type="paragraph" w:styleId="Heading3">
    <w:name w:val="heading 3"/>
    <w:basedOn w:val="Normal"/>
    <w:next w:val="Normal"/>
    <w:link w:val="Heading3Char"/>
    <w:qFormat/>
    <w:rsid w:val="0043175D"/>
    <w:pPr>
      <w:outlineLvl w:val="2"/>
    </w:pPr>
  </w:style>
  <w:style w:type="paragraph" w:styleId="Heading4">
    <w:name w:val="heading 4"/>
    <w:basedOn w:val="Normal"/>
    <w:next w:val="Normal"/>
    <w:link w:val="Heading4Char"/>
    <w:qFormat/>
    <w:rsid w:val="0043175D"/>
    <w:pPr>
      <w:outlineLvl w:val="3"/>
    </w:pPr>
  </w:style>
  <w:style w:type="paragraph" w:styleId="Heading5">
    <w:name w:val="heading 5"/>
    <w:basedOn w:val="Normal"/>
    <w:next w:val="Normal"/>
    <w:link w:val="Heading5Char"/>
    <w:qFormat/>
    <w:rsid w:val="0043175D"/>
    <w:pPr>
      <w:outlineLvl w:val="4"/>
    </w:pPr>
  </w:style>
  <w:style w:type="paragraph" w:styleId="Heading6">
    <w:name w:val="heading 6"/>
    <w:basedOn w:val="Normal"/>
    <w:next w:val="Normal"/>
    <w:link w:val="Heading6Char"/>
    <w:qFormat/>
    <w:rsid w:val="0043175D"/>
    <w:pPr>
      <w:outlineLvl w:val="5"/>
    </w:pPr>
  </w:style>
  <w:style w:type="paragraph" w:styleId="Heading7">
    <w:name w:val="heading 7"/>
    <w:basedOn w:val="Normal"/>
    <w:next w:val="Normal"/>
    <w:link w:val="Heading7Char"/>
    <w:qFormat/>
    <w:rsid w:val="0043175D"/>
    <w:pPr>
      <w:outlineLvl w:val="6"/>
    </w:pPr>
  </w:style>
  <w:style w:type="paragraph" w:styleId="Heading8">
    <w:name w:val="heading 8"/>
    <w:basedOn w:val="Normal"/>
    <w:next w:val="Normal"/>
    <w:link w:val="Heading8Char"/>
    <w:qFormat/>
    <w:rsid w:val="0043175D"/>
    <w:pPr>
      <w:outlineLvl w:val="7"/>
    </w:pPr>
  </w:style>
  <w:style w:type="paragraph" w:styleId="Heading9">
    <w:name w:val="heading 9"/>
    <w:basedOn w:val="Normal"/>
    <w:next w:val="Normal"/>
    <w:link w:val="Heading9Char"/>
    <w:qFormat/>
    <w:rsid w:val="004317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43175D"/>
    <w:rPr>
      <w:rFonts w:ascii="Times New Roman" w:hAnsi="Times New Roman" w:cs="Times New Roman"/>
      <w:sz w:val="20"/>
      <w:szCs w:val="20"/>
      <w:lang w:val="fr-CH"/>
    </w:rPr>
  </w:style>
  <w:style w:type="character" w:customStyle="1" w:styleId="Heading2Char">
    <w:name w:val="Heading 2 Char"/>
    <w:basedOn w:val="DefaultParagraphFont"/>
    <w:link w:val="Heading2"/>
    <w:rsid w:val="0043175D"/>
    <w:rPr>
      <w:rFonts w:ascii="Times New Roman" w:hAnsi="Times New Roman" w:cs="Times New Roman"/>
      <w:sz w:val="20"/>
      <w:szCs w:val="20"/>
      <w:lang w:val="fr-CH"/>
    </w:rPr>
  </w:style>
  <w:style w:type="character" w:customStyle="1" w:styleId="Heading3Char">
    <w:name w:val="Heading 3 Char"/>
    <w:basedOn w:val="DefaultParagraphFont"/>
    <w:link w:val="Heading3"/>
    <w:rsid w:val="0043175D"/>
    <w:rPr>
      <w:rFonts w:ascii="Times New Roman" w:hAnsi="Times New Roman" w:cs="Times New Roman"/>
      <w:sz w:val="20"/>
      <w:szCs w:val="20"/>
      <w:lang w:val="fr-CH"/>
    </w:rPr>
  </w:style>
  <w:style w:type="character" w:customStyle="1" w:styleId="Heading4Char">
    <w:name w:val="Heading 4 Char"/>
    <w:basedOn w:val="DefaultParagraphFont"/>
    <w:link w:val="Heading4"/>
    <w:rsid w:val="0043175D"/>
    <w:rPr>
      <w:rFonts w:ascii="Times New Roman" w:hAnsi="Times New Roman" w:cs="Times New Roman"/>
      <w:sz w:val="20"/>
      <w:szCs w:val="20"/>
      <w:lang w:val="fr-CH"/>
    </w:rPr>
  </w:style>
  <w:style w:type="character" w:customStyle="1" w:styleId="Heading5Char">
    <w:name w:val="Heading 5 Char"/>
    <w:basedOn w:val="DefaultParagraphFont"/>
    <w:link w:val="Heading5"/>
    <w:rsid w:val="0043175D"/>
    <w:rPr>
      <w:rFonts w:ascii="Times New Roman" w:hAnsi="Times New Roman" w:cs="Times New Roman"/>
      <w:sz w:val="20"/>
      <w:szCs w:val="20"/>
      <w:lang w:val="fr-CH"/>
    </w:rPr>
  </w:style>
  <w:style w:type="character" w:customStyle="1" w:styleId="Heading6Char">
    <w:name w:val="Heading 6 Char"/>
    <w:basedOn w:val="DefaultParagraphFont"/>
    <w:link w:val="Heading6"/>
    <w:rsid w:val="0043175D"/>
    <w:rPr>
      <w:rFonts w:ascii="Times New Roman" w:hAnsi="Times New Roman" w:cs="Times New Roman"/>
      <w:sz w:val="20"/>
      <w:szCs w:val="20"/>
      <w:lang w:val="fr-CH"/>
    </w:rPr>
  </w:style>
  <w:style w:type="character" w:customStyle="1" w:styleId="Heading7Char">
    <w:name w:val="Heading 7 Char"/>
    <w:basedOn w:val="DefaultParagraphFont"/>
    <w:link w:val="Heading7"/>
    <w:rsid w:val="0043175D"/>
    <w:rPr>
      <w:rFonts w:ascii="Times New Roman" w:hAnsi="Times New Roman" w:cs="Times New Roman"/>
      <w:sz w:val="20"/>
      <w:szCs w:val="20"/>
      <w:lang w:val="fr-CH"/>
    </w:rPr>
  </w:style>
  <w:style w:type="character" w:customStyle="1" w:styleId="Heading8Char">
    <w:name w:val="Heading 8 Char"/>
    <w:basedOn w:val="DefaultParagraphFont"/>
    <w:link w:val="Heading8"/>
    <w:rsid w:val="0043175D"/>
    <w:rPr>
      <w:rFonts w:ascii="Times New Roman" w:hAnsi="Times New Roman" w:cs="Times New Roman"/>
      <w:sz w:val="20"/>
      <w:szCs w:val="20"/>
      <w:lang w:val="fr-CH"/>
    </w:rPr>
  </w:style>
  <w:style w:type="character" w:customStyle="1" w:styleId="Heading9Char">
    <w:name w:val="Heading 9 Char"/>
    <w:basedOn w:val="DefaultParagraphFont"/>
    <w:link w:val="Heading9"/>
    <w:rsid w:val="0043175D"/>
    <w:rPr>
      <w:rFonts w:ascii="Times New Roman" w:hAnsi="Times New Roman" w:cs="Times New Roman"/>
      <w:sz w:val="20"/>
      <w:szCs w:val="20"/>
      <w:lang w:val="fr-CH"/>
    </w:rPr>
  </w:style>
  <w:style w:type="paragraph" w:customStyle="1" w:styleId="SingleTxtG">
    <w:name w:val="_ Single Txt_G"/>
    <w:basedOn w:val="Normal"/>
    <w:link w:val="SingleTxtGCar"/>
    <w:qFormat/>
    <w:rsid w:val="0043175D"/>
    <w:pPr>
      <w:tabs>
        <w:tab w:val="left" w:pos="1701"/>
        <w:tab w:val="left" w:pos="2268"/>
        <w:tab w:val="left" w:pos="2835"/>
      </w:tabs>
      <w:spacing w:after="120"/>
      <w:ind w:left="1134" w:right="1134"/>
      <w:jc w:val="both"/>
    </w:pPr>
  </w:style>
  <w:style w:type="paragraph" w:styleId="EndnoteText">
    <w:name w:val="endnote text"/>
    <w:aliases w:val="2_G"/>
    <w:basedOn w:val="FootnoteText"/>
    <w:link w:val="EndnoteTextChar"/>
    <w:qFormat/>
    <w:rsid w:val="0043175D"/>
  </w:style>
  <w:style w:type="character" w:customStyle="1" w:styleId="EndnoteTextChar">
    <w:name w:val="Endnote Text Char"/>
    <w:aliases w:val="2_G Char"/>
    <w:basedOn w:val="DefaultParagraphFont"/>
    <w:link w:val="EndnoteText"/>
    <w:rsid w:val="0043175D"/>
    <w:rPr>
      <w:rFonts w:ascii="Times New Roman" w:hAnsi="Times New Roman" w:cs="Times New Roman"/>
      <w:sz w:val="18"/>
      <w:szCs w:val="20"/>
      <w:lang w:val="fr-CH"/>
    </w:rPr>
  </w:style>
  <w:style w:type="paragraph" w:styleId="FootnoteText">
    <w:name w:val="footnote text"/>
    <w:aliases w:val="5_G,FOOTNOTES,fn,single space,footnote text,f,ft,Footnote Text 1,Footnote Text Char Char,Footnote Text Char Char Char,Footnote Text Char2 Char,Footnote Text Char1 Char Char,ALTS FOOTNOTE,ADB,Footnote Style,Footnote,Char"/>
    <w:basedOn w:val="Normal"/>
    <w:link w:val="FootnoteTextChar"/>
    <w:qFormat/>
    <w:rsid w:val="0043175D"/>
    <w:pPr>
      <w:tabs>
        <w:tab w:val="right" w:pos="1021"/>
      </w:tabs>
      <w:spacing w:line="220" w:lineRule="exact"/>
      <w:ind w:left="1134" w:right="1134" w:hanging="1134"/>
    </w:pPr>
    <w:rPr>
      <w:sz w:val="18"/>
    </w:rPr>
  </w:style>
  <w:style w:type="character" w:customStyle="1" w:styleId="FootnoteTextChar">
    <w:name w:val="Footnote Text Char"/>
    <w:aliases w:val="5_G Char,FOOTNOTES Char,fn Char,single space Char,footnote text Char,f Char,ft Char,Footnote Text 1 Char,Footnote Text Char Char Char1,Footnote Text Char Char Char Char,Footnote Text Char2 Char Char,Footnote Text Char1 Char Char Char"/>
    <w:basedOn w:val="DefaultParagraphFont"/>
    <w:link w:val="FootnoteText"/>
    <w:qFormat/>
    <w:rsid w:val="0043175D"/>
    <w:rPr>
      <w:rFonts w:ascii="Times New Roman" w:hAnsi="Times New Roman" w:cs="Times New Roman"/>
      <w:sz w:val="18"/>
      <w:szCs w:val="20"/>
      <w:lang w:val="fr-CH"/>
    </w:rPr>
  </w:style>
  <w:style w:type="paragraph" w:styleId="Footer">
    <w:name w:val="footer"/>
    <w:aliases w:val="3_G"/>
    <w:basedOn w:val="Normal"/>
    <w:next w:val="Normal"/>
    <w:link w:val="FooterChar"/>
    <w:uiPriority w:val="99"/>
    <w:qFormat/>
    <w:rsid w:val="0043175D"/>
    <w:pPr>
      <w:spacing w:line="240" w:lineRule="auto"/>
    </w:pPr>
    <w:rPr>
      <w:sz w:val="16"/>
    </w:rPr>
  </w:style>
  <w:style w:type="character" w:customStyle="1" w:styleId="FooterChar">
    <w:name w:val="Footer Char"/>
    <w:aliases w:val="3_G Char"/>
    <w:basedOn w:val="DefaultParagraphFont"/>
    <w:link w:val="Footer"/>
    <w:uiPriority w:val="99"/>
    <w:rsid w:val="0043175D"/>
    <w:rPr>
      <w:rFonts w:ascii="Times New Roman" w:hAnsi="Times New Roman" w:cs="Times New Roman"/>
      <w:sz w:val="16"/>
      <w:szCs w:val="20"/>
      <w:lang w:val="fr-CH"/>
    </w:rPr>
  </w:style>
  <w:style w:type="character" w:styleId="EndnoteReference">
    <w:name w:val="endnote reference"/>
    <w:aliases w:val="1_G"/>
    <w:basedOn w:val="FootnoteReference"/>
    <w:qFormat/>
    <w:rsid w:val="0043175D"/>
    <w:rPr>
      <w:rFonts w:ascii="Times New Roman" w:hAnsi="Times New Roman"/>
      <w:sz w:val="18"/>
      <w:vertAlign w:val="superscript"/>
      <w:lang w:val="fr-CH"/>
    </w:rPr>
  </w:style>
  <w:style w:type="character" w:styleId="FootnoteReference">
    <w:name w:val="footnote reference"/>
    <w:aliases w:val="4_G,Appel note de bas de page Char,Texto de nota al pie Char,referencia nota al pie Char,FZ Char,a Footnote Reference Char,a Footnote text + MetaNormal-Roman Char,Appel note de bas de page Char1 Char Char Char Char Char Char"/>
    <w:basedOn w:val="DefaultParagraphFont"/>
    <w:qFormat/>
    <w:rsid w:val="0043175D"/>
    <w:rPr>
      <w:rFonts w:ascii="Times New Roman" w:hAnsi="Times New Roman"/>
      <w:sz w:val="18"/>
      <w:vertAlign w:val="superscript"/>
      <w:lang w:val="fr-CH"/>
    </w:rPr>
  </w:style>
  <w:style w:type="character" w:styleId="PageNumber">
    <w:name w:val="page number"/>
    <w:aliases w:val="7_G"/>
    <w:basedOn w:val="DefaultParagraphFont"/>
    <w:qFormat/>
    <w:rsid w:val="0043175D"/>
    <w:rPr>
      <w:rFonts w:ascii="Times New Roman" w:hAnsi="Times New Roman"/>
      <w:b/>
      <w:sz w:val="18"/>
      <w:lang w:val="fr-CH"/>
    </w:rPr>
  </w:style>
  <w:style w:type="paragraph" w:styleId="Header">
    <w:name w:val="header"/>
    <w:aliases w:val="6_G"/>
    <w:basedOn w:val="Normal"/>
    <w:next w:val="Normal"/>
    <w:link w:val="HeaderChar"/>
    <w:uiPriority w:val="99"/>
    <w:qFormat/>
    <w:rsid w:val="0043175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43175D"/>
    <w:rPr>
      <w:rFonts w:ascii="Times New Roman" w:hAnsi="Times New Roman" w:cs="Times New Roman"/>
      <w:b/>
      <w:sz w:val="18"/>
      <w:szCs w:val="20"/>
      <w:lang w:val="fr-CH"/>
    </w:rPr>
  </w:style>
  <w:style w:type="paragraph" w:customStyle="1" w:styleId="H1G">
    <w:name w:val="_ H_1_G"/>
    <w:basedOn w:val="Normal"/>
    <w:next w:val="Normal"/>
    <w:qFormat/>
    <w:rsid w:val="0043175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3175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3175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link w:val="H23GChar"/>
    <w:qFormat/>
    <w:rsid w:val="0043175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3175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3175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3175D"/>
    <w:pPr>
      <w:keepNext/>
      <w:keepLines/>
      <w:spacing w:before="240" w:after="240" w:line="420" w:lineRule="exact"/>
      <w:ind w:left="1134" w:right="1134"/>
    </w:pPr>
    <w:rPr>
      <w:b/>
      <w:sz w:val="40"/>
    </w:rPr>
  </w:style>
  <w:style w:type="paragraph" w:customStyle="1" w:styleId="SLG">
    <w:name w:val="__S_L_G"/>
    <w:basedOn w:val="Normal"/>
    <w:next w:val="Normal"/>
    <w:rsid w:val="0043175D"/>
    <w:pPr>
      <w:keepNext/>
      <w:keepLines/>
      <w:spacing w:before="240" w:after="240" w:line="580" w:lineRule="exact"/>
      <w:ind w:left="1134" w:right="1134"/>
    </w:pPr>
    <w:rPr>
      <w:b/>
      <w:sz w:val="56"/>
    </w:rPr>
  </w:style>
  <w:style w:type="paragraph" w:customStyle="1" w:styleId="SSG">
    <w:name w:val="__S_S_G"/>
    <w:basedOn w:val="Normal"/>
    <w:next w:val="Normal"/>
    <w:rsid w:val="0043175D"/>
    <w:pPr>
      <w:keepNext/>
      <w:keepLines/>
      <w:spacing w:before="240" w:after="240" w:line="300" w:lineRule="exact"/>
      <w:ind w:left="1134" w:right="1134"/>
    </w:pPr>
    <w:rPr>
      <w:b/>
      <w:sz w:val="28"/>
    </w:rPr>
  </w:style>
  <w:style w:type="paragraph" w:customStyle="1" w:styleId="XLargeG">
    <w:name w:val="__XLarge_G"/>
    <w:basedOn w:val="Normal"/>
    <w:next w:val="Normal"/>
    <w:rsid w:val="0043175D"/>
    <w:pPr>
      <w:keepNext/>
      <w:keepLines/>
      <w:spacing w:before="240" w:after="240" w:line="420" w:lineRule="exact"/>
      <w:ind w:left="1134" w:right="1134"/>
    </w:pPr>
    <w:rPr>
      <w:b/>
      <w:sz w:val="40"/>
    </w:rPr>
  </w:style>
  <w:style w:type="paragraph" w:customStyle="1" w:styleId="Bullet1G">
    <w:name w:val="_Bullet 1_G"/>
    <w:basedOn w:val="Normal"/>
    <w:qFormat/>
    <w:rsid w:val="0043175D"/>
    <w:pPr>
      <w:numPr>
        <w:numId w:val="1"/>
      </w:numPr>
      <w:spacing w:after="120"/>
      <w:ind w:right="1134"/>
      <w:jc w:val="both"/>
    </w:pPr>
  </w:style>
  <w:style w:type="paragraph" w:customStyle="1" w:styleId="Bullet2G">
    <w:name w:val="_Bullet 2_G"/>
    <w:basedOn w:val="Normal"/>
    <w:qFormat/>
    <w:rsid w:val="0043175D"/>
    <w:pPr>
      <w:numPr>
        <w:numId w:val="2"/>
      </w:numPr>
      <w:spacing w:after="120"/>
      <w:ind w:right="1134"/>
      <w:jc w:val="both"/>
    </w:pPr>
  </w:style>
  <w:style w:type="table" w:styleId="TableGrid">
    <w:name w:val="Table Grid"/>
    <w:basedOn w:val="TableNormal"/>
    <w:rsid w:val="0043175D"/>
    <w:pPr>
      <w:suppressAutoHyphens/>
      <w:spacing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DefaultParagraphFont"/>
    <w:link w:val="SingleTxtG"/>
    <w:rsid w:val="0043175D"/>
    <w:rPr>
      <w:rFonts w:ascii="Times New Roman" w:hAnsi="Times New Roman" w:cs="Times New Roman"/>
      <w:sz w:val="20"/>
      <w:szCs w:val="20"/>
      <w:lang w:val="fr-CH"/>
    </w:rPr>
  </w:style>
  <w:style w:type="character" w:styleId="Hyperlink">
    <w:name w:val="Hyperlink"/>
    <w:basedOn w:val="DefaultParagraphFont"/>
    <w:qFormat/>
    <w:rsid w:val="0043175D"/>
    <w:rPr>
      <w:color w:val="0000FF"/>
      <w:u w:val="none"/>
    </w:rPr>
  </w:style>
  <w:style w:type="character" w:styleId="FollowedHyperlink">
    <w:name w:val="FollowedHyperlink"/>
    <w:basedOn w:val="DefaultParagraphFont"/>
    <w:uiPriority w:val="99"/>
    <w:qFormat/>
    <w:rsid w:val="0043175D"/>
    <w:rPr>
      <w:color w:val="0000FF"/>
      <w:u w:val="none"/>
    </w:rPr>
  </w:style>
  <w:style w:type="paragraph" w:customStyle="1" w:styleId="ParNoG">
    <w:name w:val="_ParNo_G"/>
    <w:basedOn w:val="Normal"/>
    <w:qFormat/>
    <w:rsid w:val="0043175D"/>
    <w:pPr>
      <w:numPr>
        <w:numId w:val="3"/>
      </w:numPr>
      <w:tabs>
        <w:tab w:val="left" w:pos="1701"/>
        <w:tab w:val="left" w:pos="2268"/>
        <w:tab w:val="left" w:pos="2835"/>
      </w:tabs>
      <w:spacing w:after="120"/>
      <w:ind w:right="1134"/>
      <w:jc w:val="both"/>
    </w:pPr>
  </w:style>
  <w:style w:type="paragraph" w:styleId="BalloonText">
    <w:name w:val="Balloon Text"/>
    <w:basedOn w:val="Normal"/>
    <w:link w:val="BalloonTextChar"/>
    <w:uiPriority w:val="99"/>
    <w:rsid w:val="004317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3175D"/>
    <w:rPr>
      <w:rFonts w:ascii="Tahoma" w:hAnsi="Tahoma" w:cs="Tahoma"/>
      <w:sz w:val="16"/>
      <w:szCs w:val="16"/>
      <w:lang w:val="fr-CH"/>
    </w:rPr>
  </w:style>
  <w:style w:type="character" w:customStyle="1" w:styleId="SingleTxtGChar">
    <w:name w:val="_ Single Txt_G Char"/>
    <w:basedOn w:val="DefaultParagraphFont"/>
    <w:rsid w:val="0043175D"/>
    <w:rPr>
      <w:rFonts w:ascii="Times New Roman" w:eastAsia="SimSun" w:hAnsi="Times New Roman" w:cs="Times New Roman"/>
      <w:sz w:val="20"/>
      <w:szCs w:val="20"/>
      <w:lang w:val="en-GB"/>
    </w:rPr>
  </w:style>
  <w:style w:type="paragraph" w:customStyle="1" w:styleId="ParaNoG">
    <w:name w:val="_ParaNo._G"/>
    <w:basedOn w:val="SingleTxtG"/>
    <w:qFormat/>
    <w:rsid w:val="0043175D"/>
    <w:pPr>
      <w:numPr>
        <w:numId w:val="4"/>
      </w:numPr>
      <w:tabs>
        <w:tab w:val="clear" w:pos="0"/>
        <w:tab w:val="clear" w:pos="2835"/>
        <w:tab w:val="num" w:pos="360"/>
      </w:tabs>
    </w:pPr>
    <w:rPr>
      <w:lang w:val="en-GB"/>
    </w:rPr>
  </w:style>
  <w:style w:type="numbering" w:styleId="111111">
    <w:name w:val="Outline List 2"/>
    <w:basedOn w:val="NoList"/>
    <w:rsid w:val="0043175D"/>
    <w:pPr>
      <w:numPr>
        <w:numId w:val="5"/>
      </w:numPr>
    </w:pPr>
  </w:style>
  <w:style w:type="numbering" w:styleId="1ai">
    <w:name w:val="Outline List 1"/>
    <w:basedOn w:val="NoList"/>
    <w:rsid w:val="0043175D"/>
    <w:pPr>
      <w:numPr>
        <w:numId w:val="6"/>
      </w:numPr>
    </w:pPr>
  </w:style>
  <w:style w:type="character" w:styleId="BookTitle">
    <w:name w:val="Book Title"/>
    <w:basedOn w:val="DefaultParagraphFont"/>
    <w:uiPriority w:val="33"/>
    <w:rsid w:val="0043175D"/>
    <w:rPr>
      <w:b/>
      <w:bCs/>
      <w:smallCaps/>
      <w:spacing w:val="5"/>
    </w:rPr>
  </w:style>
  <w:style w:type="character" w:styleId="CommentReference">
    <w:name w:val="annotation reference"/>
    <w:basedOn w:val="DefaultParagraphFont"/>
    <w:uiPriority w:val="99"/>
    <w:semiHidden/>
    <w:unhideWhenUsed/>
    <w:rsid w:val="0043175D"/>
    <w:rPr>
      <w:sz w:val="16"/>
      <w:szCs w:val="16"/>
    </w:rPr>
  </w:style>
  <w:style w:type="paragraph" w:styleId="CommentText">
    <w:name w:val="annotation text"/>
    <w:basedOn w:val="Normal"/>
    <w:link w:val="CommentTextChar"/>
    <w:uiPriority w:val="99"/>
    <w:unhideWhenUsed/>
    <w:rsid w:val="0043175D"/>
    <w:pPr>
      <w:suppressAutoHyphens w:val="0"/>
      <w:kinsoku/>
      <w:overflowPunct/>
      <w:autoSpaceDE/>
      <w:autoSpaceDN/>
      <w:adjustRightInd/>
      <w:snapToGrid/>
      <w:spacing w:line="240" w:lineRule="auto"/>
    </w:pPr>
    <w:rPr>
      <w:rFonts w:eastAsia="SimSun"/>
      <w:lang w:val="en-GB" w:eastAsia="zh-CN"/>
    </w:rPr>
  </w:style>
  <w:style w:type="character" w:customStyle="1" w:styleId="CommentTextChar">
    <w:name w:val="Comment Text Char"/>
    <w:basedOn w:val="DefaultParagraphFont"/>
    <w:link w:val="CommentText"/>
    <w:uiPriority w:val="99"/>
    <w:rsid w:val="0043175D"/>
    <w:rPr>
      <w:rFonts w:ascii="Times New Roman" w:eastAsia="SimSun" w:hAnsi="Times New Roman" w:cs="Times New Roman"/>
      <w:sz w:val="20"/>
      <w:szCs w:val="20"/>
      <w:lang w:val="en-GB" w:eastAsia="zh-CN"/>
    </w:rPr>
  </w:style>
  <w:style w:type="paragraph" w:styleId="CommentSubject">
    <w:name w:val="annotation subject"/>
    <w:basedOn w:val="Normal"/>
    <w:next w:val="Normal"/>
    <w:link w:val="CommentSubjectChar"/>
    <w:uiPriority w:val="99"/>
    <w:semiHidden/>
    <w:unhideWhenUsed/>
    <w:rsid w:val="0043175D"/>
    <w:pPr>
      <w:suppressAutoHyphens w:val="0"/>
      <w:kinsoku/>
      <w:overflowPunct/>
      <w:autoSpaceDE/>
      <w:autoSpaceDN/>
      <w:adjustRightInd/>
      <w:snapToGrid/>
      <w:spacing w:line="240" w:lineRule="auto"/>
    </w:pPr>
    <w:rPr>
      <w:rFonts w:eastAsia="SimSun"/>
      <w:b/>
      <w:bCs/>
      <w:lang w:val="en-GB" w:eastAsia="zh-CN"/>
    </w:rPr>
  </w:style>
  <w:style w:type="character" w:customStyle="1" w:styleId="CommentSubjectChar">
    <w:name w:val="Comment Subject Char"/>
    <w:basedOn w:val="CommentTextChar"/>
    <w:link w:val="CommentSubject"/>
    <w:uiPriority w:val="99"/>
    <w:semiHidden/>
    <w:rsid w:val="0043175D"/>
    <w:rPr>
      <w:rFonts w:ascii="Times New Roman" w:eastAsia="SimSun" w:hAnsi="Times New Roman" w:cs="Times New Roman"/>
      <w:b/>
      <w:bCs/>
      <w:sz w:val="20"/>
      <w:szCs w:val="20"/>
      <w:lang w:val="en-GB" w:eastAsia="zh-CN"/>
    </w:rPr>
  </w:style>
  <w:style w:type="character" w:customStyle="1" w:styleId="H23GChar">
    <w:name w:val="_ H_2/3_G Char"/>
    <w:link w:val="H23G"/>
    <w:rsid w:val="0043175D"/>
    <w:rPr>
      <w:rFonts w:ascii="Times New Roman" w:hAnsi="Times New Roman" w:cs="Times New Roman"/>
      <w:b/>
      <w:sz w:val="20"/>
      <w:szCs w:val="20"/>
      <w:lang w:val="fr-CH"/>
    </w:rPr>
  </w:style>
  <w:style w:type="paragraph" w:customStyle="1" w:styleId="Revision1">
    <w:name w:val="Revision1"/>
    <w:next w:val="Revision"/>
    <w:hidden/>
    <w:uiPriority w:val="99"/>
    <w:semiHidden/>
    <w:rsid w:val="0043175D"/>
    <w:rPr>
      <w:rFonts w:eastAsiaTheme="minorEastAsia"/>
      <w:sz w:val="22"/>
      <w:szCs w:val="22"/>
      <w:lang w:val="en-GB"/>
    </w:rPr>
  </w:style>
  <w:style w:type="paragraph" w:customStyle="1" w:styleId="Rvision1">
    <w:name w:val="Révision1"/>
    <w:hidden/>
    <w:semiHidden/>
    <w:rsid w:val="0043175D"/>
    <w:rPr>
      <w:rFonts w:ascii="Times New Roman" w:eastAsia="Times New Roman" w:hAnsi="Times New Roman" w:cs="Times New Roman"/>
      <w:sz w:val="20"/>
      <w:szCs w:val="20"/>
      <w:lang w:val="en-GB"/>
    </w:rPr>
  </w:style>
  <w:style w:type="character" w:customStyle="1" w:styleId="Mentionnonrsolue1">
    <w:name w:val="Mention non résolue1"/>
    <w:basedOn w:val="DefaultParagraphFont"/>
    <w:uiPriority w:val="99"/>
    <w:semiHidden/>
    <w:unhideWhenUsed/>
    <w:rsid w:val="0043175D"/>
    <w:rPr>
      <w:color w:val="605E5C"/>
      <w:shd w:val="clear" w:color="auto" w:fill="E1DFDD"/>
    </w:rPr>
  </w:style>
  <w:style w:type="paragraph" w:customStyle="1" w:styleId="Rvision11">
    <w:name w:val="Révision11"/>
    <w:hidden/>
    <w:semiHidden/>
    <w:rsid w:val="0043175D"/>
    <w:rPr>
      <w:rFonts w:ascii="Times New Roman" w:eastAsia="Times New Roman" w:hAnsi="Times New Roman" w:cs="Times New Roman"/>
      <w:sz w:val="20"/>
      <w:szCs w:val="20"/>
      <w:lang w:val="en-GB"/>
    </w:rPr>
  </w:style>
  <w:style w:type="paragraph" w:styleId="Revision">
    <w:name w:val="Revision"/>
    <w:hidden/>
    <w:uiPriority w:val="99"/>
    <w:semiHidden/>
    <w:rsid w:val="0043175D"/>
    <w:rPr>
      <w:rFonts w:eastAsiaTheme="minorEastAsia"/>
      <w:sz w:val="22"/>
      <w:szCs w:val="22"/>
    </w:rPr>
  </w:style>
  <w:style w:type="character" w:customStyle="1" w:styleId="Hyperlink1">
    <w:name w:val="Hyperlink1"/>
    <w:basedOn w:val="DefaultParagraphFont"/>
    <w:uiPriority w:val="99"/>
    <w:unhideWhenUsed/>
    <w:qFormat/>
    <w:rsid w:val="0043175D"/>
    <w:rPr>
      <w:color w:val="0000FF"/>
      <w:u w:val="none"/>
    </w:rPr>
  </w:style>
  <w:style w:type="paragraph" w:styleId="ListParagraph">
    <w:name w:val="List Paragraph"/>
    <w:basedOn w:val="Normal"/>
    <w:uiPriority w:val="34"/>
    <w:qFormat/>
    <w:rsid w:val="0043175D"/>
    <w:pPr>
      <w:suppressAutoHyphens w:val="0"/>
      <w:kinsoku/>
      <w:overflowPunct/>
      <w:autoSpaceDE/>
      <w:autoSpaceDN/>
      <w:adjustRightInd/>
      <w:snapToGrid/>
      <w:spacing w:line="240" w:lineRule="auto"/>
      <w:ind w:left="720"/>
      <w:contextualSpacing/>
    </w:pPr>
    <w:rPr>
      <w:rFonts w:eastAsia="SimSun"/>
      <w:lang w:val="en-GB" w:eastAsia="zh-CN"/>
    </w:rPr>
  </w:style>
  <w:style w:type="character" w:styleId="Emphasis">
    <w:name w:val="Emphasis"/>
    <w:basedOn w:val="DefaultParagraphFont"/>
    <w:uiPriority w:val="20"/>
    <w:qFormat/>
    <w:rsid w:val="0043175D"/>
    <w:rPr>
      <w:i/>
      <w:iCs/>
    </w:rPr>
  </w:style>
  <w:style w:type="paragraph" w:styleId="NormalWeb">
    <w:name w:val="Normal (Web)"/>
    <w:basedOn w:val="Normal"/>
    <w:uiPriority w:val="99"/>
    <w:unhideWhenUsed/>
    <w:rsid w:val="0043175D"/>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p1">
    <w:name w:val="p1"/>
    <w:basedOn w:val="Normal"/>
    <w:rsid w:val="0043175D"/>
    <w:pPr>
      <w:suppressAutoHyphens w:val="0"/>
      <w:kinsoku/>
      <w:overflowPunct/>
      <w:autoSpaceDE/>
      <w:autoSpaceDN/>
      <w:adjustRightInd/>
      <w:snapToGrid/>
      <w:spacing w:line="240" w:lineRule="auto"/>
    </w:pPr>
    <w:rPr>
      <w:rFonts w:ascii="Times" w:eastAsia="Times New Roman" w:hAnsi="Times"/>
      <w:sz w:val="15"/>
      <w:szCs w:val="15"/>
      <w:lang w:val="en-US"/>
    </w:rPr>
  </w:style>
  <w:style w:type="character" w:customStyle="1" w:styleId="apple-converted-space">
    <w:name w:val="apple-converted-space"/>
    <w:basedOn w:val="DefaultParagraphFont"/>
    <w:rsid w:val="0043175D"/>
  </w:style>
  <w:style w:type="character" w:customStyle="1" w:styleId="s1">
    <w:name w:val="s1"/>
    <w:basedOn w:val="DefaultParagraphFont"/>
    <w:rsid w:val="0043175D"/>
    <w:rPr>
      <w:rFonts w:ascii="Times" w:hAnsi="Times" w:hint="default"/>
      <w:sz w:val="11"/>
      <w:szCs w:val="11"/>
    </w:rPr>
  </w:style>
  <w:style w:type="character" w:customStyle="1" w:styleId="a-size-base">
    <w:name w:val="a-size-base"/>
    <w:basedOn w:val="DefaultParagraphFont"/>
    <w:rsid w:val="0043175D"/>
  </w:style>
  <w:style w:type="character" w:customStyle="1" w:styleId="a-size-extra-large">
    <w:name w:val="a-size-extra-large"/>
    <w:basedOn w:val="DefaultParagraphFont"/>
    <w:rsid w:val="0043175D"/>
  </w:style>
  <w:style w:type="character" w:customStyle="1" w:styleId="smallcaps">
    <w:name w:val="smallcaps"/>
    <w:basedOn w:val="DefaultParagraphFont"/>
    <w:rsid w:val="0043175D"/>
  </w:style>
  <w:style w:type="character" w:customStyle="1" w:styleId="ssleftalign">
    <w:name w:val="ss_leftalign"/>
    <w:basedOn w:val="DefaultParagraphFont"/>
    <w:rsid w:val="0043175D"/>
  </w:style>
  <w:style w:type="character" w:customStyle="1" w:styleId="sssh">
    <w:name w:val="ss_sh"/>
    <w:basedOn w:val="DefaultParagraphFont"/>
    <w:rsid w:val="0043175D"/>
  </w:style>
  <w:style w:type="paragraph" w:customStyle="1" w:styleId="p2">
    <w:name w:val="p2"/>
    <w:basedOn w:val="Normal"/>
    <w:rsid w:val="0043175D"/>
    <w:pPr>
      <w:suppressAutoHyphens w:val="0"/>
      <w:kinsoku/>
      <w:overflowPunct/>
      <w:autoSpaceDE/>
      <w:autoSpaceDN/>
      <w:adjustRightInd/>
      <w:snapToGrid/>
      <w:spacing w:line="240" w:lineRule="auto"/>
    </w:pPr>
    <w:rPr>
      <w:rFonts w:ascii="Times" w:eastAsia="Times New Roman" w:hAnsi="Times"/>
      <w:color w:val="011278"/>
      <w:sz w:val="30"/>
      <w:szCs w:val="30"/>
      <w:lang w:val="en-US"/>
    </w:rPr>
  </w:style>
  <w:style w:type="character" w:customStyle="1" w:styleId="ssit">
    <w:name w:val="ss_it"/>
    <w:basedOn w:val="DefaultParagraphFont"/>
    <w:rsid w:val="0043175D"/>
  </w:style>
  <w:style w:type="character" w:customStyle="1" w:styleId="addmd">
    <w:name w:val="addmd"/>
    <w:basedOn w:val="DefaultParagraphFont"/>
    <w:rsid w:val="0043175D"/>
  </w:style>
  <w:style w:type="character" w:styleId="Strong">
    <w:name w:val="Strong"/>
    <w:basedOn w:val="DefaultParagraphFont"/>
    <w:uiPriority w:val="22"/>
    <w:qFormat/>
    <w:rsid w:val="0043175D"/>
    <w:rPr>
      <w:b/>
      <w:bCs/>
    </w:rPr>
  </w:style>
  <w:style w:type="character" w:customStyle="1" w:styleId="title1">
    <w:name w:val="title1"/>
    <w:basedOn w:val="DefaultParagraphFont"/>
    <w:rsid w:val="0043175D"/>
  </w:style>
  <w:style w:type="paragraph" w:styleId="HTMLPreformatted">
    <w:name w:val="HTML Preformatted"/>
    <w:basedOn w:val="Normal"/>
    <w:link w:val="HTMLPreformattedChar"/>
    <w:uiPriority w:val="99"/>
    <w:semiHidden/>
    <w:unhideWhenUsed/>
    <w:rsid w:val="0043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semiHidden/>
    <w:rsid w:val="0043175D"/>
    <w:rPr>
      <w:rFonts w:ascii="Courier New" w:eastAsia="Times New Roman" w:hAnsi="Courier New" w:cs="Courier New"/>
      <w:sz w:val="20"/>
      <w:szCs w:val="20"/>
    </w:rPr>
  </w:style>
  <w:style w:type="character" w:customStyle="1" w:styleId="st">
    <w:name w:val="st"/>
    <w:basedOn w:val="DefaultParagraphFont"/>
    <w:rsid w:val="0043175D"/>
  </w:style>
  <w:style w:type="paragraph" w:customStyle="1" w:styleId="p3">
    <w:name w:val="p3"/>
    <w:basedOn w:val="Normal"/>
    <w:rsid w:val="0043175D"/>
    <w:pPr>
      <w:suppressAutoHyphens w:val="0"/>
      <w:kinsoku/>
      <w:overflowPunct/>
      <w:autoSpaceDE/>
      <w:autoSpaceDN/>
      <w:adjustRightInd/>
      <w:snapToGrid/>
      <w:spacing w:after="90" w:line="240" w:lineRule="auto"/>
      <w:ind w:hanging="825"/>
    </w:pPr>
    <w:rPr>
      <w:rFonts w:eastAsia="Times New Roman"/>
      <w:sz w:val="15"/>
      <w:szCs w:val="15"/>
      <w:lang w:val="en-US"/>
    </w:rPr>
  </w:style>
  <w:style w:type="paragraph" w:customStyle="1" w:styleId="p4">
    <w:name w:val="p4"/>
    <w:basedOn w:val="Normal"/>
    <w:rsid w:val="0043175D"/>
    <w:pPr>
      <w:suppressAutoHyphens w:val="0"/>
      <w:kinsoku/>
      <w:overflowPunct/>
      <w:autoSpaceDE/>
      <w:autoSpaceDN/>
      <w:adjustRightInd/>
      <w:snapToGrid/>
      <w:spacing w:after="90" w:line="240" w:lineRule="auto"/>
    </w:pPr>
    <w:rPr>
      <w:rFonts w:eastAsia="Times New Roman"/>
      <w:sz w:val="15"/>
      <w:szCs w:val="15"/>
      <w:lang w:val="en-US"/>
    </w:rPr>
  </w:style>
  <w:style w:type="paragraph" w:customStyle="1" w:styleId="p5">
    <w:name w:val="p5"/>
    <w:basedOn w:val="Normal"/>
    <w:rsid w:val="0043175D"/>
    <w:pPr>
      <w:suppressAutoHyphens w:val="0"/>
      <w:kinsoku/>
      <w:overflowPunct/>
      <w:autoSpaceDE/>
      <w:autoSpaceDN/>
      <w:adjustRightInd/>
      <w:snapToGrid/>
      <w:spacing w:after="90" w:line="240" w:lineRule="auto"/>
      <w:ind w:hanging="1290"/>
    </w:pPr>
    <w:rPr>
      <w:rFonts w:eastAsia="Times New Roman"/>
      <w:sz w:val="15"/>
      <w:szCs w:val="15"/>
      <w:lang w:val="en-US"/>
    </w:rPr>
  </w:style>
  <w:style w:type="paragraph" w:customStyle="1" w:styleId="p6">
    <w:name w:val="p6"/>
    <w:basedOn w:val="Normal"/>
    <w:rsid w:val="0043175D"/>
    <w:pPr>
      <w:suppressAutoHyphens w:val="0"/>
      <w:kinsoku/>
      <w:overflowPunct/>
      <w:autoSpaceDE/>
      <w:autoSpaceDN/>
      <w:adjustRightInd/>
      <w:snapToGrid/>
      <w:spacing w:line="240" w:lineRule="auto"/>
      <w:ind w:firstLine="465"/>
    </w:pPr>
    <w:rPr>
      <w:rFonts w:eastAsia="Times New Roman"/>
      <w:sz w:val="15"/>
      <w:szCs w:val="15"/>
      <w:lang w:val="en-US"/>
    </w:rPr>
  </w:style>
  <w:style w:type="paragraph" w:customStyle="1" w:styleId="suggested-citation">
    <w:name w:val="suggested-citation"/>
    <w:basedOn w:val="Normal"/>
    <w:rsid w:val="0043175D"/>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styleId="HTMLCite">
    <w:name w:val="HTML Cite"/>
    <w:basedOn w:val="DefaultParagraphFont"/>
    <w:uiPriority w:val="99"/>
    <w:semiHidden/>
    <w:unhideWhenUsed/>
    <w:rsid w:val="0043175D"/>
    <w:rPr>
      <w:i/>
      <w:iCs/>
    </w:rPr>
  </w:style>
  <w:style w:type="character" w:customStyle="1" w:styleId="s2">
    <w:name w:val="s2"/>
    <w:basedOn w:val="DefaultParagraphFont"/>
    <w:rsid w:val="0043175D"/>
    <w:rPr>
      <w:color w:val="000000"/>
    </w:rPr>
  </w:style>
  <w:style w:type="character" w:customStyle="1" w:styleId="UnresolvedMention1">
    <w:name w:val="Unresolved Mention1"/>
    <w:basedOn w:val="DefaultParagraphFont"/>
    <w:uiPriority w:val="99"/>
    <w:rsid w:val="0043175D"/>
    <w:rPr>
      <w:color w:val="808080"/>
      <w:shd w:val="clear" w:color="auto" w:fill="E6E6E6"/>
    </w:rPr>
  </w:style>
  <w:style w:type="paragraph" w:customStyle="1" w:styleId="textbox">
    <w:name w:val="textbox"/>
    <w:basedOn w:val="Normal"/>
    <w:rsid w:val="0043175D"/>
    <w:pPr>
      <w:suppressAutoHyphens w:val="0"/>
      <w:kinsoku/>
      <w:overflowPunct/>
      <w:autoSpaceDE/>
      <w:autoSpaceDN/>
      <w:adjustRightInd/>
      <w:snapToGrid/>
      <w:spacing w:before="100" w:beforeAutospacing="1" w:after="100" w:afterAutospacing="1" w:line="240" w:lineRule="auto"/>
    </w:pPr>
    <w:rPr>
      <w:rFonts w:ascii="Times" w:hAnsi="Times" w:cstheme="minorBidi"/>
      <w:lang w:val="en-US"/>
    </w:rPr>
  </w:style>
  <w:style w:type="character" w:customStyle="1" w:styleId="UnresolvedMention2">
    <w:name w:val="Unresolved Mention2"/>
    <w:basedOn w:val="DefaultParagraphFont"/>
    <w:uiPriority w:val="99"/>
    <w:unhideWhenUsed/>
    <w:rsid w:val="0043175D"/>
    <w:rPr>
      <w:color w:val="808080"/>
      <w:shd w:val="clear" w:color="auto" w:fill="E6E6E6"/>
    </w:rPr>
  </w:style>
  <w:style w:type="character" w:customStyle="1" w:styleId="a-size-large">
    <w:name w:val="a-size-large"/>
    <w:basedOn w:val="DefaultParagraphFont"/>
    <w:rsid w:val="0043175D"/>
  </w:style>
  <w:style w:type="paragraph" w:customStyle="1" w:styleId="Default">
    <w:name w:val="Default"/>
    <w:rsid w:val="0043175D"/>
    <w:pPr>
      <w:autoSpaceDE w:val="0"/>
      <w:autoSpaceDN w:val="0"/>
      <w:adjustRightInd w:val="0"/>
    </w:pPr>
    <w:rPr>
      <w:rFonts w:ascii="Times New Roman" w:hAnsi="Times New Roman" w:cs="Times New Roman"/>
      <w:color w:val="000000"/>
    </w:rPr>
  </w:style>
  <w:style w:type="paragraph" w:customStyle="1" w:styleId="Prrafodelista1">
    <w:name w:val="Párrafo de lista1"/>
    <w:basedOn w:val="Normal"/>
    <w:uiPriority w:val="34"/>
    <w:qFormat/>
    <w:rsid w:val="0043175D"/>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en-US"/>
    </w:rPr>
  </w:style>
  <w:style w:type="character" w:customStyle="1" w:styleId="UnresolvedMention3">
    <w:name w:val="Unresolved Mention3"/>
    <w:basedOn w:val="DefaultParagraphFont"/>
    <w:uiPriority w:val="99"/>
    <w:semiHidden/>
    <w:unhideWhenUsed/>
    <w:rsid w:val="0043175D"/>
    <w:rPr>
      <w:color w:val="605E5C"/>
      <w:shd w:val="clear" w:color="auto" w:fill="E1DFDD"/>
    </w:rPr>
  </w:style>
  <w:style w:type="paragraph" w:styleId="Subtitle">
    <w:name w:val="Subtitle"/>
    <w:basedOn w:val="Normal"/>
    <w:next w:val="Normal"/>
    <w:link w:val="SubtitleChar"/>
    <w:uiPriority w:val="11"/>
    <w:qFormat/>
    <w:rsid w:val="0043175D"/>
    <w:pPr>
      <w:numPr>
        <w:ilvl w:val="1"/>
      </w:numPr>
      <w:suppressAutoHyphens w:val="0"/>
      <w:kinsoku/>
      <w:overflowPunct/>
      <w:autoSpaceDE/>
      <w:autoSpaceDN/>
      <w:adjustRightInd/>
      <w:snapToGrid/>
      <w:spacing w:after="160" w:line="240" w:lineRule="auto"/>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43175D"/>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43175D"/>
    <w:pPr>
      <w:suppressAutoHyphens w:val="0"/>
      <w:kinsoku/>
      <w:overflowPunct/>
      <w:autoSpaceDE/>
      <w:autoSpaceDN/>
      <w:adjustRightInd/>
      <w:snapToGrid/>
      <w:spacing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43175D"/>
    <w:rPr>
      <w:rFonts w:asciiTheme="majorHAnsi" w:eastAsiaTheme="majorEastAsia" w:hAnsiTheme="majorHAnsi" w:cstheme="majorBidi"/>
      <w:spacing w:val="-10"/>
      <w:kern w:val="28"/>
      <w:sz w:val="56"/>
      <w:szCs w:val="56"/>
    </w:rPr>
  </w:style>
  <w:style w:type="character" w:customStyle="1" w:styleId="citationitalic">
    <w:name w:val="citationitalic"/>
    <w:basedOn w:val="DefaultParagraphFont"/>
    <w:rsid w:val="0043175D"/>
  </w:style>
  <w:style w:type="character" w:customStyle="1" w:styleId="UnresolvedMention4">
    <w:name w:val="Unresolved Mention4"/>
    <w:basedOn w:val="DefaultParagraphFont"/>
    <w:uiPriority w:val="99"/>
    <w:semiHidden/>
    <w:unhideWhenUsed/>
    <w:rsid w:val="0043175D"/>
    <w:rPr>
      <w:color w:val="605E5C"/>
      <w:shd w:val="clear" w:color="auto" w:fill="E1DFDD"/>
    </w:rPr>
  </w:style>
  <w:style w:type="character" w:styleId="SubtleReference">
    <w:name w:val="Subtle Reference"/>
    <w:basedOn w:val="DefaultParagraphFont"/>
    <w:uiPriority w:val="31"/>
    <w:qFormat/>
    <w:rsid w:val="0043175D"/>
    <w:rPr>
      <w:smallCaps/>
      <w:color w:val="5A5A5A" w:themeColor="text1" w:themeTint="A5"/>
    </w:rPr>
  </w:style>
  <w:style w:type="character" w:customStyle="1" w:styleId="footnotemark">
    <w:name w:val="footnote mark"/>
    <w:hidden/>
    <w:rsid w:val="0043175D"/>
    <w:rPr>
      <w:rFonts w:ascii="Times New Roman" w:eastAsia="Times New Roman" w:hAnsi="Times New Roman" w:cs="Times New Roman"/>
      <w:color w:val="000000"/>
      <w:sz w:val="18"/>
      <w:vertAlign w:val="superscript"/>
    </w:rPr>
  </w:style>
  <w:style w:type="character" w:styleId="UnresolvedMention">
    <w:name w:val="Unresolved Mention"/>
    <w:basedOn w:val="DefaultParagraphFont"/>
    <w:uiPriority w:val="99"/>
    <w:unhideWhenUsed/>
    <w:rsid w:val="0043175D"/>
    <w:rPr>
      <w:color w:val="605E5C"/>
      <w:shd w:val="clear" w:color="auto" w:fill="E1DFDD"/>
    </w:rPr>
  </w:style>
  <w:style w:type="character" w:customStyle="1" w:styleId="preferred">
    <w:name w:val="preferred"/>
    <w:basedOn w:val="DefaultParagraphFont"/>
    <w:rsid w:val="0043175D"/>
  </w:style>
  <w:style w:type="character" w:customStyle="1" w:styleId="fr">
    <w:name w:val="fr"/>
    <w:basedOn w:val="DefaultParagraphFont"/>
    <w:rsid w:val="0043175D"/>
  </w:style>
  <w:style w:type="character" w:customStyle="1" w:styleId="admitted">
    <w:name w:val="admitted"/>
    <w:basedOn w:val="DefaultParagraphFont"/>
    <w:rsid w:val="0043175D"/>
  </w:style>
  <w:style w:type="paragraph" w:customStyle="1" w:styleId="SingleTxt">
    <w:name w:val="__Single Txt"/>
    <w:basedOn w:val="Normal"/>
    <w:rsid w:val="0043175D"/>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lang w:val="en-GB"/>
    </w:rPr>
  </w:style>
  <w:style w:type="paragraph" w:customStyle="1" w:styleId="H4">
    <w:name w:val="_ H_4"/>
    <w:basedOn w:val="Normal"/>
    <w:next w:val="SingleTxt"/>
    <w:rsid w:val="004317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i/>
      <w:spacing w:val="3"/>
      <w:w w:val="103"/>
      <w:kern w:val="14"/>
      <w:lang w:val="en-GB"/>
    </w:rPr>
  </w:style>
  <w:style w:type="numbering" w:customStyle="1" w:styleId="CurrentList1">
    <w:name w:val="Current List1"/>
    <w:uiPriority w:val="99"/>
    <w:rsid w:val="0043175D"/>
    <w:pPr>
      <w:numPr>
        <w:numId w:val="9"/>
      </w:numPr>
    </w:pPr>
  </w:style>
  <w:style w:type="numbering" w:customStyle="1" w:styleId="CurrentList2">
    <w:name w:val="Current List2"/>
    <w:uiPriority w:val="99"/>
    <w:rsid w:val="0043175D"/>
    <w:pPr>
      <w:numPr>
        <w:numId w:val="10"/>
      </w:numPr>
    </w:pPr>
  </w:style>
  <w:style w:type="character" w:customStyle="1" w:styleId="Mentionnonrsolue2">
    <w:name w:val="Mention non résolue2"/>
    <w:basedOn w:val="DefaultParagraphFont"/>
    <w:uiPriority w:val="99"/>
    <w:semiHidden/>
    <w:unhideWhenUsed/>
    <w:rsid w:val="0043175D"/>
    <w:rPr>
      <w:color w:val="605E5C"/>
      <w:shd w:val="clear" w:color="auto" w:fill="E1DFDD"/>
    </w:rPr>
  </w:style>
  <w:style w:type="paragraph" w:customStyle="1" w:styleId="heading20">
    <w:name w:val="heading2"/>
    <w:basedOn w:val="Normal"/>
    <w:next w:val="Heading2"/>
    <w:rsid w:val="00731E31"/>
    <w:pPr>
      <w:keepNext/>
      <w:keepLines/>
      <w:kinsoku/>
      <w:overflowPunct/>
      <w:autoSpaceDE/>
      <w:autoSpaceDN/>
      <w:adjustRightInd/>
      <w:snapToGrid/>
      <w:spacing w:before="80" w:after="80" w:line="240" w:lineRule="auto"/>
      <w:jc w:val="center"/>
    </w:pPr>
    <w:rPr>
      <w:rFonts w:eastAsia="Times New Roman"/>
      <w:b/>
      <w:bCs/>
      <w:spacing w:val="4"/>
      <w:w w:val="103"/>
      <w:kern w:val="14"/>
      <w:sz w:val="19"/>
      <w:szCs w:val="19"/>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iltalk.org/the-empire-strikes-back-yukos-russia-1-1/" TargetMode="External"/><Relationship Id="rId13" Type="http://schemas.openxmlformats.org/officeDocument/2006/relationships/hyperlink" Target="https://undocs.org/en/FCCC/CP/2015/10/Add.1" TargetMode="External"/><Relationship Id="rId18" Type="http://schemas.openxmlformats.org/officeDocument/2006/relationships/hyperlink" Target="http://europa.eu/rapid/press-release_IP-17-5008_en.htm" TargetMode="External"/><Relationship Id="rId26" Type="http://schemas.openxmlformats.org/officeDocument/2006/relationships/hyperlink" Target="https://global.tbmm.gov.tr/docs/constitution_en.pdf" TargetMode="External"/><Relationship Id="rId3" Type="http://schemas.openxmlformats.org/officeDocument/2006/relationships/settings" Target="settings.xml"/><Relationship Id="rId21" Type="http://schemas.openxmlformats.org/officeDocument/2006/relationships/hyperlink" Target="https://undocs.org/A/70/206" TargetMode="External"/><Relationship Id="rId7" Type="http://schemas.openxmlformats.org/officeDocument/2006/relationships/image" Target="media/image1.png"/><Relationship Id="rId12" Type="http://schemas.openxmlformats.org/officeDocument/2006/relationships/hyperlink" Target="https://undocs.org/en/FCCC/KP/CMP/2012/13/Add.1" TargetMode="External"/><Relationship Id="rId17" Type="http://schemas.openxmlformats.org/officeDocument/2006/relationships/hyperlink" Target="https://search.coe.int/cm/Pages/result_details.aspx?ObjectID=09000016806c9744" TargetMode="External"/><Relationship Id="rId25" Type="http://schemas.openxmlformats.org/officeDocument/2006/relationships/hyperlink" Target="https://www.ejpd.admin.ch/ejpd/fr/home/aktuell/news/2004/2004-02-19.html" TargetMode="External"/><Relationship Id="rId2" Type="http://schemas.openxmlformats.org/officeDocument/2006/relationships/styles" Target="styles.xml"/><Relationship Id="rId16" Type="http://schemas.openxmlformats.org/officeDocument/2006/relationships/hyperlink" Target="https://undocs.org/en/A/RES/33/141" TargetMode="External"/><Relationship Id="rId20" Type="http://schemas.openxmlformats.org/officeDocument/2006/relationships/hyperlink" Target="https://undocs.org/A/AC.138/8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FCCC/KP/AWG/2010/10" TargetMode="External"/><Relationship Id="rId24" Type="http://schemas.openxmlformats.org/officeDocument/2006/relationships/hyperlink" Target="https://treaties.un.org/doc/Publication/CN/2000/CN.1021.2000-Eng.pdf" TargetMode="External"/><Relationship Id="rId5" Type="http://schemas.openxmlformats.org/officeDocument/2006/relationships/footnotes" Target="footnotes.xml"/><Relationship Id="rId15" Type="http://schemas.openxmlformats.org/officeDocument/2006/relationships/hyperlink" Target="https://undocs.org/en/A/RES/67/234B" TargetMode="External"/><Relationship Id="rId23" Type="http://schemas.openxmlformats.org/officeDocument/2006/relationships/hyperlink" Target="https://www.legifrance.gouv.fr/jorf/id/JORFTEXT000000200416" TargetMode="External"/><Relationship Id="rId28" Type="http://schemas.openxmlformats.org/officeDocument/2006/relationships/fontTable" Target="fontTable.xml"/><Relationship Id="rId10" Type="http://schemas.openxmlformats.org/officeDocument/2006/relationships/hyperlink" Target="https://uitspraken.rechtspraak.nl/inziendocument?id=ECLI:NL:GHDHA:2020:234" TargetMode="External"/><Relationship Id="rId19" Type="http://schemas.openxmlformats.org/officeDocument/2006/relationships/hyperlink" Target="https://www.opcw.org/media-centre/news/2013/10/syrias-accession-chemical-weapons-convention-enters-force" TargetMode="External"/><Relationship Id="rId4" Type="http://schemas.openxmlformats.org/officeDocument/2006/relationships/webSettings" Target="webSettings.xml"/><Relationship Id="rId9" Type="http://schemas.openxmlformats.org/officeDocument/2006/relationships/hyperlink" Target="http://uitspraken.rechtspraak.nl/inziendocument?id=ECLI:NL:RBDHA:2016:4230" TargetMode="External"/><Relationship Id="rId14" Type="http://schemas.openxmlformats.org/officeDocument/2006/relationships/hyperlink" Target="https://undocs.org/en/A/RES/50/245" TargetMode="External"/><Relationship Id="rId22" Type="http://schemas.openxmlformats.org/officeDocument/2006/relationships/hyperlink" Target="https://www.riigiteataja.ee/en/eli/517012014001/consolide" TargetMode="External"/><Relationship Id="rId27" Type="http://schemas.openxmlformats.org/officeDocument/2006/relationships/hyperlink" Target="https://undocs.org/A/CN.4/68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A/CN.4/707" TargetMode="External"/><Relationship Id="rId13" Type="http://schemas.openxmlformats.org/officeDocument/2006/relationships/hyperlink" Target="https://undocs.org/fr/A/CN.4/675" TargetMode="External"/><Relationship Id="rId18" Type="http://schemas.openxmlformats.org/officeDocument/2006/relationships/hyperlink" Target="https://undocs.org/fr/A/CN.4/664" TargetMode="External"/><Relationship Id="rId26" Type="http://schemas.openxmlformats.org/officeDocument/2006/relationships/hyperlink" Target="https://undocs.org/fr/A/RES/56/83" TargetMode="External"/><Relationship Id="rId3" Type="http://schemas.openxmlformats.org/officeDocument/2006/relationships/hyperlink" Target="https://undocs.org/fr/A/CN.4/664" TargetMode="External"/><Relationship Id="rId21" Type="http://schemas.openxmlformats.org/officeDocument/2006/relationships/hyperlink" Target="https://undocs.org/fr/A/RES/56/83" TargetMode="External"/><Relationship Id="rId7" Type="http://schemas.openxmlformats.org/officeDocument/2006/relationships/hyperlink" Target="https://undocs.org/fr/A/CN.4/676" TargetMode="External"/><Relationship Id="rId12" Type="http://schemas.openxmlformats.org/officeDocument/2006/relationships/hyperlink" Target="https://undocs.org/fr/A/RES/66/100" TargetMode="External"/><Relationship Id="rId17" Type="http://schemas.openxmlformats.org/officeDocument/2006/relationships/hyperlink" Target="https://undocs.org/fr/A/CN.4/658" TargetMode="External"/><Relationship Id="rId25" Type="http://schemas.openxmlformats.org/officeDocument/2006/relationships/hyperlink" Target="https://undocs.org/fr/A/CN.4/120" TargetMode="External"/><Relationship Id="rId2" Type="http://schemas.openxmlformats.org/officeDocument/2006/relationships/hyperlink" Target="https://undocs.org/fr/A/CONF.129/15" TargetMode="External"/><Relationship Id="rId16" Type="http://schemas.openxmlformats.org/officeDocument/2006/relationships/hyperlink" Target="https://undocs.org/fr/A/CN.4/718" TargetMode="External"/><Relationship Id="rId20" Type="http://schemas.openxmlformats.org/officeDocument/2006/relationships/hyperlink" Target="https://undocs.org/fr/A/CN.4/737" TargetMode="External"/><Relationship Id="rId1" Type="http://schemas.openxmlformats.org/officeDocument/2006/relationships/hyperlink" Target="https://undocs.org/fr/A/CN.4/664" TargetMode="External"/><Relationship Id="rId6" Type="http://schemas.openxmlformats.org/officeDocument/2006/relationships/hyperlink" Target="https://undocs.org/fr/A/CN.4/658" TargetMode="External"/><Relationship Id="rId11" Type="http://schemas.openxmlformats.org/officeDocument/2006/relationships/hyperlink" Target="https://www.ris.bka.gv.at/Dokumente/RegV/REGV_COO_2026_100_2_1876101/COO_2026_100_2_1879091.pdf" TargetMode="External"/><Relationship Id="rId24" Type="http://schemas.openxmlformats.org/officeDocument/2006/relationships/hyperlink" Target="https://undocs.org/fr/A/CN.4/707" TargetMode="External"/><Relationship Id="rId5" Type="http://schemas.openxmlformats.org/officeDocument/2006/relationships/hyperlink" Target="https://undocs.org/fr/A/CN.4/699" TargetMode="External"/><Relationship Id="rId15" Type="http://schemas.openxmlformats.org/officeDocument/2006/relationships/hyperlink" Target="https://undocs.org/fr/A/CN.4/707" TargetMode="External"/><Relationship Id="rId23" Type="http://schemas.openxmlformats.org/officeDocument/2006/relationships/hyperlink" Target="https://undocs.org/fr/A/CN.4/707" TargetMode="External"/><Relationship Id="rId28" Type="http://schemas.openxmlformats.org/officeDocument/2006/relationships/hyperlink" Target="http://www.efta.int/free-trade/free-trade-agreements" TargetMode="External"/><Relationship Id="rId10" Type="http://schemas.openxmlformats.org/officeDocument/2006/relationships/hyperlink" Target="https://undocs.org/fr/A/CN.4/737" TargetMode="External"/><Relationship Id="rId19" Type="http://schemas.openxmlformats.org/officeDocument/2006/relationships/hyperlink" Target="https://undocs.org/fr/A/73/10" TargetMode="External"/><Relationship Id="rId4" Type="http://schemas.openxmlformats.org/officeDocument/2006/relationships/hyperlink" Target="file:///\\conf-share1\LS\FRA\COMMON\FINAL\www.gov.uk\guidance\uk-trade-agreements-with-non-eu-countries" TargetMode="External"/><Relationship Id="rId9" Type="http://schemas.openxmlformats.org/officeDocument/2006/relationships/hyperlink" Target="https://undocs.org/fr/A/6309/Rev.1" TargetMode="External"/><Relationship Id="rId14" Type="http://schemas.openxmlformats.org/officeDocument/2006/relationships/hyperlink" Target="https://undocs.org/fr/A/CN.4/687" TargetMode="External"/><Relationship Id="rId22" Type="http://schemas.openxmlformats.org/officeDocument/2006/relationships/hyperlink" Target="https://undocs.org/fr/A/RES/66/100" TargetMode="External"/><Relationship Id="rId27" Type="http://schemas.openxmlformats.org/officeDocument/2006/relationships/hyperlink" Target="https://undocs.org/fr/A/RES/5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12179</Words>
  <Characters>69425</Characters>
  <Application>Microsoft Office Word</Application>
  <DocSecurity>0</DocSecurity>
  <Lines>578</Lines>
  <Paragraphs>162</Paragraphs>
  <ScaleCrop>false</ScaleCrop>
  <Company/>
  <LinksUpToDate>false</LinksUpToDate>
  <CharactersWithSpaces>81442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5</cp:revision>
  <dcterms:created xsi:type="dcterms:W3CDTF">2021-10-07T00:32:00Z</dcterms:created>
  <dcterms:modified xsi:type="dcterms:W3CDTF">2021-10-07T21:02:00Z</dcterms:modified>
</cp:coreProperties>
</file>