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2506" w14:textId="77777777" w:rsidR="00C3256E" w:rsidRDefault="00C3256E" w:rsidP="00C3256E">
      <w:pPr>
        <w:pStyle w:val="heading20"/>
      </w:pPr>
    </w:p>
    <w:p w14:paraId="21A6215C" w14:textId="77777777" w:rsidR="00C3256E" w:rsidRDefault="00C3256E" w:rsidP="00C3256E">
      <w:pPr>
        <w:pStyle w:val="heading20"/>
      </w:pPr>
    </w:p>
    <w:p w14:paraId="7D5A9984" w14:textId="77777777" w:rsidR="00C3256E" w:rsidRDefault="00C3256E" w:rsidP="00C3256E">
      <w:pPr>
        <w:pStyle w:val="heading20"/>
      </w:pPr>
    </w:p>
    <w:p w14:paraId="17C047A7" w14:textId="77777777" w:rsidR="00C3256E" w:rsidRPr="00FF0815" w:rsidRDefault="00C3256E" w:rsidP="00C3256E">
      <w:pPr>
        <w:pStyle w:val="heading20"/>
        <w:rPr>
          <w:lang w:val="fr-FR"/>
        </w:rPr>
      </w:pPr>
      <w:r w:rsidRPr="0029137B">
        <w:rPr>
          <w:sz w:val="28"/>
          <w:szCs w:val="28"/>
          <w:lang w:val="fr-CH"/>
        </w:rPr>
        <w:t xml:space="preserve">Texte des </w:t>
      </w:r>
      <w:r w:rsidRPr="00583457">
        <w:rPr>
          <w:sz w:val="28"/>
          <w:szCs w:val="28"/>
          <w:lang w:val="fr-CH"/>
        </w:rPr>
        <w:t xml:space="preserve">projets de directive et le préambule sur la protection de l’atmosphère </w:t>
      </w:r>
      <w:r w:rsidRPr="0029137B">
        <w:rPr>
          <w:sz w:val="28"/>
          <w:szCs w:val="28"/>
          <w:lang w:val="fr-CH"/>
        </w:rPr>
        <w:t>et des commentaires y relatifs</w:t>
      </w:r>
      <w:r>
        <w:rPr>
          <w:sz w:val="28"/>
          <w:szCs w:val="28"/>
          <w:lang w:val="fr-FR"/>
        </w:rPr>
        <w:br/>
      </w:r>
      <w:r>
        <w:rPr>
          <w:lang w:val="fr-FR"/>
        </w:rPr>
        <w:t>2021</w:t>
      </w:r>
    </w:p>
    <w:p w14:paraId="46899E52" w14:textId="77777777" w:rsidR="00C3256E" w:rsidRPr="00FF0815" w:rsidRDefault="00C3256E" w:rsidP="00C3256E">
      <w:pPr>
        <w:pStyle w:val="heading20"/>
        <w:tabs>
          <w:tab w:val="left" w:pos="4860"/>
        </w:tabs>
        <w:jc w:val="left"/>
        <w:rPr>
          <w:lang w:val="fr-FR"/>
        </w:rPr>
      </w:pPr>
    </w:p>
    <w:p w14:paraId="288B82A9" w14:textId="77777777" w:rsidR="00C3256E" w:rsidRPr="00FF0815" w:rsidRDefault="00C3256E" w:rsidP="00C3256E">
      <w:pPr>
        <w:pStyle w:val="heading20"/>
        <w:rPr>
          <w:lang w:val="fr-FR"/>
        </w:rPr>
      </w:pPr>
      <w:r>
        <w:rPr>
          <w:noProof/>
        </w:rPr>
        <mc:AlternateContent>
          <mc:Choice Requires="wpc">
            <w:drawing>
              <wp:inline distT="0" distB="0" distL="0" distR="0" wp14:anchorId="7EC37D13" wp14:editId="2CA2416F">
                <wp:extent cx="5486400" cy="20574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321300" y="571212"/>
                            <a:ext cx="4800600" cy="914976"/>
                          </a:xfrm>
                          <a:prstGeom prst="rect">
                            <a:avLst/>
                          </a:prstGeom>
                          <a:solidFill>
                            <a:srgbClr val="FFFFFF"/>
                          </a:solidFill>
                          <a:ln w="9525">
                            <a:solidFill>
                              <a:srgbClr val="000000"/>
                            </a:solidFill>
                            <a:miter lim="800000"/>
                            <a:headEnd/>
                            <a:tailEnd/>
                          </a:ln>
                        </wps:spPr>
                        <wps:txbx>
                          <w:txbxContent>
                            <w:p w14:paraId="08FBE8EA" w14:textId="77777777" w:rsidR="00C3256E" w:rsidRPr="00FF0815" w:rsidRDefault="00C3256E" w:rsidP="00C3256E">
                              <w:pPr>
                                <w:rPr>
                                  <w:lang w:val="fr-FR"/>
                                </w:rPr>
                              </w:pPr>
                              <w:r w:rsidRPr="00FF0815">
                                <w:rPr>
                                  <w:lang w:val="fr-FR"/>
                                </w:rPr>
                                <w:t xml:space="preserve">Texte adopté par la Commission du droit international à sa </w:t>
                              </w:r>
                              <w:proofErr w:type="spellStart"/>
                              <w:r>
                                <w:rPr>
                                  <w:lang w:val="fr-FR"/>
                                </w:rPr>
                                <w:t>s</w:t>
                              </w:r>
                              <w:r w:rsidRPr="001E5119">
                                <w:rPr>
                                  <w:lang w:val="fr-FR"/>
                                </w:rPr>
                                <w:t>oixante-douzième</w:t>
                              </w:r>
                              <w:proofErr w:type="spellEnd"/>
                              <w:r w:rsidRPr="00183FA8">
                                <w:rPr>
                                  <w:bCs/>
                                  <w:lang w:val="fr-FR"/>
                                </w:rPr>
                                <w:t xml:space="preserve"> </w:t>
                              </w:r>
                              <w:r w:rsidRPr="003D661A">
                                <w:rPr>
                                  <w:bCs/>
                                  <w:lang w:val="fr-FR"/>
                                </w:rPr>
                                <w:t>session</w:t>
                              </w:r>
                              <w:r w:rsidRPr="00FF0815">
                                <w:rPr>
                                  <w:lang w:val="fr-FR"/>
                                </w:rPr>
                                <w:t>, en 20</w:t>
                              </w:r>
                              <w:r>
                                <w:rPr>
                                  <w:lang w:val="fr-FR"/>
                                </w:rPr>
                                <w:t>21</w:t>
                              </w:r>
                              <w:r w:rsidRPr="00FF0815">
                                <w:rPr>
                                  <w:lang w:val="fr-FR"/>
                                </w:rPr>
                                <w:t>, et soumis à l’Assemblée générale dans le cadre de son rapport sur les</w:t>
                              </w:r>
                              <w:r>
                                <w:rPr>
                                  <w:lang w:val="fr-FR"/>
                                </w:rPr>
                                <w:t xml:space="preserve"> </w:t>
                              </w:r>
                              <w:r w:rsidRPr="00FF0815">
                                <w:rPr>
                                  <w:lang w:val="fr-FR"/>
                                </w:rPr>
                                <w:t>travaux de ladite session (A/</w:t>
                              </w:r>
                              <w:r>
                                <w:rPr>
                                  <w:lang w:val="fr-FR"/>
                                </w:rPr>
                                <w:t>76</w:t>
                              </w:r>
                              <w:r w:rsidRPr="00FF0815">
                                <w:rPr>
                                  <w:lang w:val="fr-FR"/>
                                </w:rPr>
                                <w:t>/10). Le rapport, qui contient également des</w:t>
                              </w:r>
                              <w:r>
                                <w:rPr>
                                  <w:lang w:val="fr-FR"/>
                                </w:rPr>
                                <w:t xml:space="preserve"> </w:t>
                              </w:r>
                              <w:r w:rsidRPr="00FF0815">
                                <w:rPr>
                                  <w:lang w:val="fr-FR"/>
                                </w:rPr>
                                <w:t>commentaires sur le projet d’articles</w:t>
                              </w:r>
                              <w:r>
                                <w:rPr>
                                  <w:lang w:val="fr-FR"/>
                                </w:rPr>
                                <w:t xml:space="preserve"> (para. 40)</w:t>
                              </w:r>
                              <w:r w:rsidRPr="00FF0815">
                                <w:rPr>
                                  <w:lang w:val="fr-FR"/>
                                </w:rPr>
                                <w:t>, sera reproduit dans l’</w:t>
                              </w:r>
                              <w:r w:rsidRPr="00FF0815">
                                <w:rPr>
                                  <w:i/>
                                  <w:iCs/>
                                  <w:lang w:val="fr-FR"/>
                                </w:rPr>
                                <w:t>Annuaire de la Commission</w:t>
                              </w:r>
                              <w:r>
                                <w:rPr>
                                  <w:i/>
                                  <w:iCs/>
                                  <w:lang w:val="fr-FR"/>
                                </w:rPr>
                                <w:t xml:space="preserve"> du droit international, 2021</w:t>
                              </w:r>
                              <w:r w:rsidRPr="00FF0815">
                                <w:rPr>
                                  <w:i/>
                                  <w:iCs/>
                                  <w:lang w:val="fr-FR"/>
                                </w:rPr>
                                <w:t xml:space="preserve">, </w:t>
                              </w:r>
                              <w:r w:rsidRPr="00FF0815">
                                <w:rPr>
                                  <w:lang w:val="fr-FR"/>
                                </w:rPr>
                                <w:t xml:space="preserve">vol. </w:t>
                              </w:r>
                              <w:proofErr w:type="gramStart"/>
                              <w:r w:rsidRPr="00FF0815">
                                <w:rPr>
                                  <w:lang w:val="fr-FR"/>
                                </w:rPr>
                                <w:t>II(</w:t>
                              </w:r>
                              <w:proofErr w:type="gramEnd"/>
                              <w:r w:rsidRPr="00FF0815">
                                <w:rPr>
                                  <w:lang w:val="fr-FR"/>
                                </w:rPr>
                                <w:t>2).</w:t>
                              </w:r>
                            </w:p>
                          </w:txbxContent>
                        </wps:txbx>
                        <wps:bodyPr rot="0" vert="horz" wrap="square" lIns="91440" tIns="45720" rIns="91440" bIns="45720" anchor="t" anchorCtr="0" upright="1">
                          <a:noAutofit/>
                        </wps:bodyPr>
                      </wps:wsp>
                    </wpc:wpc>
                  </a:graphicData>
                </a:graphic>
              </wp:inline>
            </w:drawing>
          </mc:Choice>
          <mc:Fallback>
            <w:pict>
              <v:group w14:anchorId="7EC37D13" id="Canvas 3" o:spid="_x0000_s1026" editas="canvas" style="width:6in;height:162pt;mso-position-horizontal-relative:char;mso-position-vertical-relative:line" coordsize="54864,20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213;top:5712;width:48006;height:9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08FBE8EA" w14:textId="77777777" w:rsidR="00C3256E" w:rsidRPr="00FF0815" w:rsidRDefault="00C3256E" w:rsidP="00C3256E">
                        <w:pPr>
                          <w:rPr>
                            <w:lang w:val="fr-FR"/>
                          </w:rPr>
                        </w:pPr>
                        <w:r w:rsidRPr="00FF0815">
                          <w:rPr>
                            <w:lang w:val="fr-FR"/>
                          </w:rPr>
                          <w:t xml:space="preserve">Texte adopté par la Commission du droit international à sa </w:t>
                        </w:r>
                        <w:proofErr w:type="spellStart"/>
                        <w:r>
                          <w:rPr>
                            <w:lang w:val="fr-FR"/>
                          </w:rPr>
                          <w:t>s</w:t>
                        </w:r>
                        <w:r w:rsidRPr="001E5119">
                          <w:rPr>
                            <w:lang w:val="fr-FR"/>
                          </w:rPr>
                          <w:t>oixante-douzième</w:t>
                        </w:r>
                        <w:proofErr w:type="spellEnd"/>
                        <w:r w:rsidRPr="00183FA8">
                          <w:rPr>
                            <w:bCs/>
                            <w:lang w:val="fr-FR"/>
                          </w:rPr>
                          <w:t xml:space="preserve"> </w:t>
                        </w:r>
                        <w:r w:rsidRPr="003D661A">
                          <w:rPr>
                            <w:bCs/>
                            <w:lang w:val="fr-FR"/>
                          </w:rPr>
                          <w:t>session</w:t>
                        </w:r>
                        <w:r w:rsidRPr="00FF0815">
                          <w:rPr>
                            <w:lang w:val="fr-FR"/>
                          </w:rPr>
                          <w:t>, en 20</w:t>
                        </w:r>
                        <w:r>
                          <w:rPr>
                            <w:lang w:val="fr-FR"/>
                          </w:rPr>
                          <w:t>21</w:t>
                        </w:r>
                        <w:r w:rsidRPr="00FF0815">
                          <w:rPr>
                            <w:lang w:val="fr-FR"/>
                          </w:rPr>
                          <w:t>, et soumis à l’Assemblée générale dans le cadre de son rapport sur les</w:t>
                        </w:r>
                        <w:r>
                          <w:rPr>
                            <w:lang w:val="fr-FR"/>
                          </w:rPr>
                          <w:t xml:space="preserve"> </w:t>
                        </w:r>
                        <w:r w:rsidRPr="00FF0815">
                          <w:rPr>
                            <w:lang w:val="fr-FR"/>
                          </w:rPr>
                          <w:t>travaux de ladite session (A/</w:t>
                        </w:r>
                        <w:r>
                          <w:rPr>
                            <w:lang w:val="fr-FR"/>
                          </w:rPr>
                          <w:t>76</w:t>
                        </w:r>
                        <w:r w:rsidRPr="00FF0815">
                          <w:rPr>
                            <w:lang w:val="fr-FR"/>
                          </w:rPr>
                          <w:t>/10). Le rapport, qui contient également des</w:t>
                        </w:r>
                        <w:r>
                          <w:rPr>
                            <w:lang w:val="fr-FR"/>
                          </w:rPr>
                          <w:t xml:space="preserve"> </w:t>
                        </w:r>
                        <w:r w:rsidRPr="00FF0815">
                          <w:rPr>
                            <w:lang w:val="fr-FR"/>
                          </w:rPr>
                          <w:t>commentaires sur le projet d’articles</w:t>
                        </w:r>
                        <w:r>
                          <w:rPr>
                            <w:lang w:val="fr-FR"/>
                          </w:rPr>
                          <w:t xml:space="preserve"> (para. 40)</w:t>
                        </w:r>
                        <w:r w:rsidRPr="00FF0815">
                          <w:rPr>
                            <w:lang w:val="fr-FR"/>
                          </w:rPr>
                          <w:t>, sera reproduit dans l’</w:t>
                        </w:r>
                        <w:r w:rsidRPr="00FF0815">
                          <w:rPr>
                            <w:i/>
                            <w:iCs/>
                            <w:lang w:val="fr-FR"/>
                          </w:rPr>
                          <w:t>Annuaire de la Commission</w:t>
                        </w:r>
                        <w:r>
                          <w:rPr>
                            <w:i/>
                            <w:iCs/>
                            <w:lang w:val="fr-FR"/>
                          </w:rPr>
                          <w:t xml:space="preserve"> du droit international, 2021</w:t>
                        </w:r>
                        <w:r w:rsidRPr="00FF0815">
                          <w:rPr>
                            <w:i/>
                            <w:iCs/>
                            <w:lang w:val="fr-FR"/>
                          </w:rPr>
                          <w:t xml:space="preserve">, </w:t>
                        </w:r>
                        <w:r w:rsidRPr="00FF0815">
                          <w:rPr>
                            <w:lang w:val="fr-FR"/>
                          </w:rPr>
                          <w:t xml:space="preserve">vol. </w:t>
                        </w:r>
                        <w:proofErr w:type="gramStart"/>
                        <w:r w:rsidRPr="00FF0815">
                          <w:rPr>
                            <w:lang w:val="fr-FR"/>
                          </w:rPr>
                          <w:t>II(</w:t>
                        </w:r>
                        <w:proofErr w:type="gramEnd"/>
                        <w:r w:rsidRPr="00FF0815">
                          <w:rPr>
                            <w:lang w:val="fr-FR"/>
                          </w:rPr>
                          <w:t>2).</w:t>
                        </w:r>
                      </w:p>
                    </w:txbxContent>
                  </v:textbox>
                </v:shape>
                <w10:anchorlock/>
              </v:group>
            </w:pict>
          </mc:Fallback>
        </mc:AlternateContent>
      </w:r>
    </w:p>
    <w:p w14:paraId="0B206331" w14:textId="77777777" w:rsidR="00C3256E" w:rsidRPr="00FF0815" w:rsidRDefault="00C3256E" w:rsidP="00C3256E">
      <w:pPr>
        <w:pStyle w:val="heading20"/>
        <w:rPr>
          <w:lang w:val="fr-FR"/>
        </w:rPr>
      </w:pPr>
    </w:p>
    <w:p w14:paraId="748A0173" w14:textId="77777777" w:rsidR="00C3256E" w:rsidRPr="00FF0815" w:rsidRDefault="00C3256E" w:rsidP="00C3256E">
      <w:pPr>
        <w:suppressAutoHyphens w:val="0"/>
        <w:jc w:val="center"/>
        <w:rPr>
          <w:sz w:val="16"/>
          <w:szCs w:val="16"/>
          <w:lang w:val="fr-FR"/>
        </w:rPr>
      </w:pPr>
    </w:p>
    <w:p w14:paraId="6D6690E3" w14:textId="77777777" w:rsidR="00C3256E" w:rsidRPr="00FF0815" w:rsidRDefault="00C3256E" w:rsidP="00C3256E">
      <w:pPr>
        <w:suppressAutoHyphens w:val="0"/>
        <w:jc w:val="center"/>
        <w:rPr>
          <w:sz w:val="16"/>
          <w:szCs w:val="16"/>
          <w:lang w:val="fr-FR"/>
        </w:rPr>
      </w:pPr>
    </w:p>
    <w:p w14:paraId="12D134E7" w14:textId="77777777" w:rsidR="00C3256E" w:rsidRPr="00FF0815" w:rsidRDefault="00C3256E" w:rsidP="00C3256E">
      <w:pPr>
        <w:suppressAutoHyphens w:val="0"/>
        <w:jc w:val="center"/>
        <w:rPr>
          <w:sz w:val="16"/>
          <w:szCs w:val="16"/>
          <w:lang w:val="fr-FR"/>
        </w:rPr>
      </w:pPr>
    </w:p>
    <w:p w14:paraId="7EE72CB3" w14:textId="77777777" w:rsidR="00C3256E" w:rsidRPr="00FF0815" w:rsidRDefault="00C3256E" w:rsidP="00C3256E">
      <w:pPr>
        <w:suppressAutoHyphens w:val="0"/>
        <w:jc w:val="center"/>
        <w:rPr>
          <w:sz w:val="16"/>
          <w:szCs w:val="16"/>
          <w:lang w:val="fr-FR"/>
        </w:rPr>
      </w:pPr>
    </w:p>
    <w:p w14:paraId="05AAC45E" w14:textId="77777777" w:rsidR="00C3256E" w:rsidRPr="00FF0815" w:rsidRDefault="00C3256E" w:rsidP="00C3256E">
      <w:pPr>
        <w:suppressAutoHyphens w:val="0"/>
        <w:jc w:val="center"/>
        <w:rPr>
          <w:sz w:val="16"/>
          <w:szCs w:val="16"/>
          <w:lang w:val="fr-FR"/>
        </w:rPr>
      </w:pPr>
    </w:p>
    <w:p w14:paraId="033C0F03" w14:textId="77777777" w:rsidR="00C3256E" w:rsidRPr="00FF0815" w:rsidRDefault="00C3256E" w:rsidP="00C3256E">
      <w:pPr>
        <w:suppressAutoHyphens w:val="0"/>
        <w:jc w:val="center"/>
        <w:rPr>
          <w:sz w:val="16"/>
          <w:szCs w:val="16"/>
          <w:lang w:val="fr-FR"/>
        </w:rPr>
      </w:pPr>
    </w:p>
    <w:p w14:paraId="321896CB" w14:textId="77777777" w:rsidR="00C3256E" w:rsidRPr="00FF0815" w:rsidRDefault="00C3256E" w:rsidP="00C3256E">
      <w:pPr>
        <w:suppressAutoHyphens w:val="0"/>
        <w:jc w:val="center"/>
        <w:rPr>
          <w:sz w:val="16"/>
          <w:szCs w:val="16"/>
          <w:lang w:val="fr-FR"/>
        </w:rPr>
      </w:pPr>
    </w:p>
    <w:p w14:paraId="745DC622" w14:textId="77777777" w:rsidR="00C3256E" w:rsidRPr="00FF0815" w:rsidRDefault="00C3256E" w:rsidP="00C3256E">
      <w:pPr>
        <w:suppressAutoHyphens w:val="0"/>
        <w:jc w:val="center"/>
        <w:rPr>
          <w:sz w:val="16"/>
          <w:szCs w:val="16"/>
          <w:lang w:val="fr-FR"/>
        </w:rPr>
      </w:pPr>
    </w:p>
    <w:p w14:paraId="6C7988FE" w14:textId="77777777" w:rsidR="00C3256E" w:rsidRPr="00FF0815" w:rsidRDefault="00C3256E" w:rsidP="00C3256E">
      <w:pPr>
        <w:suppressAutoHyphens w:val="0"/>
        <w:jc w:val="center"/>
        <w:rPr>
          <w:sz w:val="16"/>
          <w:szCs w:val="16"/>
          <w:lang w:val="fr-FR"/>
        </w:rPr>
      </w:pPr>
    </w:p>
    <w:p w14:paraId="0D8967EC" w14:textId="77777777" w:rsidR="00C3256E" w:rsidRPr="00FF0815" w:rsidRDefault="00C3256E" w:rsidP="00C3256E">
      <w:pPr>
        <w:suppressAutoHyphens w:val="0"/>
        <w:jc w:val="center"/>
        <w:rPr>
          <w:sz w:val="16"/>
          <w:szCs w:val="16"/>
          <w:lang w:val="fr-FR"/>
        </w:rPr>
      </w:pPr>
    </w:p>
    <w:p w14:paraId="6B646EB8" w14:textId="77777777" w:rsidR="00C3256E" w:rsidRPr="00FF0815" w:rsidRDefault="00C3256E" w:rsidP="00C3256E">
      <w:pPr>
        <w:suppressAutoHyphens w:val="0"/>
        <w:jc w:val="center"/>
        <w:rPr>
          <w:sz w:val="16"/>
          <w:szCs w:val="16"/>
          <w:lang w:val="fr-FR"/>
        </w:rPr>
      </w:pPr>
    </w:p>
    <w:p w14:paraId="06F88C92" w14:textId="77777777" w:rsidR="00C3256E" w:rsidRPr="00FF0815" w:rsidRDefault="00C3256E" w:rsidP="00C3256E">
      <w:pPr>
        <w:suppressAutoHyphens w:val="0"/>
        <w:jc w:val="center"/>
        <w:rPr>
          <w:sz w:val="16"/>
          <w:szCs w:val="16"/>
          <w:lang w:val="fr-FR"/>
        </w:rPr>
      </w:pPr>
    </w:p>
    <w:p w14:paraId="08357D1B" w14:textId="77777777" w:rsidR="00C3256E" w:rsidRPr="00FF0815" w:rsidRDefault="00C3256E" w:rsidP="00C3256E">
      <w:pPr>
        <w:suppressAutoHyphens w:val="0"/>
        <w:jc w:val="center"/>
        <w:rPr>
          <w:sz w:val="16"/>
          <w:szCs w:val="16"/>
          <w:lang w:val="fr-FR"/>
        </w:rPr>
      </w:pPr>
    </w:p>
    <w:p w14:paraId="070D33E7" w14:textId="77777777" w:rsidR="00C3256E" w:rsidRPr="00FF0815" w:rsidRDefault="00C3256E" w:rsidP="00C3256E">
      <w:pPr>
        <w:suppressAutoHyphens w:val="0"/>
        <w:jc w:val="center"/>
        <w:rPr>
          <w:sz w:val="16"/>
          <w:szCs w:val="16"/>
          <w:lang w:val="fr-FR"/>
        </w:rPr>
      </w:pPr>
    </w:p>
    <w:p w14:paraId="208CD626" w14:textId="77777777" w:rsidR="00C3256E" w:rsidRPr="00FF0815" w:rsidRDefault="00C3256E" w:rsidP="00C3256E">
      <w:pPr>
        <w:suppressAutoHyphens w:val="0"/>
        <w:jc w:val="center"/>
        <w:rPr>
          <w:sz w:val="16"/>
          <w:szCs w:val="16"/>
          <w:lang w:val="fr-FR"/>
        </w:rPr>
      </w:pPr>
    </w:p>
    <w:p w14:paraId="5600303E" w14:textId="77777777" w:rsidR="00C3256E" w:rsidRPr="00FF0815" w:rsidRDefault="00C3256E" w:rsidP="00C3256E">
      <w:pPr>
        <w:suppressAutoHyphens w:val="0"/>
        <w:jc w:val="center"/>
        <w:rPr>
          <w:sz w:val="16"/>
          <w:szCs w:val="16"/>
          <w:lang w:val="fr-FR"/>
        </w:rPr>
      </w:pPr>
    </w:p>
    <w:p w14:paraId="60479C74" w14:textId="77777777" w:rsidR="00C3256E" w:rsidRPr="00FF0815" w:rsidRDefault="00C3256E" w:rsidP="00C3256E">
      <w:pPr>
        <w:suppressAutoHyphens w:val="0"/>
        <w:jc w:val="center"/>
        <w:rPr>
          <w:sz w:val="16"/>
          <w:szCs w:val="16"/>
          <w:lang w:val="fr-FR"/>
        </w:rPr>
      </w:pPr>
    </w:p>
    <w:p w14:paraId="3649F77E" w14:textId="77777777" w:rsidR="00C3256E" w:rsidRPr="00FF0815" w:rsidRDefault="00C3256E" w:rsidP="00C3256E">
      <w:pPr>
        <w:suppressAutoHyphens w:val="0"/>
        <w:jc w:val="center"/>
        <w:rPr>
          <w:sz w:val="16"/>
          <w:szCs w:val="16"/>
          <w:lang w:val="fr-FR"/>
        </w:rPr>
      </w:pPr>
    </w:p>
    <w:p w14:paraId="4EA85F16" w14:textId="77777777" w:rsidR="00C3256E" w:rsidRPr="00FF0815" w:rsidRDefault="00C3256E" w:rsidP="00C3256E">
      <w:pPr>
        <w:suppressAutoHyphens w:val="0"/>
        <w:jc w:val="center"/>
        <w:rPr>
          <w:sz w:val="16"/>
          <w:szCs w:val="16"/>
          <w:lang w:val="fr-FR"/>
        </w:rPr>
      </w:pPr>
    </w:p>
    <w:p w14:paraId="2C549F51" w14:textId="77777777" w:rsidR="00C3256E" w:rsidRPr="00FF0815" w:rsidRDefault="00C3256E" w:rsidP="00C3256E">
      <w:pPr>
        <w:suppressAutoHyphens w:val="0"/>
        <w:jc w:val="center"/>
        <w:rPr>
          <w:sz w:val="16"/>
          <w:szCs w:val="16"/>
          <w:lang w:val="fr-FR"/>
        </w:rPr>
      </w:pPr>
    </w:p>
    <w:p w14:paraId="4570B57A" w14:textId="77777777" w:rsidR="00C3256E" w:rsidRPr="00FF0815" w:rsidRDefault="00C3256E" w:rsidP="00C3256E">
      <w:pPr>
        <w:suppressAutoHyphens w:val="0"/>
        <w:jc w:val="center"/>
        <w:rPr>
          <w:sz w:val="16"/>
          <w:szCs w:val="16"/>
          <w:lang w:val="fr-FR"/>
        </w:rPr>
      </w:pPr>
      <w:r w:rsidRPr="0068649C">
        <w:rPr>
          <w:noProof/>
          <w:sz w:val="16"/>
          <w:szCs w:val="16"/>
          <w:lang w:val="en-US"/>
        </w:rPr>
        <w:drawing>
          <wp:inline distT="0" distB="0" distL="0" distR="0" wp14:anchorId="67B4F8CB" wp14:editId="24B969CD">
            <wp:extent cx="732155" cy="657225"/>
            <wp:effectExtent l="0" t="0" r="0" b="0"/>
            <wp:docPr id="2" name="Picture 2"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155" cy="657225"/>
                    </a:xfrm>
                    <a:prstGeom prst="rect">
                      <a:avLst/>
                    </a:prstGeom>
                    <a:noFill/>
                    <a:ln>
                      <a:noFill/>
                    </a:ln>
                  </pic:spPr>
                </pic:pic>
              </a:graphicData>
            </a:graphic>
          </wp:inline>
        </w:drawing>
      </w:r>
    </w:p>
    <w:p w14:paraId="0FEED500" w14:textId="77777777" w:rsidR="00C3256E" w:rsidRPr="00FF0815" w:rsidRDefault="00C3256E" w:rsidP="00C3256E">
      <w:pPr>
        <w:suppressAutoHyphens w:val="0"/>
        <w:rPr>
          <w:sz w:val="16"/>
          <w:szCs w:val="16"/>
          <w:lang w:val="fr-FR"/>
        </w:rPr>
      </w:pPr>
    </w:p>
    <w:p w14:paraId="586E2602" w14:textId="77777777" w:rsidR="00C3256E" w:rsidRDefault="00C3256E" w:rsidP="00C3256E">
      <w:pPr>
        <w:pStyle w:val="heading20"/>
        <w:rPr>
          <w:b w:val="0"/>
          <w:sz w:val="16"/>
          <w:szCs w:val="16"/>
          <w:lang w:val="fr-FR"/>
        </w:rPr>
      </w:pPr>
      <w:r w:rsidRPr="00FF0815">
        <w:rPr>
          <w:b w:val="0"/>
          <w:w w:val="100"/>
          <w:kern w:val="0"/>
          <w:sz w:val="16"/>
          <w:szCs w:val="16"/>
          <w:lang w:val="fr-FR" w:eastAsia="en-US"/>
        </w:rPr>
        <w:t>Copyright © Nations Unies</w:t>
      </w:r>
      <w:r>
        <w:rPr>
          <w:b w:val="0"/>
          <w:sz w:val="16"/>
          <w:szCs w:val="16"/>
          <w:lang w:val="fr-FR"/>
        </w:rPr>
        <w:br/>
        <w:t>2021</w:t>
      </w:r>
    </w:p>
    <w:p w14:paraId="14B4FFBC" w14:textId="77777777" w:rsidR="00C3256E" w:rsidRDefault="00C3256E" w:rsidP="00C3256E"/>
    <w:p w14:paraId="22235144" w14:textId="7D3631D2" w:rsidR="00C3256E" w:rsidRDefault="00C3256E">
      <w:pPr>
        <w:suppressAutoHyphens w:val="0"/>
        <w:kinsoku/>
        <w:overflowPunct/>
        <w:autoSpaceDE/>
        <w:autoSpaceDN/>
        <w:adjustRightInd/>
        <w:snapToGrid/>
        <w:spacing w:line="240" w:lineRule="auto"/>
        <w:rPr>
          <w:b/>
          <w:lang w:val="fr-CA"/>
        </w:rPr>
      </w:pPr>
    </w:p>
    <w:p w14:paraId="7D0426EE" w14:textId="30EA2893" w:rsidR="00D01ECD" w:rsidRPr="00336568" w:rsidRDefault="007C22A5" w:rsidP="00D01ECD">
      <w:pPr>
        <w:pStyle w:val="H23G"/>
        <w:rPr>
          <w:lang w:val="fr-CA"/>
        </w:rPr>
      </w:pPr>
      <w:r>
        <w:rPr>
          <w:lang w:val="fr-CA"/>
        </w:rPr>
        <w:lastRenderedPageBreak/>
        <w:tab/>
      </w:r>
      <w:r>
        <w:rPr>
          <w:lang w:val="fr-CA"/>
        </w:rPr>
        <w:tab/>
      </w:r>
      <w:r w:rsidR="00D01ECD" w:rsidRPr="00336568">
        <w:rPr>
          <w:lang w:val="fr-CA"/>
        </w:rPr>
        <w:t>2</w:t>
      </w:r>
      <w:r w:rsidR="00D01ECD" w:rsidRPr="00F22925">
        <w:rPr>
          <w:lang w:val="fr-CA"/>
        </w:rPr>
        <w:t>.</w:t>
      </w:r>
      <w:r w:rsidR="00D01ECD" w:rsidRPr="00336568">
        <w:rPr>
          <w:lang w:val="fr-CA"/>
        </w:rPr>
        <w:tab/>
        <w:t>Texte des projets de directive et des commentaires y relatifs</w:t>
      </w:r>
    </w:p>
    <w:p w14:paraId="235663AF" w14:textId="77777777" w:rsidR="00D01ECD" w:rsidRPr="00336568" w:rsidRDefault="00D01ECD" w:rsidP="00D01ECD">
      <w:pPr>
        <w:pStyle w:val="SingleTxtG"/>
        <w:rPr>
          <w:lang w:val="fr-CA"/>
        </w:rPr>
      </w:pPr>
      <w:r>
        <w:rPr>
          <w:lang w:val="fr-CA"/>
        </w:rPr>
        <w:t>40</w:t>
      </w:r>
      <w:r w:rsidRPr="00F22925">
        <w:rPr>
          <w:lang w:val="fr-CA"/>
        </w:rPr>
        <w:t>.</w:t>
      </w:r>
      <w:r w:rsidRPr="00336568">
        <w:rPr>
          <w:lang w:val="fr-CA"/>
        </w:rPr>
        <w:tab/>
        <w:t>Le texte des projets de directive et des commentaires y relatifs adopté</w:t>
      </w:r>
      <w:r>
        <w:rPr>
          <w:lang w:val="fr-CA"/>
        </w:rPr>
        <w:t>s</w:t>
      </w:r>
      <w:r w:rsidRPr="00336568">
        <w:rPr>
          <w:lang w:val="fr-CA"/>
        </w:rPr>
        <w:t xml:space="preserve"> par la Commission en seconde lecture est reproduit ci-après</w:t>
      </w:r>
      <w:r w:rsidRPr="00F22925">
        <w:rPr>
          <w:lang w:val="fr-CA"/>
        </w:rPr>
        <w:t>.</w:t>
      </w:r>
    </w:p>
    <w:p w14:paraId="443B07B7" w14:textId="77777777" w:rsidR="00D01ECD" w:rsidRPr="00336568" w:rsidRDefault="00D01ECD" w:rsidP="00D01ECD">
      <w:pPr>
        <w:pStyle w:val="H23G"/>
        <w:rPr>
          <w:lang w:val="fr-CA"/>
        </w:rPr>
      </w:pPr>
      <w:r w:rsidRPr="00336568">
        <w:rPr>
          <w:lang w:val="fr-CA"/>
        </w:rPr>
        <w:tab/>
      </w:r>
      <w:r w:rsidRPr="00336568">
        <w:rPr>
          <w:lang w:val="fr-CA"/>
        </w:rPr>
        <w:tab/>
        <w:t>Protection de l</w:t>
      </w:r>
      <w:r>
        <w:rPr>
          <w:lang w:val="fr-CA"/>
        </w:rPr>
        <w:t>’</w:t>
      </w:r>
      <w:r w:rsidRPr="00336568">
        <w:rPr>
          <w:lang w:val="fr-CA"/>
        </w:rPr>
        <w:t>atmosphère</w:t>
      </w:r>
    </w:p>
    <w:p w14:paraId="27A3DAD6" w14:textId="77777777" w:rsidR="00D01ECD" w:rsidRPr="00336568" w:rsidRDefault="00D01ECD" w:rsidP="00D01ECD">
      <w:pPr>
        <w:pStyle w:val="H23G"/>
        <w:rPr>
          <w:lang w:val="fr-CA"/>
        </w:rPr>
      </w:pPr>
      <w:r w:rsidRPr="00336568">
        <w:rPr>
          <w:lang w:val="fr-CA"/>
        </w:rPr>
        <w:tab/>
      </w:r>
      <w:r w:rsidRPr="00336568">
        <w:rPr>
          <w:lang w:val="fr-CA"/>
        </w:rPr>
        <w:tab/>
        <w:t>Commentaire général</w:t>
      </w:r>
    </w:p>
    <w:p w14:paraId="540F1809" w14:textId="77777777" w:rsidR="00D01ECD" w:rsidRPr="00336568" w:rsidRDefault="00D01ECD" w:rsidP="00D01ECD">
      <w:pPr>
        <w:pStyle w:val="SingleTxtG"/>
        <w:rPr>
          <w:lang w:val="fr-CA"/>
        </w:rPr>
      </w:pPr>
      <w:r w:rsidRPr="00336568">
        <w:rPr>
          <w:lang w:val="fr-CA"/>
        </w:rPr>
        <w:t>1)</w:t>
      </w:r>
      <w:r w:rsidRPr="00336568">
        <w:rPr>
          <w:lang w:val="fr-CA"/>
        </w:rPr>
        <w:tab/>
        <w:t>Comme c</w:t>
      </w:r>
      <w:r>
        <w:rPr>
          <w:lang w:val="fr-CA"/>
        </w:rPr>
        <w:t>’</w:t>
      </w:r>
      <w:r w:rsidRPr="00336568">
        <w:rPr>
          <w:lang w:val="fr-CA"/>
        </w:rPr>
        <w:t>est toujours le cas pour les résultats des travaux de la Commission, les projets de directive doivent être lus conjointement avec les commentaires</w:t>
      </w:r>
      <w:r w:rsidRPr="00F22925">
        <w:rPr>
          <w:lang w:val="fr-CA"/>
        </w:rPr>
        <w:t>.</w:t>
      </w:r>
    </w:p>
    <w:p w14:paraId="1923CDCD" w14:textId="77777777" w:rsidR="007C22A5" w:rsidRDefault="00D01ECD" w:rsidP="00D01ECD">
      <w:pPr>
        <w:pStyle w:val="SingleTxtG"/>
        <w:rPr>
          <w:lang w:val="fr-CA"/>
        </w:rPr>
        <w:sectPr w:rsidR="007C22A5" w:rsidSect="00610EC5">
          <w:pgSz w:w="12240" w:h="15840"/>
          <w:pgMar w:top="1440" w:right="1440" w:bottom="1440" w:left="1440" w:header="720" w:footer="720" w:gutter="0"/>
          <w:cols w:space="720"/>
          <w:docGrid w:linePitch="360"/>
        </w:sectPr>
      </w:pPr>
      <w:r w:rsidRPr="00336568">
        <w:rPr>
          <w:lang w:val="fr-CA"/>
        </w:rPr>
        <w:t>2)</w:t>
      </w:r>
      <w:r w:rsidRPr="00336568">
        <w:rPr>
          <w:lang w:val="fr-CA"/>
        </w:rPr>
        <w:tab/>
        <w:t>La Commission a conscience qu</w:t>
      </w:r>
      <w:r>
        <w:rPr>
          <w:lang w:val="fr-CA"/>
        </w:rPr>
        <w:t>’</w:t>
      </w:r>
      <w:r w:rsidRPr="00336568">
        <w:rPr>
          <w:lang w:val="fr-CA"/>
        </w:rPr>
        <w:t>il importe de prendre pleinement en considération les besoins actuels de la communauté internationale</w:t>
      </w:r>
      <w:r w:rsidRPr="00F22925">
        <w:rPr>
          <w:lang w:val="fr-CA"/>
        </w:rPr>
        <w:t>.</w:t>
      </w:r>
      <w:r w:rsidRPr="00336568">
        <w:rPr>
          <w:lang w:val="fr-CA"/>
        </w:rPr>
        <w:t xml:space="preserve"> Il est admis que l</w:t>
      </w:r>
      <w:r>
        <w:rPr>
          <w:lang w:val="fr-CA"/>
        </w:rPr>
        <w:t>’</w:t>
      </w:r>
      <w:r w:rsidRPr="00336568">
        <w:rPr>
          <w:lang w:val="fr-CA"/>
        </w:rPr>
        <w:t>homme et la nature</w:t>
      </w:r>
      <w:r w:rsidRPr="00336568" w:rsidDel="0093710D">
        <w:rPr>
          <w:lang w:val="fr-CA"/>
        </w:rPr>
        <w:t xml:space="preserve"> </w:t>
      </w:r>
      <w:r w:rsidRPr="00336568">
        <w:rPr>
          <w:lang w:val="fr-CA"/>
        </w:rPr>
        <w:t>peuvent tous deux subir les effets de certains changements dans l</w:t>
      </w:r>
      <w:r>
        <w:rPr>
          <w:lang w:val="fr-CA"/>
        </w:rPr>
        <w:t>’</w:t>
      </w:r>
      <w:r w:rsidRPr="00336568">
        <w:rPr>
          <w:lang w:val="fr-CA"/>
        </w:rPr>
        <w:t>état de l</w:t>
      </w:r>
      <w:r>
        <w:rPr>
          <w:lang w:val="fr-CA"/>
        </w:rPr>
        <w:t>’</w:t>
      </w:r>
      <w:r w:rsidRPr="00336568">
        <w:rPr>
          <w:lang w:val="fr-CA"/>
        </w:rPr>
        <w:t>atmosphère, changements qui résultent principalement de l</w:t>
      </w:r>
      <w:r>
        <w:rPr>
          <w:lang w:val="fr-CA"/>
        </w:rPr>
        <w:t>’</w:t>
      </w:r>
      <w:r w:rsidRPr="00336568">
        <w:rPr>
          <w:lang w:val="fr-CA"/>
        </w:rPr>
        <w:t>émission de substances ou d</w:t>
      </w:r>
      <w:r>
        <w:rPr>
          <w:lang w:val="fr-CA"/>
        </w:rPr>
        <w:t>’</w:t>
      </w:r>
      <w:r w:rsidRPr="00336568">
        <w:rPr>
          <w:lang w:val="fr-CA"/>
        </w:rPr>
        <w:t>énergie nocives et sont à l</w:t>
      </w:r>
      <w:r>
        <w:rPr>
          <w:lang w:val="fr-CA"/>
        </w:rPr>
        <w:t>’</w:t>
      </w:r>
      <w:r w:rsidRPr="00336568">
        <w:rPr>
          <w:lang w:val="fr-CA"/>
        </w:rPr>
        <w:t>origine de la pollution atmosphérique transfrontière, de l</w:t>
      </w:r>
      <w:r>
        <w:rPr>
          <w:lang w:val="fr-CA"/>
        </w:rPr>
        <w:t>’</w:t>
      </w:r>
      <w:r w:rsidRPr="00336568">
        <w:rPr>
          <w:lang w:val="fr-CA"/>
        </w:rPr>
        <w:t>appauvrissement de la couche d</w:t>
      </w:r>
      <w:r>
        <w:rPr>
          <w:lang w:val="fr-CA"/>
        </w:rPr>
        <w:t>’</w:t>
      </w:r>
      <w:r w:rsidRPr="00336568">
        <w:rPr>
          <w:lang w:val="fr-CA"/>
        </w:rPr>
        <w:t xml:space="preserve">ozone et de modifications des conditions atmosphériques </w:t>
      </w:r>
      <w:r>
        <w:rPr>
          <w:lang w:val="fr-CA"/>
        </w:rPr>
        <w:t>entraînant des</w:t>
      </w:r>
      <w:r w:rsidRPr="00336568">
        <w:rPr>
          <w:lang w:val="fr-CA"/>
        </w:rPr>
        <w:t xml:space="preserve"> changements climatiques</w:t>
      </w:r>
      <w:r w:rsidRPr="00F22925">
        <w:rPr>
          <w:lang w:val="fr-CA"/>
        </w:rPr>
        <w:t>.</w:t>
      </w:r>
      <w:r w:rsidRPr="00336568">
        <w:rPr>
          <w:lang w:val="fr-CA"/>
        </w:rPr>
        <w:t xml:space="preserve"> La Commission vise, par le développement progressif et la codification du droit international, à établir des directives susceptibles d</w:t>
      </w:r>
      <w:r>
        <w:rPr>
          <w:lang w:val="fr-CA"/>
        </w:rPr>
        <w:t>’</w:t>
      </w:r>
      <w:r w:rsidRPr="00336568">
        <w:rPr>
          <w:lang w:val="fr-CA"/>
        </w:rPr>
        <w:t>aider la communauté internationale à répondre à des questions extrêmement importantes ayant trait à la protection transfrontière et mondiale de l</w:t>
      </w:r>
      <w:r>
        <w:rPr>
          <w:lang w:val="fr-CA"/>
        </w:rPr>
        <w:t>’</w:t>
      </w:r>
      <w:r w:rsidRPr="00336568">
        <w:rPr>
          <w:lang w:val="fr-CA"/>
        </w:rPr>
        <w:t>atmosphère</w:t>
      </w:r>
      <w:r w:rsidRPr="00F22925">
        <w:rPr>
          <w:lang w:val="fr-CA"/>
        </w:rPr>
        <w:t>.</w:t>
      </w:r>
      <w:r w:rsidRPr="00336568">
        <w:rPr>
          <w:lang w:val="fr-CA"/>
        </w:rPr>
        <w:t xml:space="preserve"> Comme convenu en 2013</w:t>
      </w:r>
    </w:p>
    <w:p w14:paraId="6219F85E" w14:textId="2A2644A2" w:rsidR="00D01ECD" w:rsidRPr="00336568" w:rsidRDefault="00D01ECD" w:rsidP="00D01ECD">
      <w:pPr>
        <w:pStyle w:val="SingleTxtG"/>
        <w:rPr>
          <w:lang w:val="fr-CA"/>
        </w:rPr>
      </w:pPr>
      <w:r w:rsidRPr="00F22830">
        <w:rPr>
          <w:rStyle w:val="FootnoteReference"/>
        </w:rPr>
        <w:footnoteReference w:id="1"/>
      </w:r>
      <w:r w:rsidRPr="00336568">
        <w:rPr>
          <w:lang w:val="fr-CA"/>
        </w:rPr>
        <w:t>, elle n</w:t>
      </w:r>
      <w:r>
        <w:rPr>
          <w:lang w:val="fr-CA"/>
        </w:rPr>
        <w:t>’</w:t>
      </w:r>
      <w:r w:rsidRPr="00336568">
        <w:rPr>
          <w:lang w:val="fr-CA"/>
        </w:rPr>
        <w:t>entend toutefois pas, ce faisant, empiéter sur les négociations politiques pertinentes ni venir imposer aux régimes conventionnels actuels des règles ou des principes qui n</w:t>
      </w:r>
      <w:r>
        <w:rPr>
          <w:lang w:val="fr-CA"/>
        </w:rPr>
        <w:t>’</w:t>
      </w:r>
      <w:r w:rsidRPr="00336568">
        <w:rPr>
          <w:lang w:val="fr-CA"/>
        </w:rPr>
        <w:t>y figurent pas déjà</w:t>
      </w:r>
      <w:r w:rsidRPr="00F22925">
        <w:rPr>
          <w:lang w:val="fr-CA"/>
        </w:rPr>
        <w:t>.</w:t>
      </w:r>
      <w:r w:rsidRPr="00336568">
        <w:rPr>
          <w:lang w:val="fr-CA"/>
        </w:rPr>
        <w:t xml:space="preserve"> </w:t>
      </w:r>
    </w:p>
    <w:p w14:paraId="195A2BF5" w14:textId="77777777" w:rsidR="00D01ECD" w:rsidRPr="00336568" w:rsidRDefault="00D01ECD" w:rsidP="00D01ECD">
      <w:pPr>
        <w:pStyle w:val="H23G"/>
        <w:rPr>
          <w:lang w:val="fr-CA"/>
        </w:rPr>
      </w:pPr>
      <w:r w:rsidRPr="00336568">
        <w:rPr>
          <w:lang w:val="fr-CA"/>
        </w:rPr>
        <w:tab/>
      </w:r>
      <w:r w:rsidRPr="00336568">
        <w:rPr>
          <w:lang w:val="fr-CA"/>
        </w:rPr>
        <w:tab/>
      </w:r>
      <w:r w:rsidRPr="00336568">
        <w:rPr>
          <w:lang w:val="fr-CA"/>
        </w:rPr>
        <w:tab/>
      </w:r>
      <w:r w:rsidRPr="00336568">
        <w:rPr>
          <w:lang w:val="fr-CA"/>
        </w:rPr>
        <w:tab/>
        <w:t>Préambule</w:t>
      </w:r>
    </w:p>
    <w:p w14:paraId="33550882" w14:textId="77777777" w:rsidR="00D01ECD" w:rsidRPr="00463FB5" w:rsidRDefault="00D01ECD" w:rsidP="00D01ECD">
      <w:pPr>
        <w:pStyle w:val="SingleTxtG"/>
        <w:ind w:left="1701" w:firstLine="567"/>
        <w:rPr>
          <w:lang w:val="fr-FR"/>
        </w:rPr>
      </w:pPr>
      <w:r w:rsidRPr="00463FB5">
        <w:rPr>
          <w:i/>
          <w:iCs/>
          <w:lang w:val="fr-FR"/>
        </w:rPr>
        <w:t xml:space="preserve">Consciente </w:t>
      </w:r>
      <w:r w:rsidRPr="00463FB5">
        <w:rPr>
          <w:lang w:val="fr-FR"/>
        </w:rPr>
        <w:t>que l</w:t>
      </w:r>
      <w:r>
        <w:rPr>
          <w:lang w:val="fr-FR"/>
        </w:rPr>
        <w:t>’</w:t>
      </w:r>
      <w:r w:rsidRPr="00463FB5">
        <w:rPr>
          <w:lang w:val="fr-FR"/>
        </w:rPr>
        <w:t>atmosphère est une ressource naturelle, d</w:t>
      </w:r>
      <w:r>
        <w:rPr>
          <w:lang w:val="fr-FR"/>
        </w:rPr>
        <w:t>’</w:t>
      </w:r>
      <w:r w:rsidRPr="00463FB5">
        <w:rPr>
          <w:lang w:val="fr-FR"/>
        </w:rPr>
        <w:t>une capacité d</w:t>
      </w:r>
      <w:r>
        <w:rPr>
          <w:lang w:val="fr-FR"/>
        </w:rPr>
        <w:t>’</w:t>
      </w:r>
      <w:r w:rsidRPr="00463FB5">
        <w:rPr>
          <w:lang w:val="fr-FR"/>
        </w:rPr>
        <w:t>assimilation limitée, indispensable à la vie sur terre, à la santé et au bien-être de l</w:t>
      </w:r>
      <w:r>
        <w:rPr>
          <w:lang w:val="fr-FR"/>
        </w:rPr>
        <w:t>’</w:t>
      </w:r>
      <w:r w:rsidRPr="00463FB5">
        <w:rPr>
          <w:lang w:val="fr-FR"/>
        </w:rPr>
        <w:t>homme, et aux écosystèmes aquatiques et terrestres,</w:t>
      </w:r>
    </w:p>
    <w:p w14:paraId="60342709" w14:textId="77777777" w:rsidR="00D01ECD" w:rsidRPr="00463FB5" w:rsidRDefault="00D01ECD" w:rsidP="00D01ECD">
      <w:pPr>
        <w:pStyle w:val="SingleTxtG"/>
        <w:ind w:left="1701" w:firstLine="567"/>
        <w:rPr>
          <w:lang w:val="fr-FR"/>
        </w:rPr>
      </w:pPr>
      <w:r w:rsidRPr="00463FB5">
        <w:rPr>
          <w:i/>
          <w:iCs/>
          <w:lang w:val="fr-FR"/>
        </w:rPr>
        <w:t>Ayant à l</w:t>
      </w:r>
      <w:r>
        <w:rPr>
          <w:i/>
          <w:iCs/>
          <w:lang w:val="fr-FR"/>
        </w:rPr>
        <w:t>’</w:t>
      </w:r>
      <w:r w:rsidRPr="00463FB5">
        <w:rPr>
          <w:i/>
          <w:iCs/>
          <w:lang w:val="fr-FR"/>
        </w:rPr>
        <w:t xml:space="preserve">esprit </w:t>
      </w:r>
      <w:r w:rsidRPr="00463FB5">
        <w:rPr>
          <w:lang w:val="fr-FR"/>
        </w:rPr>
        <w:t>que des substances polluantes et des substances de dégradation sont transportées et propagées dans l</w:t>
      </w:r>
      <w:r>
        <w:rPr>
          <w:lang w:val="fr-FR"/>
        </w:rPr>
        <w:t>’</w:t>
      </w:r>
      <w:r w:rsidRPr="00463FB5">
        <w:rPr>
          <w:lang w:val="fr-FR"/>
        </w:rPr>
        <w:t>atmosphère,</w:t>
      </w:r>
    </w:p>
    <w:p w14:paraId="4BCA6CDE" w14:textId="77777777" w:rsidR="00D01ECD" w:rsidRPr="00463FB5" w:rsidRDefault="00D01ECD" w:rsidP="00D01ECD">
      <w:pPr>
        <w:pStyle w:val="SingleTxtG"/>
        <w:ind w:left="1701" w:firstLine="567"/>
        <w:rPr>
          <w:lang w:val="fr-FR"/>
        </w:rPr>
      </w:pPr>
      <w:r w:rsidRPr="00463FB5">
        <w:rPr>
          <w:i/>
          <w:iCs/>
          <w:lang w:val="fr-FR"/>
        </w:rPr>
        <w:t xml:space="preserve">Considérant </w:t>
      </w:r>
      <w:r w:rsidRPr="00463FB5">
        <w:rPr>
          <w:lang w:val="fr-FR"/>
        </w:rPr>
        <w:t>que la pollution atmosphérique et la dégradation atmosphérique sont un sujet de préoccupation pour l</w:t>
      </w:r>
      <w:r>
        <w:rPr>
          <w:lang w:val="fr-FR"/>
        </w:rPr>
        <w:t>’</w:t>
      </w:r>
      <w:r w:rsidRPr="00463FB5">
        <w:rPr>
          <w:lang w:val="fr-FR"/>
        </w:rPr>
        <w:t xml:space="preserve">humanité tout entière, </w:t>
      </w:r>
    </w:p>
    <w:p w14:paraId="2FBF705E" w14:textId="77777777" w:rsidR="00D01ECD" w:rsidRPr="00463FB5" w:rsidRDefault="00D01ECD" w:rsidP="00D01ECD">
      <w:pPr>
        <w:pStyle w:val="SingleTxtG"/>
        <w:ind w:left="1701" w:firstLine="567"/>
        <w:rPr>
          <w:lang w:val="fr-FR"/>
        </w:rPr>
      </w:pPr>
      <w:r w:rsidRPr="00463FB5">
        <w:rPr>
          <w:i/>
          <w:iCs/>
          <w:lang w:val="fr-FR"/>
        </w:rPr>
        <w:t xml:space="preserve">Consciente </w:t>
      </w:r>
      <w:r w:rsidRPr="00463FB5">
        <w:rPr>
          <w:lang w:val="fr-FR"/>
        </w:rPr>
        <w:t>de la situation et des besoins particuliers des pays en développement,</w:t>
      </w:r>
    </w:p>
    <w:p w14:paraId="5E469951" w14:textId="77777777" w:rsidR="00D01ECD" w:rsidRPr="00463FB5" w:rsidRDefault="00D01ECD" w:rsidP="00D01ECD">
      <w:pPr>
        <w:pStyle w:val="SingleTxtG"/>
        <w:ind w:left="1701" w:firstLine="567"/>
        <w:rPr>
          <w:lang w:val="fr-FR"/>
        </w:rPr>
      </w:pPr>
      <w:r w:rsidRPr="00463FB5">
        <w:rPr>
          <w:i/>
          <w:iCs/>
          <w:lang w:val="fr-FR"/>
        </w:rPr>
        <w:t xml:space="preserve">Constatant </w:t>
      </w:r>
      <w:r w:rsidRPr="00463FB5">
        <w:rPr>
          <w:lang w:val="fr-FR"/>
        </w:rPr>
        <w:t>qu</w:t>
      </w:r>
      <w:r>
        <w:rPr>
          <w:lang w:val="fr-FR"/>
        </w:rPr>
        <w:t>’</w:t>
      </w:r>
      <w:r w:rsidRPr="00463FB5">
        <w:rPr>
          <w:lang w:val="fr-FR"/>
        </w:rPr>
        <w:t>il existe une interaction étroite entre l</w:t>
      </w:r>
      <w:r>
        <w:rPr>
          <w:lang w:val="fr-FR"/>
        </w:rPr>
        <w:t>’</w:t>
      </w:r>
      <w:r w:rsidRPr="00463FB5">
        <w:rPr>
          <w:lang w:val="fr-FR"/>
        </w:rPr>
        <w:t>atmosphère et les océans,</w:t>
      </w:r>
    </w:p>
    <w:p w14:paraId="5574AA17" w14:textId="77777777" w:rsidR="00D01ECD" w:rsidRPr="00463FB5" w:rsidRDefault="00D01ECD" w:rsidP="00D01ECD">
      <w:pPr>
        <w:pStyle w:val="SingleTxtG"/>
        <w:ind w:left="1701" w:firstLine="567"/>
        <w:rPr>
          <w:lang w:val="fr-FR"/>
        </w:rPr>
      </w:pPr>
      <w:r w:rsidRPr="00463FB5">
        <w:rPr>
          <w:i/>
          <w:iCs/>
          <w:lang w:val="fr-FR"/>
        </w:rPr>
        <w:t>Constatant notamment</w:t>
      </w:r>
      <w:r w:rsidRPr="00463FB5">
        <w:rPr>
          <w:lang w:val="fr-FR"/>
        </w:rPr>
        <w:t xml:space="preserve"> la situation particulière dans laquelle les zones côtières de faible élévation et les petits États insulaires en développement se trouvent du fait de l</w:t>
      </w:r>
      <w:r>
        <w:rPr>
          <w:lang w:val="fr-FR"/>
        </w:rPr>
        <w:t>’</w:t>
      </w:r>
      <w:r w:rsidRPr="00463FB5">
        <w:rPr>
          <w:lang w:val="fr-FR"/>
        </w:rPr>
        <w:t>élévation du niveau de la mer,</w:t>
      </w:r>
    </w:p>
    <w:p w14:paraId="77AE233F" w14:textId="77777777" w:rsidR="00D01ECD" w:rsidRDefault="00D01ECD" w:rsidP="00D01ECD">
      <w:pPr>
        <w:pStyle w:val="SingleTxtG"/>
        <w:ind w:left="1701" w:firstLine="567"/>
        <w:rPr>
          <w:lang w:val="fr-FR"/>
        </w:rPr>
      </w:pPr>
      <w:r w:rsidRPr="00463FB5">
        <w:rPr>
          <w:i/>
          <w:iCs/>
          <w:lang w:val="fr-FR"/>
        </w:rPr>
        <w:t xml:space="preserve">Reconnaissant </w:t>
      </w:r>
      <w:r w:rsidRPr="00463FB5">
        <w:rPr>
          <w:lang w:val="fr-FR"/>
        </w:rPr>
        <w:t>qu</w:t>
      </w:r>
      <w:r>
        <w:rPr>
          <w:lang w:val="fr-FR"/>
        </w:rPr>
        <w:t>’</w:t>
      </w:r>
      <w:r w:rsidRPr="00463FB5">
        <w:rPr>
          <w:lang w:val="fr-FR"/>
        </w:rPr>
        <w:t>il convient de tenir pleinement compte du fait qu</w:t>
      </w:r>
      <w:r>
        <w:rPr>
          <w:lang w:val="fr-FR"/>
        </w:rPr>
        <w:t>’</w:t>
      </w:r>
      <w:r w:rsidRPr="00463FB5">
        <w:rPr>
          <w:lang w:val="fr-FR"/>
        </w:rPr>
        <w:t>il est dans l</w:t>
      </w:r>
      <w:r>
        <w:rPr>
          <w:lang w:val="fr-FR"/>
        </w:rPr>
        <w:t>’</w:t>
      </w:r>
      <w:r w:rsidRPr="00463FB5">
        <w:rPr>
          <w:lang w:val="fr-FR"/>
        </w:rPr>
        <w:t>intérêt des générations futures de préserver durablement la qualité de l</w:t>
      </w:r>
      <w:r>
        <w:rPr>
          <w:lang w:val="fr-FR"/>
        </w:rPr>
        <w:t>’</w:t>
      </w:r>
      <w:r w:rsidRPr="00463FB5">
        <w:rPr>
          <w:lang w:val="fr-FR"/>
        </w:rPr>
        <w:t>atmosphère,</w:t>
      </w:r>
    </w:p>
    <w:p w14:paraId="6E8B217E" w14:textId="77777777" w:rsidR="00D01ECD" w:rsidRPr="00463FB5" w:rsidRDefault="00D01ECD" w:rsidP="00D01ECD">
      <w:pPr>
        <w:pStyle w:val="SingleTxtG"/>
        <w:ind w:left="1701" w:firstLine="567"/>
        <w:rPr>
          <w:lang w:val="fr-FR"/>
        </w:rPr>
      </w:pPr>
      <w:r w:rsidRPr="00463FB5">
        <w:rPr>
          <w:i/>
          <w:iCs/>
          <w:lang w:val="fr-FR"/>
        </w:rPr>
        <w:t xml:space="preserve">Rappelant </w:t>
      </w:r>
      <w:r w:rsidRPr="00463FB5">
        <w:rPr>
          <w:lang w:val="fr-FR"/>
        </w:rPr>
        <w:t>que le présent projet de directives a été élaboré à la condition qu</w:t>
      </w:r>
      <w:r>
        <w:rPr>
          <w:lang w:val="fr-FR"/>
        </w:rPr>
        <w:t>’</w:t>
      </w:r>
      <w:r w:rsidRPr="00463FB5">
        <w:rPr>
          <w:lang w:val="fr-FR"/>
        </w:rPr>
        <w:t xml:space="preserve">il ne viserait ni à empiéter sur les négociations politiques pertinentes, ni à </w:t>
      </w:r>
      <w:r w:rsidRPr="00463FB5">
        <w:rPr>
          <w:lang w:val="fr-FR"/>
        </w:rPr>
        <w:lastRenderedPageBreak/>
        <w:t>imposer aux régimes conventionnels actuels des règles ou des principes qui n</w:t>
      </w:r>
      <w:r>
        <w:rPr>
          <w:lang w:val="fr-FR"/>
        </w:rPr>
        <w:t>’</w:t>
      </w:r>
      <w:r w:rsidRPr="00463FB5">
        <w:rPr>
          <w:lang w:val="fr-FR"/>
        </w:rPr>
        <w:t>y figurent pas déjà,</w:t>
      </w:r>
    </w:p>
    <w:p w14:paraId="6A90D77B" w14:textId="77777777" w:rsidR="00D01ECD" w:rsidRPr="00336568" w:rsidRDefault="00D01ECD" w:rsidP="00D01ECD">
      <w:pPr>
        <w:pStyle w:val="H23G"/>
        <w:spacing w:line="360" w:lineRule="auto"/>
        <w:rPr>
          <w:lang w:val="fr-CA"/>
        </w:rPr>
      </w:pPr>
      <w:r w:rsidRPr="00336568">
        <w:rPr>
          <w:lang w:val="fr-CA"/>
        </w:rPr>
        <w:tab/>
      </w:r>
      <w:r w:rsidRPr="00336568">
        <w:rPr>
          <w:lang w:val="fr-CA"/>
        </w:rPr>
        <w:tab/>
        <w:t>Commentaire</w:t>
      </w:r>
    </w:p>
    <w:p w14:paraId="51A77B80" w14:textId="77777777" w:rsidR="00D01ECD" w:rsidRPr="00336568" w:rsidRDefault="00D01ECD" w:rsidP="00D01ECD">
      <w:pPr>
        <w:pStyle w:val="SingleTxtG"/>
        <w:rPr>
          <w:lang w:val="fr-CA"/>
        </w:rPr>
      </w:pPr>
      <w:r w:rsidRPr="00336568">
        <w:rPr>
          <w:lang w:val="fr-CA"/>
        </w:rPr>
        <w:t>1)</w:t>
      </w:r>
      <w:r w:rsidRPr="00336568">
        <w:rPr>
          <w:lang w:val="fr-CA"/>
        </w:rPr>
        <w:tab/>
        <w:t xml:space="preserve">Le préambule vise à </w:t>
      </w:r>
      <w:r>
        <w:rPr>
          <w:lang w:val="fr-CA"/>
        </w:rPr>
        <w:t>établir</w:t>
      </w:r>
      <w:r w:rsidRPr="00336568">
        <w:rPr>
          <w:lang w:val="fr-CA"/>
        </w:rPr>
        <w:t xml:space="preserve"> le cadre contextuel du projet de directives</w:t>
      </w:r>
      <w:r w:rsidRPr="00F22925">
        <w:rPr>
          <w:lang w:val="fr-CA"/>
        </w:rPr>
        <w:t>.</w:t>
      </w:r>
      <w:r w:rsidRPr="00336568">
        <w:rPr>
          <w:lang w:val="fr-CA"/>
        </w:rPr>
        <w:t xml:space="preserve"> Son premier alinéa a un caractère général : il y est fait le constat que l</w:t>
      </w:r>
      <w:r>
        <w:rPr>
          <w:lang w:val="fr-CA"/>
        </w:rPr>
        <w:t>’</w:t>
      </w:r>
      <w:r w:rsidRPr="00336568">
        <w:rPr>
          <w:lang w:val="fr-CA"/>
        </w:rPr>
        <w:t>atmosphère a une importance essentielle pour la vie sur terre, la santé et le bien-être de l</w:t>
      </w:r>
      <w:r>
        <w:rPr>
          <w:lang w:val="fr-CA"/>
        </w:rPr>
        <w:t>’</w:t>
      </w:r>
      <w:r w:rsidRPr="00336568">
        <w:rPr>
          <w:lang w:val="fr-CA"/>
        </w:rPr>
        <w:t>homme ainsi que pour les écosystèmes aquatiques et terrestres</w:t>
      </w:r>
      <w:r w:rsidRPr="00F22925">
        <w:rPr>
          <w:lang w:val="fr-CA"/>
        </w:rPr>
        <w:t>.</w:t>
      </w:r>
      <w:r w:rsidRPr="00336568">
        <w:rPr>
          <w:lang w:val="fr-CA"/>
        </w:rPr>
        <w:t xml:space="preserve"> L</w:t>
      </w:r>
      <w:r>
        <w:rPr>
          <w:lang w:val="fr-CA"/>
        </w:rPr>
        <w:t>’</w:t>
      </w:r>
      <w:r w:rsidRPr="00336568">
        <w:rPr>
          <w:lang w:val="fr-CA"/>
        </w:rPr>
        <w:t>atmosphère est la plus grande des ressources naturelles de la Terre, et une des plus importantes</w:t>
      </w:r>
      <w:r w:rsidRPr="00F22925">
        <w:rPr>
          <w:lang w:val="fr-CA"/>
        </w:rPr>
        <w:t>.</w:t>
      </w:r>
      <w:r w:rsidRPr="00336568">
        <w:rPr>
          <w:lang w:val="fr-CA"/>
        </w:rPr>
        <w:t xml:space="preserve"> Elle a été reconnue comme une ressource naturelle − au même titre que les minéraux, l</w:t>
      </w:r>
      <w:r>
        <w:rPr>
          <w:lang w:val="fr-CA"/>
        </w:rPr>
        <w:t>’</w:t>
      </w:r>
      <w:r w:rsidRPr="00336568">
        <w:rPr>
          <w:lang w:val="fr-CA"/>
        </w:rPr>
        <w:t>énergie et l</w:t>
      </w:r>
      <w:r>
        <w:rPr>
          <w:lang w:val="fr-CA"/>
        </w:rPr>
        <w:t>’</w:t>
      </w:r>
      <w:r w:rsidRPr="00336568">
        <w:rPr>
          <w:lang w:val="fr-CA"/>
        </w:rPr>
        <w:t>eau − par l</w:t>
      </w:r>
      <w:r>
        <w:rPr>
          <w:lang w:val="fr-CA"/>
        </w:rPr>
        <w:t>’</w:t>
      </w:r>
      <w:r w:rsidRPr="00336568">
        <w:rPr>
          <w:lang w:val="fr-CA"/>
        </w:rPr>
        <w:t>ancien Comité des ressources naturelles du Conseil économique et social</w:t>
      </w:r>
      <w:r w:rsidRPr="00F22830">
        <w:rPr>
          <w:rStyle w:val="FootnoteReference"/>
        </w:rPr>
        <w:footnoteReference w:id="2"/>
      </w:r>
      <w:r w:rsidRPr="00336568">
        <w:rPr>
          <w:lang w:val="fr-CA"/>
        </w:rPr>
        <w:t>, ainsi que dans la Déclaration de 1972 de la Conférence des Nations Unies sur l</w:t>
      </w:r>
      <w:r>
        <w:rPr>
          <w:lang w:val="fr-CA"/>
        </w:rPr>
        <w:t>’</w:t>
      </w:r>
      <w:r w:rsidRPr="00336568">
        <w:rPr>
          <w:lang w:val="fr-CA"/>
        </w:rPr>
        <w:t>environnement (la « Déclaration de Stockholm »)</w:t>
      </w:r>
      <w:bookmarkStart w:id="0" w:name="_Ref520288235"/>
      <w:r w:rsidRPr="00F22830">
        <w:rPr>
          <w:rStyle w:val="FootnoteReference"/>
        </w:rPr>
        <w:footnoteReference w:id="3"/>
      </w:r>
      <w:bookmarkEnd w:id="0"/>
      <w:r w:rsidRPr="00336568">
        <w:rPr>
          <w:lang w:val="fr-CA"/>
        </w:rPr>
        <w:t xml:space="preserve"> et la Charte mondiale de la nature de 1982</w:t>
      </w:r>
      <w:r w:rsidRPr="00F22830">
        <w:rPr>
          <w:rStyle w:val="FootnoteReference"/>
        </w:rPr>
        <w:footnoteReference w:id="4"/>
      </w:r>
      <w:r w:rsidRPr="00336568">
        <w:rPr>
          <w:lang w:val="fr-CA"/>
        </w:rPr>
        <w:t>, où il est dit que l</w:t>
      </w:r>
      <w:r>
        <w:rPr>
          <w:lang w:val="fr-CA"/>
        </w:rPr>
        <w:t>’</w:t>
      </w:r>
      <w:r w:rsidRPr="00336568">
        <w:rPr>
          <w:lang w:val="fr-CA"/>
        </w:rPr>
        <w:t>humanité fait partie de la nature et la vie dépend du fonctionnement ininterrompu des systèmes naturels qui sont la source d</w:t>
      </w:r>
      <w:r>
        <w:rPr>
          <w:lang w:val="fr-CA"/>
        </w:rPr>
        <w:t>’</w:t>
      </w:r>
      <w:r w:rsidRPr="00336568">
        <w:rPr>
          <w:lang w:val="fr-CA"/>
        </w:rPr>
        <w:t>énergie et de matières nutritives</w:t>
      </w:r>
      <w:r w:rsidRPr="00F22830">
        <w:rPr>
          <w:rStyle w:val="FootnoteReference"/>
        </w:rPr>
        <w:footnoteReference w:id="5"/>
      </w:r>
      <w:r w:rsidRPr="00F22925">
        <w:rPr>
          <w:lang w:val="fr-CA"/>
        </w:rPr>
        <w:t>.</w:t>
      </w:r>
      <w:r w:rsidRPr="00336568">
        <w:rPr>
          <w:lang w:val="fr-CA"/>
        </w:rPr>
        <w:t xml:space="preserve"> L</w:t>
      </w:r>
      <w:r>
        <w:rPr>
          <w:lang w:val="fr-CA"/>
        </w:rPr>
        <w:t>’</w:t>
      </w:r>
      <w:r w:rsidRPr="00336568">
        <w:rPr>
          <w:lang w:val="fr-CA"/>
        </w:rPr>
        <w:t>atmosphère fournit des ressources renouvelables indispensables à la survie de l</w:t>
      </w:r>
      <w:r>
        <w:rPr>
          <w:lang w:val="fr-CA"/>
        </w:rPr>
        <w:t>’</w:t>
      </w:r>
      <w:r w:rsidRPr="00336568">
        <w:rPr>
          <w:lang w:val="fr-CA"/>
        </w:rPr>
        <w:t>homme, des plantes et des animaux qui peuplent la planète, et sert de moyen de transport et de communication</w:t>
      </w:r>
      <w:r w:rsidRPr="00F22925">
        <w:rPr>
          <w:lang w:val="fr-CA"/>
        </w:rPr>
        <w:t>.</w:t>
      </w:r>
      <w:r w:rsidRPr="00336568">
        <w:rPr>
          <w:lang w:val="fr-CA"/>
        </w:rPr>
        <w:t xml:space="preserve"> Il a été longtemps considéré que, étant une ressource naturelle, elle était inépuisable et non exclusive</w:t>
      </w:r>
      <w:r w:rsidRPr="00F22925">
        <w:rPr>
          <w:lang w:val="fr-CA"/>
        </w:rPr>
        <w:t>.</w:t>
      </w:r>
      <w:r w:rsidRPr="00336568">
        <w:rPr>
          <w:lang w:val="fr-CA"/>
        </w:rPr>
        <w:t xml:space="preserve"> Cette opinion est aujourd</w:t>
      </w:r>
      <w:r>
        <w:rPr>
          <w:lang w:val="fr-CA"/>
        </w:rPr>
        <w:t>’</w:t>
      </w:r>
      <w:r w:rsidRPr="00336568">
        <w:rPr>
          <w:lang w:val="fr-CA"/>
        </w:rPr>
        <w:t>hui obsolète</w:t>
      </w:r>
      <w:r w:rsidRPr="00F22830">
        <w:rPr>
          <w:rStyle w:val="FootnoteReference"/>
        </w:rPr>
        <w:footnoteReference w:id="6"/>
      </w:r>
      <w:r w:rsidRPr="00F22925">
        <w:rPr>
          <w:lang w:val="fr-CA"/>
        </w:rPr>
        <w:t>.</w:t>
      </w:r>
      <w:r w:rsidRPr="00336568">
        <w:rPr>
          <w:lang w:val="fr-CA"/>
        </w:rPr>
        <w:t xml:space="preserve"> Il ne faut pas perdre de vue </w:t>
      </w:r>
      <w:r>
        <w:rPr>
          <w:lang w:val="fr-CA"/>
        </w:rPr>
        <w:t xml:space="preserve">en effet </w:t>
      </w:r>
      <w:r w:rsidRPr="00336568">
        <w:rPr>
          <w:lang w:val="fr-CA"/>
        </w:rPr>
        <w:t>que, ainsi qu</w:t>
      </w:r>
      <w:r>
        <w:rPr>
          <w:lang w:val="fr-CA"/>
        </w:rPr>
        <w:t>’</w:t>
      </w:r>
      <w:r w:rsidRPr="00336568">
        <w:rPr>
          <w:lang w:val="fr-CA"/>
        </w:rPr>
        <w:t xml:space="preserve">il est </w:t>
      </w:r>
      <w:r>
        <w:rPr>
          <w:lang w:val="fr-CA"/>
        </w:rPr>
        <w:t xml:space="preserve">aussi </w:t>
      </w:r>
      <w:r w:rsidRPr="00336568">
        <w:rPr>
          <w:lang w:val="fr-CA"/>
        </w:rPr>
        <w:t>dit au projet de directive 5, l</w:t>
      </w:r>
      <w:r>
        <w:rPr>
          <w:lang w:val="fr-CA"/>
        </w:rPr>
        <w:t>’</w:t>
      </w:r>
      <w:r w:rsidRPr="00336568">
        <w:rPr>
          <w:lang w:val="fr-CA"/>
        </w:rPr>
        <w:t>atmosphère est une ressource naturelle d</w:t>
      </w:r>
      <w:r>
        <w:rPr>
          <w:lang w:val="fr-CA"/>
        </w:rPr>
        <w:t>’</w:t>
      </w:r>
      <w:r w:rsidRPr="00336568">
        <w:rPr>
          <w:lang w:val="fr-CA"/>
        </w:rPr>
        <w:t>une capacité d</w:t>
      </w:r>
      <w:r>
        <w:rPr>
          <w:lang w:val="fr-CA"/>
        </w:rPr>
        <w:t>’</w:t>
      </w:r>
      <w:r w:rsidRPr="00336568">
        <w:rPr>
          <w:lang w:val="fr-CA"/>
        </w:rPr>
        <w:t>assimilation limitée</w:t>
      </w:r>
      <w:r w:rsidRPr="00F22925">
        <w:rPr>
          <w:lang w:val="fr-CA"/>
        </w:rPr>
        <w:t>.</w:t>
      </w:r>
    </w:p>
    <w:p w14:paraId="2139B3F8" w14:textId="77777777" w:rsidR="00D01ECD" w:rsidRPr="00336568" w:rsidRDefault="00D01ECD" w:rsidP="00D01ECD">
      <w:pPr>
        <w:pStyle w:val="SingleTxtG"/>
        <w:rPr>
          <w:lang w:val="fr-CA"/>
        </w:rPr>
      </w:pPr>
      <w:r w:rsidRPr="00336568">
        <w:rPr>
          <w:lang w:val="fr-CA"/>
        </w:rPr>
        <w:t>2)</w:t>
      </w:r>
      <w:r w:rsidRPr="00336568">
        <w:rPr>
          <w:lang w:val="fr-CA"/>
        </w:rPr>
        <w:tab/>
        <w:t>Le deuxième alinéa du préambule concerne l</w:t>
      </w:r>
      <w:r>
        <w:rPr>
          <w:lang w:val="fr-CA"/>
        </w:rPr>
        <w:t>’</w:t>
      </w:r>
      <w:r w:rsidRPr="00336568">
        <w:rPr>
          <w:lang w:val="fr-CA"/>
        </w:rPr>
        <w:t>aspect fonctionnel de l</w:t>
      </w:r>
      <w:r>
        <w:rPr>
          <w:lang w:val="fr-CA"/>
        </w:rPr>
        <w:t>’</w:t>
      </w:r>
      <w:r w:rsidRPr="00336568">
        <w:rPr>
          <w:lang w:val="fr-CA"/>
        </w:rPr>
        <w:t>atmosphère en tant que milieu à travers lequel des substances polluantes et des substances de dégradation sont transportées et propagées par le déplacement de masses d</w:t>
      </w:r>
      <w:r>
        <w:rPr>
          <w:lang w:val="fr-CA"/>
        </w:rPr>
        <w:t>’</w:t>
      </w:r>
      <w:r w:rsidRPr="00336568">
        <w:rPr>
          <w:lang w:val="fr-CA"/>
        </w:rPr>
        <w:t>air</w:t>
      </w:r>
      <w:r w:rsidRPr="00F22925">
        <w:rPr>
          <w:lang w:val="fr-CA"/>
        </w:rPr>
        <w:t>.</w:t>
      </w:r>
      <w:r w:rsidRPr="00336568">
        <w:rPr>
          <w:lang w:val="fr-CA"/>
        </w:rPr>
        <w:t xml:space="preserve"> Les mouvements atmosphériques participent d</w:t>
      </w:r>
      <w:r>
        <w:rPr>
          <w:lang w:val="fr-CA"/>
        </w:rPr>
        <w:t>’</w:t>
      </w:r>
      <w:r w:rsidRPr="00336568">
        <w:rPr>
          <w:lang w:val="fr-CA"/>
        </w:rPr>
        <w:t>un schéma dynamique et fluctuant</w:t>
      </w:r>
      <w:r w:rsidRPr="00F22925">
        <w:rPr>
          <w:lang w:val="fr-CA"/>
        </w:rPr>
        <w:t>.</w:t>
      </w:r>
      <w:r w:rsidRPr="00336568">
        <w:rPr>
          <w:lang w:val="fr-CA"/>
        </w:rPr>
        <w:t xml:space="preserve"> Les</w:t>
      </w:r>
      <w:r>
        <w:rPr>
          <w:lang w:val="fr-CA"/>
        </w:rPr>
        <w:t xml:space="preserve"> </w:t>
      </w:r>
      <w:r w:rsidRPr="00336568">
        <w:rPr>
          <w:lang w:val="fr-CA"/>
        </w:rPr>
        <w:t>mouvements transfrontières longue distance de substances polluantes et de substances de dégradation sont considérés comme l</w:t>
      </w:r>
      <w:r>
        <w:rPr>
          <w:lang w:val="fr-CA"/>
        </w:rPr>
        <w:t>’</w:t>
      </w:r>
      <w:r w:rsidRPr="00336568">
        <w:rPr>
          <w:lang w:val="fr-CA"/>
        </w:rPr>
        <w:t>un des principaux problèmes de l</w:t>
      </w:r>
      <w:r>
        <w:rPr>
          <w:lang w:val="fr-CA"/>
        </w:rPr>
        <w:t>’</w:t>
      </w:r>
      <w:r w:rsidRPr="00336568">
        <w:rPr>
          <w:lang w:val="fr-CA"/>
        </w:rPr>
        <w:t xml:space="preserve">environnement </w:t>
      </w:r>
      <w:r w:rsidRPr="00336568">
        <w:rPr>
          <w:lang w:val="fr-CA"/>
        </w:rPr>
        <w:lastRenderedPageBreak/>
        <w:t>atmosphérique actuel</w:t>
      </w:r>
      <w:r w:rsidRPr="00F22830">
        <w:rPr>
          <w:rStyle w:val="FootnoteReference"/>
        </w:rPr>
        <w:footnoteReference w:id="7"/>
      </w:r>
      <w:r w:rsidRPr="00336568">
        <w:rPr>
          <w:lang w:val="fr-CA"/>
        </w:rPr>
        <w:t>, la région Arctique étant une des zones les plus gravement touchée par la dispersion de polluants nocifs à l</w:t>
      </w:r>
      <w:r>
        <w:rPr>
          <w:lang w:val="fr-CA"/>
        </w:rPr>
        <w:t>’</w:t>
      </w:r>
      <w:r w:rsidRPr="00336568">
        <w:rPr>
          <w:lang w:val="fr-CA"/>
        </w:rPr>
        <w:t>échelle mondiale</w:t>
      </w:r>
      <w:r w:rsidRPr="00F22830">
        <w:rPr>
          <w:rStyle w:val="FootnoteReference"/>
        </w:rPr>
        <w:footnoteReference w:id="8"/>
      </w:r>
      <w:r w:rsidRPr="00F22925">
        <w:rPr>
          <w:lang w:val="fr-CA"/>
        </w:rPr>
        <w:t>.</w:t>
      </w:r>
    </w:p>
    <w:p w14:paraId="3DB9FC19" w14:textId="77777777" w:rsidR="00D01ECD" w:rsidRPr="00336568" w:rsidRDefault="00D01ECD" w:rsidP="00D01ECD">
      <w:pPr>
        <w:pStyle w:val="SingleTxtG"/>
        <w:rPr>
          <w:spacing w:val="-1"/>
          <w:lang w:val="fr-CA"/>
        </w:rPr>
      </w:pPr>
      <w:r w:rsidRPr="00336568">
        <w:rPr>
          <w:lang w:val="fr-CA"/>
        </w:rPr>
        <w:t>3)</w:t>
      </w:r>
      <w:r w:rsidRPr="00336568">
        <w:rPr>
          <w:lang w:val="fr-CA"/>
        </w:rPr>
        <w:tab/>
      </w:r>
      <w:r>
        <w:rPr>
          <w:spacing w:val="-1"/>
          <w:lang w:val="fr-CA"/>
        </w:rPr>
        <w:t>Le</w:t>
      </w:r>
      <w:r w:rsidRPr="00336568">
        <w:rPr>
          <w:spacing w:val="-1"/>
          <w:lang w:val="fr-CA"/>
        </w:rPr>
        <w:t xml:space="preserve"> troisième alinéa du préambule dispose </w:t>
      </w:r>
      <w:r w:rsidRPr="00463FB5">
        <w:rPr>
          <w:lang w:val="fr-FR"/>
        </w:rPr>
        <w:t>que la pollution atmosphérique et la dégradation atmosphérique sont « un sujet de préoccupation pour l</w:t>
      </w:r>
      <w:r>
        <w:rPr>
          <w:lang w:val="fr-FR"/>
        </w:rPr>
        <w:t>’</w:t>
      </w:r>
      <w:r w:rsidRPr="00463FB5">
        <w:rPr>
          <w:lang w:val="fr-FR"/>
        </w:rPr>
        <w:t>humanité tout entière »</w:t>
      </w:r>
      <w:r w:rsidRPr="00F22925">
        <w:rPr>
          <w:spacing w:val="-1"/>
          <w:lang w:val="fr-FR"/>
        </w:rPr>
        <w:t>.</w:t>
      </w:r>
      <w:r w:rsidRPr="00463FB5">
        <w:rPr>
          <w:spacing w:val="-1"/>
          <w:lang w:val="fr-FR"/>
        </w:rPr>
        <w:t xml:space="preserve"> Cette notion est apparue pour la première fois dans la résolution 43/53 </w:t>
      </w:r>
      <w:r w:rsidRPr="00336568">
        <w:rPr>
          <w:spacing w:val="-1"/>
          <w:lang w:val="fr-CA"/>
        </w:rPr>
        <w:t>du 6 décembre 1988</w:t>
      </w:r>
      <w:r>
        <w:rPr>
          <w:spacing w:val="-1"/>
          <w:lang w:val="fr-CA"/>
        </w:rPr>
        <w:t>,</w:t>
      </w:r>
      <w:r w:rsidRPr="00336568">
        <w:rPr>
          <w:spacing w:val="-1"/>
          <w:lang w:val="fr-CA"/>
        </w:rPr>
        <w:t xml:space="preserve"> </w:t>
      </w:r>
      <w:r w:rsidRPr="00463FB5">
        <w:rPr>
          <w:spacing w:val="-1"/>
          <w:lang w:val="fr-FR"/>
        </w:rPr>
        <w:t>sur la protection du climat mondial pour les générations présentes et futures</w:t>
      </w:r>
      <w:r w:rsidRPr="00336568">
        <w:rPr>
          <w:spacing w:val="-1"/>
          <w:lang w:val="fr-CA"/>
        </w:rPr>
        <w:t>, dans laquelle l</w:t>
      </w:r>
      <w:r>
        <w:rPr>
          <w:spacing w:val="-1"/>
          <w:lang w:val="fr-CA"/>
        </w:rPr>
        <w:t>’</w:t>
      </w:r>
      <w:r w:rsidRPr="00336568">
        <w:rPr>
          <w:spacing w:val="-1"/>
          <w:lang w:val="fr-CA"/>
        </w:rPr>
        <w:t>Assemble générale a estimé que l</w:t>
      </w:r>
      <w:r>
        <w:rPr>
          <w:spacing w:val="-1"/>
          <w:lang w:val="fr-CA"/>
        </w:rPr>
        <w:t>’</w:t>
      </w:r>
      <w:r w:rsidRPr="00336568">
        <w:rPr>
          <w:spacing w:val="-1"/>
          <w:lang w:val="fr-CA"/>
        </w:rPr>
        <w:t>évolution du climat était une « préoccupation commune de l</w:t>
      </w:r>
      <w:r>
        <w:rPr>
          <w:spacing w:val="-1"/>
          <w:lang w:val="fr-CA"/>
        </w:rPr>
        <w:t>’</w:t>
      </w:r>
      <w:r w:rsidRPr="00336568">
        <w:rPr>
          <w:spacing w:val="-1"/>
          <w:lang w:val="fr-CA"/>
        </w:rPr>
        <w:t>humanité », le climat étant l</w:t>
      </w:r>
      <w:r>
        <w:rPr>
          <w:spacing w:val="-1"/>
          <w:lang w:val="fr-CA"/>
        </w:rPr>
        <w:t>’</w:t>
      </w:r>
      <w:r w:rsidRPr="00336568">
        <w:rPr>
          <w:spacing w:val="-1"/>
          <w:lang w:val="fr-CA"/>
        </w:rPr>
        <w:t>une des conditions essentielles de la vie sur terre</w:t>
      </w:r>
      <w:r w:rsidRPr="00F22925">
        <w:rPr>
          <w:spacing w:val="-1"/>
          <w:lang w:val="fr-CA"/>
        </w:rPr>
        <w:t>.</w:t>
      </w:r>
      <w:r w:rsidRPr="00336568">
        <w:rPr>
          <w:spacing w:val="-1"/>
          <w:lang w:val="fr-CA"/>
        </w:rPr>
        <w:t xml:space="preserve"> Le premier alinéa du préambule de la </w:t>
      </w:r>
      <w:r w:rsidRPr="00463FB5">
        <w:rPr>
          <w:lang w:val="fr-FR"/>
        </w:rPr>
        <w:t>Convention-cadre des Nations Unies de 1992 sur les changements climatiques</w:t>
      </w:r>
      <w:r w:rsidRPr="00F22830">
        <w:rPr>
          <w:rStyle w:val="FootnoteReference"/>
        </w:rPr>
        <w:footnoteReference w:id="9"/>
      </w:r>
      <w:r w:rsidRPr="00463FB5">
        <w:rPr>
          <w:lang w:val="fr-FR"/>
        </w:rPr>
        <w:t xml:space="preserve"> porte que « </w:t>
      </w:r>
      <w:r w:rsidRPr="00336568">
        <w:rPr>
          <w:spacing w:val="-1"/>
          <w:lang w:val="fr-CA"/>
        </w:rPr>
        <w:t xml:space="preserve">les changements du climat de la planète et leurs effets néfastes sont </w:t>
      </w:r>
      <w:r w:rsidRPr="00336568">
        <w:rPr>
          <w:i/>
          <w:iCs/>
          <w:spacing w:val="-1"/>
          <w:lang w:val="fr-CA"/>
        </w:rPr>
        <w:t>un sujet de préoccupation pour l</w:t>
      </w:r>
      <w:r>
        <w:rPr>
          <w:i/>
          <w:iCs/>
          <w:spacing w:val="-1"/>
          <w:lang w:val="fr-CA"/>
        </w:rPr>
        <w:t>’</w:t>
      </w:r>
      <w:r w:rsidRPr="00336568">
        <w:rPr>
          <w:i/>
          <w:iCs/>
          <w:spacing w:val="-1"/>
          <w:lang w:val="fr-CA"/>
        </w:rPr>
        <w:t>humanité tout entière</w:t>
      </w:r>
      <w:r w:rsidRPr="00336568">
        <w:rPr>
          <w:spacing w:val="-1"/>
          <w:lang w:val="fr-CA"/>
        </w:rPr>
        <w:t> » (non souligné dans l</w:t>
      </w:r>
      <w:r>
        <w:rPr>
          <w:spacing w:val="-1"/>
          <w:lang w:val="fr-CA"/>
        </w:rPr>
        <w:t>’</w:t>
      </w:r>
      <w:r w:rsidRPr="00336568">
        <w:rPr>
          <w:spacing w:val="-1"/>
          <w:lang w:val="fr-CA"/>
        </w:rPr>
        <w:t>original)</w:t>
      </w:r>
      <w:r w:rsidRPr="00F22830">
        <w:rPr>
          <w:rStyle w:val="FootnoteReference"/>
        </w:rPr>
        <w:footnoteReference w:id="10"/>
      </w:r>
      <w:r w:rsidRPr="00336568">
        <w:rPr>
          <w:spacing w:val="-1"/>
          <w:lang w:val="fr-CA"/>
        </w:rPr>
        <w:t xml:space="preserve">, </w:t>
      </w:r>
      <w:r>
        <w:rPr>
          <w:spacing w:val="-1"/>
          <w:lang w:val="fr-CA"/>
        </w:rPr>
        <w:t>formule</w:t>
      </w:r>
      <w:r w:rsidRPr="00336568">
        <w:rPr>
          <w:spacing w:val="-1"/>
          <w:lang w:val="fr-CA"/>
        </w:rPr>
        <w:t xml:space="preserve"> qui a été reprise par la suite dans le préambule de l</w:t>
      </w:r>
      <w:r>
        <w:rPr>
          <w:spacing w:val="-1"/>
          <w:lang w:val="fr-CA"/>
        </w:rPr>
        <w:t>’</w:t>
      </w:r>
      <w:r w:rsidRPr="00336568">
        <w:rPr>
          <w:spacing w:val="-1"/>
          <w:lang w:val="fr-CA"/>
        </w:rPr>
        <w:t>Accord de Paris de 2015 sur les changements climatiques</w:t>
      </w:r>
      <w:r w:rsidRPr="00F22830">
        <w:rPr>
          <w:rStyle w:val="FootnoteReference"/>
        </w:rPr>
        <w:footnoteReference w:id="11"/>
      </w:r>
      <w:r w:rsidRPr="00F22925">
        <w:rPr>
          <w:spacing w:val="-1"/>
          <w:lang w:val="fr-CA"/>
        </w:rPr>
        <w:t>.</w:t>
      </w:r>
      <w:r>
        <w:rPr>
          <w:spacing w:val="-1"/>
          <w:lang w:val="fr-CA"/>
        </w:rPr>
        <w:t xml:space="preserve"> </w:t>
      </w:r>
      <w:r w:rsidRPr="00336568">
        <w:rPr>
          <w:spacing w:val="-1"/>
          <w:lang w:val="fr-CA"/>
        </w:rPr>
        <w:t>L</w:t>
      </w:r>
      <w:r>
        <w:rPr>
          <w:spacing w:val="-1"/>
          <w:lang w:val="fr-CA"/>
        </w:rPr>
        <w:t>’</w:t>
      </w:r>
      <w:r w:rsidRPr="00336568">
        <w:rPr>
          <w:spacing w:val="-1"/>
          <w:lang w:val="fr-CA"/>
        </w:rPr>
        <w:t xml:space="preserve">expression « préoccupation commune » </w:t>
      </w:r>
      <w:r>
        <w:rPr>
          <w:spacing w:val="-1"/>
          <w:lang w:val="fr-CA"/>
        </w:rPr>
        <w:t xml:space="preserve">ou une expression similaire sont employées </w:t>
      </w:r>
      <w:r w:rsidRPr="00336568">
        <w:rPr>
          <w:spacing w:val="-1"/>
          <w:lang w:val="fr-CA"/>
        </w:rPr>
        <w:t>dans d</w:t>
      </w:r>
      <w:r>
        <w:rPr>
          <w:spacing w:val="-1"/>
          <w:lang w:val="fr-CA"/>
        </w:rPr>
        <w:t>’</w:t>
      </w:r>
      <w:r w:rsidRPr="00336568">
        <w:rPr>
          <w:spacing w:val="-1"/>
          <w:lang w:val="fr-CA"/>
        </w:rPr>
        <w:t>autres instruments conventionnels encore</w:t>
      </w:r>
      <w:r w:rsidRPr="00F22830">
        <w:rPr>
          <w:rStyle w:val="FootnoteReference"/>
        </w:rPr>
        <w:footnoteReference w:id="12"/>
      </w:r>
      <w:r w:rsidRPr="00F22925">
        <w:rPr>
          <w:spacing w:val="-1"/>
          <w:lang w:val="fr-CA"/>
        </w:rPr>
        <w:t>.</w:t>
      </w:r>
      <w:r w:rsidRPr="00336568">
        <w:rPr>
          <w:spacing w:val="-1"/>
          <w:lang w:val="fr-CA"/>
        </w:rPr>
        <w:t xml:space="preserve"> </w:t>
      </w:r>
      <w:r>
        <w:rPr>
          <w:lang w:val="fr-FR"/>
        </w:rPr>
        <w:t>Dans cet alinéa du préambule, le</w:t>
      </w:r>
      <w:r w:rsidRPr="00463FB5">
        <w:rPr>
          <w:lang w:val="fr-FR"/>
        </w:rPr>
        <w:t xml:space="preserve"> message qui est transmis est que la pollution atmosphérique et la dégradation atmosphérique</w:t>
      </w:r>
      <w:r>
        <w:rPr>
          <w:lang w:val="fr-FR"/>
        </w:rPr>
        <w:t xml:space="preserve">, telles </w:t>
      </w:r>
      <w:r>
        <w:rPr>
          <w:lang w:val="fr-FR"/>
        </w:rPr>
        <w:lastRenderedPageBreak/>
        <w:t>qu’elles sont définies dans le projet de directives,</w:t>
      </w:r>
      <w:r w:rsidRPr="00463FB5">
        <w:rPr>
          <w:lang w:val="fr-FR"/>
        </w:rPr>
        <w:t xml:space="preserve"> concernent la communauté internationale </w:t>
      </w:r>
      <w:r>
        <w:rPr>
          <w:lang w:val="fr-FR"/>
        </w:rPr>
        <w:t xml:space="preserve">tout entière </w:t>
      </w:r>
      <w:r w:rsidRPr="00463FB5">
        <w:rPr>
          <w:lang w:val="fr-FR"/>
        </w:rPr>
        <w:t>parce qu</w:t>
      </w:r>
      <w:r>
        <w:rPr>
          <w:lang w:val="fr-FR"/>
        </w:rPr>
        <w:t>’</w:t>
      </w:r>
      <w:r w:rsidRPr="00463FB5">
        <w:rPr>
          <w:lang w:val="fr-FR"/>
        </w:rPr>
        <w:t xml:space="preserve">elles </w:t>
      </w:r>
      <w:r>
        <w:rPr>
          <w:lang w:val="fr-FR"/>
        </w:rPr>
        <w:t xml:space="preserve">peuvent toucher </w:t>
      </w:r>
      <w:r w:rsidRPr="00463FB5">
        <w:rPr>
          <w:lang w:val="fr-FR"/>
        </w:rPr>
        <w:t>tout un chacun</w:t>
      </w:r>
      <w:r w:rsidRPr="00F22925">
        <w:rPr>
          <w:lang w:val="fr-FR"/>
        </w:rPr>
        <w:t>.</w:t>
      </w:r>
      <w:r w:rsidRPr="00463FB5">
        <w:rPr>
          <w:lang w:val="fr-FR"/>
        </w:rPr>
        <w:t xml:space="preserve"> On retiendra que, bien que les auteurs soient divisés sur sa portée, sa teneur et ses conséquences,</w:t>
      </w:r>
      <w:r>
        <w:rPr>
          <w:lang w:val="fr-FR"/>
        </w:rPr>
        <w:t xml:space="preserve"> l’expression « préoccupation commune » est </w:t>
      </w:r>
      <w:r w:rsidRPr="00463FB5">
        <w:rPr>
          <w:lang w:val="fr-FR"/>
        </w:rPr>
        <w:t xml:space="preserve">courante en droit de </w:t>
      </w:r>
      <w:r w:rsidRPr="00C91A25">
        <w:rPr>
          <w:lang w:val="fr-FR"/>
        </w:rPr>
        <w:t>l</w:t>
      </w:r>
      <w:r>
        <w:rPr>
          <w:lang w:val="fr-FR"/>
        </w:rPr>
        <w:t>’</w:t>
      </w:r>
      <w:r w:rsidRPr="00C91A25">
        <w:rPr>
          <w:lang w:val="fr-FR"/>
        </w:rPr>
        <w:t>environnement</w:t>
      </w:r>
      <w:bookmarkStart w:id="1" w:name="_Ref81559757"/>
      <w:r w:rsidRPr="00C91A25">
        <w:rPr>
          <w:rStyle w:val="FootnoteReference"/>
        </w:rPr>
        <w:footnoteReference w:id="13"/>
      </w:r>
      <w:bookmarkEnd w:id="1"/>
      <w:r w:rsidRPr="00F22925">
        <w:rPr>
          <w:lang w:val="fr-FR"/>
        </w:rPr>
        <w:t>.</w:t>
      </w:r>
      <w:r w:rsidRPr="00463FB5">
        <w:rPr>
          <w:lang w:val="fr-FR"/>
        </w:rPr>
        <w:t xml:space="preserve"> </w:t>
      </w:r>
      <w:r>
        <w:rPr>
          <w:lang w:val="fr-FR"/>
        </w:rPr>
        <w:t>Il</w:t>
      </w:r>
      <w:r w:rsidRPr="00463FB5">
        <w:rPr>
          <w:lang w:val="fr-FR"/>
        </w:rPr>
        <w:t xml:space="preserve"> est entendu </w:t>
      </w:r>
      <w:r>
        <w:rPr>
          <w:lang w:val="fr-FR"/>
        </w:rPr>
        <w:t>qu’elle fait référence à un problème qui nécessite la coopération de la communauté internationale tout entière, mais</w:t>
      </w:r>
      <w:r w:rsidRPr="00463FB5">
        <w:rPr>
          <w:lang w:val="fr-FR"/>
        </w:rPr>
        <w:t xml:space="preserve"> son emploi ne crée </w:t>
      </w:r>
      <w:r>
        <w:rPr>
          <w:lang w:val="fr-FR"/>
        </w:rPr>
        <w:t xml:space="preserve">en soi </w:t>
      </w:r>
      <w:r w:rsidRPr="00463FB5">
        <w:rPr>
          <w:lang w:val="fr-FR"/>
        </w:rPr>
        <w:t>aucun droit ni obligation</w:t>
      </w:r>
      <w:r>
        <w:rPr>
          <w:lang w:val="fr-FR"/>
        </w:rPr>
        <w:t xml:space="preserve"> et</w:t>
      </w:r>
      <w:r w:rsidRPr="00463FB5">
        <w:rPr>
          <w:lang w:val="fr-FR"/>
        </w:rPr>
        <w:t>, en particulier</w:t>
      </w:r>
      <w:r>
        <w:rPr>
          <w:lang w:val="fr-FR"/>
        </w:rPr>
        <w:t>, ne fait naître</w:t>
      </w:r>
      <w:r w:rsidRPr="00463FB5">
        <w:rPr>
          <w:lang w:val="fr-FR"/>
        </w:rPr>
        <w:t xml:space="preserve"> aucune obligation </w:t>
      </w:r>
      <w:r w:rsidRPr="00463FB5">
        <w:rPr>
          <w:i/>
          <w:iCs/>
          <w:lang w:val="fr-FR"/>
        </w:rPr>
        <w:t xml:space="preserve">erga </w:t>
      </w:r>
      <w:proofErr w:type="spellStart"/>
      <w:r w:rsidRPr="00463FB5">
        <w:rPr>
          <w:i/>
          <w:iCs/>
          <w:lang w:val="fr-FR"/>
        </w:rPr>
        <w:t>omnes</w:t>
      </w:r>
      <w:proofErr w:type="spellEnd"/>
      <w:r w:rsidRPr="00336568">
        <w:rPr>
          <w:spacing w:val="-1"/>
          <w:lang w:val="fr-CA"/>
        </w:rPr>
        <w:t xml:space="preserve"> dans le contexte </w:t>
      </w:r>
      <w:r>
        <w:rPr>
          <w:spacing w:val="-1"/>
          <w:lang w:val="fr-CA"/>
        </w:rPr>
        <w:t xml:space="preserve">du </w:t>
      </w:r>
      <w:r w:rsidRPr="00336568">
        <w:rPr>
          <w:spacing w:val="-1"/>
          <w:lang w:val="fr-CA"/>
        </w:rPr>
        <w:t>projet</w:t>
      </w:r>
      <w:r>
        <w:rPr>
          <w:spacing w:val="-1"/>
          <w:lang w:val="fr-CA"/>
        </w:rPr>
        <w:t xml:space="preserve"> de directives</w:t>
      </w:r>
      <w:r w:rsidRPr="00F22925">
        <w:rPr>
          <w:spacing w:val="-1"/>
          <w:lang w:val="fr-CA"/>
        </w:rPr>
        <w:t>.</w:t>
      </w:r>
    </w:p>
    <w:p w14:paraId="23091E1B" w14:textId="77777777" w:rsidR="00D01ECD" w:rsidRPr="00336568" w:rsidRDefault="00D01ECD" w:rsidP="00D01ECD">
      <w:pPr>
        <w:pStyle w:val="SingleTxtG"/>
        <w:spacing w:line="238" w:lineRule="atLeast"/>
        <w:rPr>
          <w:lang w:val="fr-CA"/>
        </w:rPr>
      </w:pPr>
      <w:bookmarkStart w:id="2" w:name="_Hlk74835779"/>
      <w:r w:rsidRPr="00336568">
        <w:rPr>
          <w:spacing w:val="-1"/>
          <w:lang w:val="fr-CA"/>
        </w:rPr>
        <w:t>4)</w:t>
      </w:r>
      <w:r w:rsidRPr="00336568">
        <w:rPr>
          <w:spacing w:val="-1"/>
          <w:lang w:val="fr-CA"/>
        </w:rPr>
        <w:tab/>
        <w:t>Reflétant un souci d</w:t>
      </w:r>
      <w:r>
        <w:rPr>
          <w:spacing w:val="-1"/>
          <w:lang w:val="fr-CA"/>
        </w:rPr>
        <w:t>’</w:t>
      </w:r>
      <w:r w:rsidRPr="00336568">
        <w:rPr>
          <w:spacing w:val="-1"/>
          <w:lang w:val="fr-CA"/>
        </w:rPr>
        <w:t>équité, le quatrième alinéa du préambule traite de</w:t>
      </w:r>
      <w:r w:rsidRPr="00463FB5">
        <w:rPr>
          <w:lang w:val="fr-FR"/>
        </w:rPr>
        <w:t xml:space="preserve"> la situation et des besoins particuliers des pays en développement</w:t>
      </w:r>
      <w:r w:rsidRPr="00F22830">
        <w:rPr>
          <w:rStyle w:val="FootnoteReference"/>
        </w:rPr>
        <w:footnoteReference w:id="14"/>
      </w:r>
      <w:r w:rsidRPr="00F22925">
        <w:rPr>
          <w:lang w:val="fr-FR"/>
        </w:rPr>
        <w:t>.</w:t>
      </w:r>
      <w:r w:rsidRPr="00463FB5">
        <w:rPr>
          <w:lang w:val="fr-FR"/>
        </w:rPr>
        <w:t xml:space="preserve"> Plusieurs instruments internationaux, notamment la Déclaration de Stockholm de 1972</w:t>
      </w:r>
      <w:bookmarkStart w:id="3" w:name="_Ref74827396"/>
      <w:r w:rsidRPr="00F22830">
        <w:rPr>
          <w:rStyle w:val="FootnoteReference"/>
        </w:rPr>
        <w:footnoteReference w:id="15"/>
      </w:r>
      <w:bookmarkEnd w:id="3"/>
      <w:r w:rsidRPr="00463FB5">
        <w:rPr>
          <w:lang w:val="fr-FR"/>
        </w:rPr>
        <w:t xml:space="preserve">, la </w:t>
      </w:r>
      <w:r w:rsidRPr="00336568">
        <w:rPr>
          <w:lang w:val="fr-CA"/>
        </w:rPr>
        <w:t xml:space="preserve">Déclaration de Rio </w:t>
      </w:r>
      <w:r w:rsidRPr="00336568">
        <w:rPr>
          <w:lang w:val="fr-CA"/>
        </w:rPr>
        <w:lastRenderedPageBreak/>
        <w:t>de 1992 sur l</w:t>
      </w:r>
      <w:r>
        <w:rPr>
          <w:lang w:val="fr-CA"/>
        </w:rPr>
        <w:t>’</w:t>
      </w:r>
      <w:r w:rsidRPr="00336568">
        <w:rPr>
          <w:lang w:val="fr-CA"/>
        </w:rPr>
        <w:t>environnement et le développement (la « Déclaration de Rio »)</w:t>
      </w:r>
      <w:r w:rsidRPr="00F22830">
        <w:rPr>
          <w:rStyle w:val="FootnoteReference"/>
        </w:rPr>
        <w:footnoteReference w:id="16"/>
      </w:r>
      <w:r w:rsidRPr="00336568">
        <w:rPr>
          <w:spacing w:val="-1"/>
          <w:lang w:val="fr-CA"/>
        </w:rPr>
        <w:t xml:space="preserve"> et la </w:t>
      </w:r>
      <w:r w:rsidRPr="00336568">
        <w:rPr>
          <w:lang w:val="fr-CA"/>
        </w:rPr>
        <w:t>Déclaration de Johannesburg de 2002 sur le développement durable</w:t>
      </w:r>
      <w:r w:rsidRPr="00F22830">
        <w:rPr>
          <w:rStyle w:val="FootnoteReference"/>
        </w:rPr>
        <w:footnoteReference w:id="17"/>
      </w:r>
      <w:r w:rsidRPr="00336568">
        <w:rPr>
          <w:lang w:val="fr-CA"/>
        </w:rPr>
        <w:t>, consacrent la nécessité de tenir compte de la situation particulière des pays en développement dans le contexte de la protection de l</w:t>
      </w:r>
      <w:r>
        <w:rPr>
          <w:lang w:val="fr-CA"/>
        </w:rPr>
        <w:t>’</w:t>
      </w:r>
      <w:r w:rsidRPr="00336568">
        <w:rPr>
          <w:lang w:val="fr-CA"/>
        </w:rPr>
        <w:t>environnement</w:t>
      </w:r>
      <w:r w:rsidRPr="00F22925">
        <w:rPr>
          <w:lang w:val="fr-CA"/>
        </w:rPr>
        <w:t>.</w:t>
      </w:r>
      <w:r w:rsidRPr="00336568">
        <w:rPr>
          <w:lang w:val="fr-CA"/>
        </w:rPr>
        <w:t xml:space="preserve"> Le principe 12 de la Déclaration de Stockholm prévoit qu</w:t>
      </w:r>
      <w:r>
        <w:rPr>
          <w:lang w:val="fr-CA"/>
        </w:rPr>
        <w:t>’</w:t>
      </w:r>
      <w:r w:rsidRPr="00336568">
        <w:rPr>
          <w:lang w:val="fr-CA"/>
        </w:rPr>
        <w:t>il faut « [tenir] compte […] de la situation et des besoins particuliers des pays en voie de développement »</w:t>
      </w:r>
      <w:r w:rsidRPr="00F22925">
        <w:rPr>
          <w:lang w:val="fr-CA"/>
        </w:rPr>
        <w:t>.</w:t>
      </w:r>
      <w:r w:rsidRPr="00336568">
        <w:rPr>
          <w:lang w:val="fr-CA"/>
        </w:rPr>
        <w:t xml:space="preserve"> Le principe 6 de la Déclaration de Rio dispose qu</w:t>
      </w:r>
      <w:r>
        <w:rPr>
          <w:lang w:val="fr-CA"/>
        </w:rPr>
        <w:t>’</w:t>
      </w:r>
      <w:r w:rsidRPr="00336568">
        <w:rPr>
          <w:lang w:val="fr-CA"/>
        </w:rPr>
        <w:t>il faut accorder la priorité à « [l]a situation et [aux] besoins particuliers des pays en développement, en particulier des pays les moins avancés et des pays les plus vulnérables sur le plan de l</w:t>
      </w:r>
      <w:r>
        <w:rPr>
          <w:lang w:val="fr-CA"/>
        </w:rPr>
        <w:t>’</w:t>
      </w:r>
      <w:r w:rsidRPr="00336568">
        <w:rPr>
          <w:lang w:val="fr-CA"/>
        </w:rPr>
        <w:t>environnement »</w:t>
      </w:r>
      <w:r w:rsidRPr="00F22925">
        <w:rPr>
          <w:lang w:val="fr-CA"/>
        </w:rPr>
        <w:t>.</w:t>
      </w:r>
      <w:r w:rsidRPr="00336568">
        <w:rPr>
          <w:lang w:val="fr-CA"/>
        </w:rPr>
        <w:t xml:space="preserve"> La Déclaration de Johannesburg exprime la détermination de ses auteurs de « </w:t>
      </w:r>
      <w:proofErr w:type="gramStart"/>
      <w:r w:rsidRPr="00336568">
        <w:rPr>
          <w:lang w:val="fr-CA"/>
        </w:rPr>
        <w:t>rester[</w:t>
      </w:r>
      <w:proofErr w:type="gramEnd"/>
      <w:r w:rsidRPr="00336568">
        <w:rPr>
          <w:lang w:val="fr-CA"/>
        </w:rPr>
        <w:t>…] particulièrement attentifs aux besoins en matière de développement des petits États insulaires en développement et des pays les moins avancés »</w:t>
      </w:r>
      <w:r w:rsidRPr="00F22830">
        <w:rPr>
          <w:rStyle w:val="FootnoteReference"/>
        </w:rPr>
        <w:footnoteReference w:id="18"/>
      </w:r>
      <w:r w:rsidRPr="00F22925">
        <w:rPr>
          <w:lang w:val="fr-CA"/>
        </w:rPr>
        <w:t>.</w:t>
      </w:r>
      <w:r w:rsidRPr="00336568">
        <w:rPr>
          <w:lang w:val="fr-CA"/>
        </w:rPr>
        <w:t xml:space="preserve"> </w:t>
      </w:r>
      <w:r>
        <w:rPr>
          <w:lang w:val="fr-CA"/>
        </w:rPr>
        <w:t xml:space="preserve">Ce </w:t>
      </w:r>
      <w:r w:rsidRPr="00336568">
        <w:rPr>
          <w:lang w:val="fr-CA"/>
        </w:rPr>
        <w:t>principe est aussi reflété à l</w:t>
      </w:r>
      <w:r>
        <w:rPr>
          <w:lang w:val="fr-CA"/>
        </w:rPr>
        <w:t>’</w:t>
      </w:r>
      <w:r w:rsidRPr="00336568">
        <w:rPr>
          <w:lang w:val="fr-CA"/>
        </w:rPr>
        <w:t>article 3 de la Convention-cadre des Nations Unies sur les changements climatiques et à l</w:t>
      </w:r>
      <w:r>
        <w:rPr>
          <w:lang w:val="fr-CA"/>
        </w:rPr>
        <w:t>’</w:t>
      </w:r>
      <w:r w:rsidRPr="00336568">
        <w:rPr>
          <w:lang w:val="fr-CA"/>
        </w:rPr>
        <w:t>article 2 de l</w:t>
      </w:r>
      <w:r>
        <w:rPr>
          <w:lang w:val="fr-CA"/>
        </w:rPr>
        <w:t>’</w:t>
      </w:r>
      <w:r w:rsidRPr="00336568">
        <w:rPr>
          <w:lang w:val="fr-CA"/>
        </w:rPr>
        <w:t>Accord de Paris adopté dans le cadre de ladite convention</w:t>
      </w:r>
      <w:r w:rsidRPr="00F22925">
        <w:rPr>
          <w:lang w:val="fr-CA"/>
        </w:rPr>
        <w:t>.</w:t>
      </w:r>
      <w:r w:rsidRPr="00336568">
        <w:rPr>
          <w:lang w:val="fr-CA"/>
        </w:rPr>
        <w:t xml:space="preserve"> La formulation du quatrième alinéa du préambule du projet d</w:t>
      </w:r>
      <w:r>
        <w:rPr>
          <w:lang w:val="fr-CA"/>
        </w:rPr>
        <w:t>’</w:t>
      </w:r>
      <w:r w:rsidRPr="00336568">
        <w:rPr>
          <w:lang w:val="fr-CA"/>
        </w:rPr>
        <w:t xml:space="preserve">articles est </w:t>
      </w:r>
      <w:proofErr w:type="gramStart"/>
      <w:r w:rsidRPr="00336568">
        <w:rPr>
          <w:lang w:val="fr-CA"/>
        </w:rPr>
        <w:t>inspirée</w:t>
      </w:r>
      <w:proofErr w:type="gramEnd"/>
      <w:r w:rsidRPr="00336568">
        <w:rPr>
          <w:lang w:val="fr-CA"/>
        </w:rPr>
        <w:t xml:space="preserve"> de celle du septième alinéa du préambule de la Convention de 1997 sur le droit relatif aux utilisations des cours d</w:t>
      </w:r>
      <w:r>
        <w:rPr>
          <w:lang w:val="fr-CA"/>
        </w:rPr>
        <w:t>’</w:t>
      </w:r>
      <w:r w:rsidRPr="00336568">
        <w:rPr>
          <w:lang w:val="fr-CA"/>
        </w:rPr>
        <w:t>eau internationaux à des fins autres que la navigation</w:t>
      </w:r>
      <w:r w:rsidRPr="00F22830">
        <w:rPr>
          <w:rStyle w:val="FootnoteReference"/>
        </w:rPr>
        <w:footnoteReference w:id="19"/>
      </w:r>
      <w:r w:rsidRPr="00F22925">
        <w:rPr>
          <w:lang w:val="fr-CA"/>
        </w:rPr>
        <w:t>.</w:t>
      </w:r>
    </w:p>
    <w:bookmarkEnd w:id="2"/>
    <w:p w14:paraId="2FD4AF2D" w14:textId="77777777" w:rsidR="00D01ECD" w:rsidRPr="00336568" w:rsidRDefault="00D01ECD" w:rsidP="00D01ECD">
      <w:pPr>
        <w:pStyle w:val="SingleTxtG"/>
        <w:rPr>
          <w:lang w:val="fr-CA"/>
        </w:rPr>
      </w:pPr>
      <w:r w:rsidRPr="00336568">
        <w:rPr>
          <w:lang w:val="fr-CA"/>
        </w:rPr>
        <w:t>5)</w:t>
      </w:r>
      <w:r w:rsidRPr="00336568">
        <w:rPr>
          <w:lang w:val="fr-CA"/>
        </w:rPr>
        <w:tab/>
        <w:t>Le cinquième alinéa du préambule pose le constat qu</w:t>
      </w:r>
      <w:r>
        <w:rPr>
          <w:lang w:val="fr-CA"/>
        </w:rPr>
        <w:t>’</w:t>
      </w:r>
      <w:r w:rsidRPr="00336568">
        <w:rPr>
          <w:lang w:val="fr-CA"/>
        </w:rPr>
        <w:t>il existe une « interaction étroite »</w:t>
      </w:r>
      <w:r w:rsidRPr="00336568">
        <w:rPr>
          <w:spacing w:val="-1"/>
          <w:lang w:val="fr-CA"/>
        </w:rPr>
        <w:t xml:space="preserve"> entre l</w:t>
      </w:r>
      <w:r>
        <w:rPr>
          <w:spacing w:val="-1"/>
          <w:lang w:val="fr-CA"/>
        </w:rPr>
        <w:t>’</w:t>
      </w:r>
      <w:r w:rsidRPr="00336568">
        <w:rPr>
          <w:spacing w:val="-1"/>
          <w:lang w:val="fr-CA"/>
        </w:rPr>
        <w:t>atmosphère et les océans du fait du rapport physique qui les unit</w:t>
      </w:r>
      <w:r w:rsidRPr="00F22925">
        <w:rPr>
          <w:spacing w:val="-1"/>
          <w:lang w:val="fr-CA"/>
        </w:rPr>
        <w:t>.</w:t>
      </w:r>
      <w:r w:rsidRPr="00336568">
        <w:rPr>
          <w:spacing w:val="-1"/>
          <w:lang w:val="fr-CA"/>
        </w:rPr>
        <w:t xml:space="preserve"> </w:t>
      </w:r>
      <w:r>
        <w:rPr>
          <w:spacing w:val="-1"/>
          <w:lang w:val="fr-CA"/>
        </w:rPr>
        <w:t>D’après les scientifiques, l</w:t>
      </w:r>
      <w:r w:rsidRPr="00336568">
        <w:rPr>
          <w:spacing w:val="-1"/>
          <w:lang w:val="fr-CA"/>
        </w:rPr>
        <w:t>a pollution du milieu marin, qu</w:t>
      </w:r>
      <w:r>
        <w:rPr>
          <w:spacing w:val="-1"/>
          <w:lang w:val="fr-CA"/>
        </w:rPr>
        <w:t>’</w:t>
      </w:r>
      <w:r w:rsidRPr="00336568">
        <w:rPr>
          <w:spacing w:val="-1"/>
          <w:lang w:val="fr-CA"/>
        </w:rPr>
        <w:t>elle soit d</w:t>
      </w:r>
      <w:r>
        <w:rPr>
          <w:spacing w:val="-1"/>
          <w:lang w:val="fr-CA"/>
        </w:rPr>
        <w:t>’</w:t>
      </w:r>
      <w:r w:rsidRPr="00336568">
        <w:rPr>
          <w:spacing w:val="-1"/>
          <w:lang w:val="fr-CA"/>
        </w:rPr>
        <w:t xml:space="preserve">origine atmosphérique ou </w:t>
      </w:r>
      <w:proofErr w:type="spellStart"/>
      <w:r w:rsidRPr="00336568">
        <w:rPr>
          <w:spacing w:val="-1"/>
          <w:lang w:val="fr-CA"/>
        </w:rPr>
        <w:t>transatmosphérique</w:t>
      </w:r>
      <w:proofErr w:type="spellEnd"/>
      <w:r w:rsidRPr="00336568">
        <w:rPr>
          <w:spacing w:val="-1"/>
          <w:lang w:val="fr-CA"/>
        </w:rPr>
        <w:t>, est en grande partie due aux activités terrestres, notamment celles menées par l</w:t>
      </w:r>
      <w:r>
        <w:rPr>
          <w:spacing w:val="-1"/>
          <w:lang w:val="fr-CA"/>
        </w:rPr>
        <w:t>’</w:t>
      </w:r>
      <w:r w:rsidRPr="00336568">
        <w:rPr>
          <w:spacing w:val="-1"/>
          <w:lang w:val="fr-CA"/>
        </w:rPr>
        <w:t>homme</w:t>
      </w:r>
      <w:r w:rsidRPr="00F22830">
        <w:rPr>
          <w:rStyle w:val="FootnoteReference"/>
        </w:rPr>
        <w:footnoteReference w:id="20"/>
      </w:r>
      <w:r w:rsidRPr="00F22925">
        <w:rPr>
          <w:spacing w:val="-1"/>
          <w:shd w:val="clear" w:color="auto" w:fill="FFFFFF"/>
          <w:lang w:val="fr-CA"/>
        </w:rPr>
        <w:t>.</w:t>
      </w:r>
      <w:r w:rsidRPr="00336568">
        <w:rPr>
          <w:spacing w:val="-1"/>
          <w:shd w:val="clear" w:color="auto" w:fill="FFFFFF"/>
          <w:lang w:val="fr-CA"/>
        </w:rPr>
        <w:t xml:space="preserve"> La recherche scientifique montre que les activités humaines sont aussi responsables du réchauffement de la planète, </w:t>
      </w:r>
      <w:r>
        <w:rPr>
          <w:spacing w:val="-1"/>
          <w:shd w:val="clear" w:color="auto" w:fill="FFFFFF"/>
          <w:lang w:val="fr-CA"/>
        </w:rPr>
        <w:t>qui</w:t>
      </w:r>
      <w:r w:rsidRPr="00336568">
        <w:rPr>
          <w:spacing w:val="-1"/>
          <w:shd w:val="clear" w:color="auto" w:fill="FFFFFF"/>
          <w:lang w:val="fr-CA"/>
        </w:rPr>
        <w:t xml:space="preserve"> entraîne une augmentation de la température des océans, </w:t>
      </w:r>
      <w:r>
        <w:rPr>
          <w:spacing w:val="-1"/>
          <w:shd w:val="clear" w:color="auto" w:fill="FFFFFF"/>
          <w:lang w:val="fr-CA"/>
        </w:rPr>
        <w:t>et ainsi</w:t>
      </w:r>
      <w:r w:rsidRPr="00336568">
        <w:rPr>
          <w:spacing w:val="-1"/>
          <w:shd w:val="clear" w:color="auto" w:fill="FFFFFF"/>
          <w:lang w:val="fr-CA"/>
        </w:rPr>
        <w:t xml:space="preserve"> des phénomènes atmosphériques extrêmes </w:t>
      </w:r>
      <w:r>
        <w:rPr>
          <w:spacing w:val="-1"/>
          <w:shd w:val="clear" w:color="auto" w:fill="FFFFFF"/>
          <w:lang w:val="fr-CA"/>
        </w:rPr>
        <w:t>pouvant provoquer</w:t>
      </w:r>
      <w:r w:rsidRPr="00336568">
        <w:rPr>
          <w:spacing w:val="-1"/>
          <w:shd w:val="clear" w:color="auto" w:fill="FFFFFF"/>
          <w:lang w:val="fr-CA"/>
        </w:rPr>
        <w:t xml:space="preserve"> inondations et sécheresses</w:t>
      </w:r>
      <w:r w:rsidRPr="00F22830">
        <w:rPr>
          <w:rStyle w:val="FootnoteReference"/>
        </w:rPr>
        <w:footnoteReference w:id="21"/>
      </w:r>
      <w:r w:rsidRPr="00F22925">
        <w:rPr>
          <w:spacing w:val="-1"/>
          <w:lang w:val="fr-CA"/>
        </w:rPr>
        <w:t>.</w:t>
      </w:r>
      <w:r w:rsidRPr="00336568">
        <w:rPr>
          <w:spacing w:val="-1"/>
          <w:lang w:val="fr-CA"/>
        </w:rPr>
        <w:t xml:space="preserve"> L</w:t>
      </w:r>
      <w:r>
        <w:rPr>
          <w:spacing w:val="-1"/>
          <w:lang w:val="fr-CA"/>
        </w:rPr>
        <w:t>’</w:t>
      </w:r>
      <w:r w:rsidRPr="00336568">
        <w:rPr>
          <w:spacing w:val="-1"/>
          <w:lang w:val="fr-CA"/>
        </w:rPr>
        <w:t>Assemblée générale a constaté que les changements climatiques avaient effectivement des effets sur les océans et a souligné qu</w:t>
      </w:r>
      <w:r>
        <w:rPr>
          <w:spacing w:val="-1"/>
          <w:lang w:val="fr-CA"/>
        </w:rPr>
        <w:t>’</w:t>
      </w:r>
      <w:r w:rsidRPr="00336568">
        <w:rPr>
          <w:spacing w:val="-1"/>
          <w:lang w:val="fr-CA"/>
        </w:rPr>
        <w:t xml:space="preserve">il </w:t>
      </w:r>
      <w:r w:rsidRPr="00336568">
        <w:rPr>
          <w:spacing w:val="-1"/>
          <w:lang w:val="fr-CA"/>
        </w:rPr>
        <w:lastRenderedPageBreak/>
        <w:t>importait que la communauté scientifique approfondisse sa connaissance de l</w:t>
      </w:r>
      <w:r>
        <w:rPr>
          <w:spacing w:val="-1"/>
          <w:lang w:val="fr-CA"/>
        </w:rPr>
        <w:t>’</w:t>
      </w:r>
      <w:r w:rsidRPr="00336568">
        <w:rPr>
          <w:spacing w:val="-1"/>
          <w:lang w:val="fr-CA"/>
        </w:rPr>
        <w:t>interface entre les océans et l</w:t>
      </w:r>
      <w:r>
        <w:rPr>
          <w:spacing w:val="-1"/>
          <w:lang w:val="fr-CA"/>
        </w:rPr>
        <w:t>’</w:t>
      </w:r>
      <w:r w:rsidRPr="00336568">
        <w:rPr>
          <w:spacing w:val="-1"/>
          <w:lang w:val="fr-CA"/>
        </w:rPr>
        <w:t>atmosphère</w:t>
      </w:r>
      <w:r w:rsidRPr="00F22830">
        <w:rPr>
          <w:rStyle w:val="FootnoteReference"/>
        </w:rPr>
        <w:footnoteReference w:id="22"/>
      </w:r>
      <w:r w:rsidRPr="00F22925">
        <w:rPr>
          <w:lang w:val="fr-CA"/>
        </w:rPr>
        <w:t>.</w:t>
      </w:r>
      <w:r w:rsidRPr="00336568">
        <w:rPr>
          <w:lang w:val="fr-CA"/>
        </w:rPr>
        <w:t xml:space="preserve"> Bien que </w:t>
      </w:r>
      <w:r>
        <w:rPr>
          <w:lang w:val="fr-CA"/>
        </w:rPr>
        <w:t>l’alinéa du préambule</w:t>
      </w:r>
      <w:r w:rsidRPr="00336568">
        <w:rPr>
          <w:lang w:val="fr-CA"/>
        </w:rPr>
        <w:t xml:space="preserve"> n</w:t>
      </w:r>
      <w:r>
        <w:rPr>
          <w:lang w:val="fr-CA"/>
        </w:rPr>
        <w:t>’</w:t>
      </w:r>
      <w:r w:rsidRPr="00336568">
        <w:rPr>
          <w:lang w:val="fr-CA"/>
        </w:rPr>
        <w:t>en fasse pas mention, l</w:t>
      </w:r>
      <w:r>
        <w:rPr>
          <w:lang w:val="fr-CA"/>
        </w:rPr>
        <w:t>’</w:t>
      </w:r>
      <w:r w:rsidRPr="00336568">
        <w:rPr>
          <w:lang w:val="fr-CA"/>
        </w:rPr>
        <w:t>atmosphère</w:t>
      </w:r>
      <w:r>
        <w:rPr>
          <w:lang w:val="fr-CA"/>
        </w:rPr>
        <w:t xml:space="preserve"> interagit aussi étroitement avec d’</w:t>
      </w:r>
      <w:r w:rsidRPr="00336568">
        <w:rPr>
          <w:lang w:val="fr-CA"/>
        </w:rPr>
        <w:t xml:space="preserve">autres biosphères ainsi </w:t>
      </w:r>
      <w:r>
        <w:rPr>
          <w:lang w:val="fr-CA"/>
        </w:rPr>
        <w:t>qu’avec</w:t>
      </w:r>
      <w:r w:rsidRPr="00336568">
        <w:rPr>
          <w:lang w:val="fr-CA"/>
        </w:rPr>
        <w:t xml:space="preserve"> les forêts, les lacs et les rivières</w:t>
      </w:r>
      <w:r w:rsidRPr="00F22830">
        <w:rPr>
          <w:rStyle w:val="FootnoteReference"/>
        </w:rPr>
        <w:footnoteReference w:id="23"/>
      </w:r>
      <w:r w:rsidRPr="00F22925">
        <w:rPr>
          <w:lang w:val="fr-CA"/>
        </w:rPr>
        <w:t>.</w:t>
      </w:r>
    </w:p>
    <w:p w14:paraId="0D512220" w14:textId="77777777" w:rsidR="00D01ECD" w:rsidRPr="00336568" w:rsidRDefault="00D01ECD" w:rsidP="00D01ECD">
      <w:pPr>
        <w:pStyle w:val="SingleTxtG"/>
        <w:rPr>
          <w:lang w:val="fr-CA"/>
        </w:rPr>
      </w:pPr>
      <w:bookmarkStart w:id="4" w:name="_Hlk74835724"/>
      <w:r w:rsidRPr="00336568">
        <w:rPr>
          <w:lang w:val="fr-CA"/>
        </w:rPr>
        <w:t>6)</w:t>
      </w:r>
      <w:r w:rsidRPr="00336568">
        <w:rPr>
          <w:lang w:val="fr-CA"/>
        </w:rPr>
        <w:tab/>
        <w:t>La première Évaluation mondiale intégrée du milieu marin (la « première Évaluation mondiale des océans »), étude globale et approfondie de l</w:t>
      </w:r>
      <w:r>
        <w:rPr>
          <w:lang w:val="fr-CA"/>
        </w:rPr>
        <w:t>’</w:t>
      </w:r>
      <w:r w:rsidRPr="00336568">
        <w:rPr>
          <w:lang w:val="fr-CA"/>
        </w:rPr>
        <w:t xml:space="preserve">état du milieu marin, traite de la pollution </w:t>
      </w:r>
      <w:proofErr w:type="spellStart"/>
      <w:r w:rsidRPr="00336568">
        <w:rPr>
          <w:lang w:val="fr-CA"/>
        </w:rPr>
        <w:t>transatmosphérique</w:t>
      </w:r>
      <w:proofErr w:type="spellEnd"/>
      <w:r w:rsidRPr="00336568">
        <w:rPr>
          <w:lang w:val="fr-CA"/>
        </w:rPr>
        <w:t xml:space="preserve"> des océans résultant d</w:t>
      </w:r>
      <w:r>
        <w:rPr>
          <w:lang w:val="fr-CA"/>
        </w:rPr>
        <w:t>’</w:t>
      </w:r>
      <w:r w:rsidRPr="00336568">
        <w:rPr>
          <w:lang w:val="fr-CA"/>
        </w:rPr>
        <w:t>activités terrestres, qui a des conséquences sur la température de la surface de la mer, l</w:t>
      </w:r>
      <w:r>
        <w:rPr>
          <w:lang w:val="fr-CA"/>
        </w:rPr>
        <w:t>’</w:t>
      </w:r>
      <w:r w:rsidRPr="00336568">
        <w:rPr>
          <w:lang w:val="fr-CA"/>
        </w:rPr>
        <w:t>élévation du niveau de la mer, la salinité, la stratification et l</w:t>
      </w:r>
      <w:r>
        <w:rPr>
          <w:lang w:val="fr-CA"/>
        </w:rPr>
        <w:t>’</w:t>
      </w:r>
      <w:r w:rsidRPr="00336568">
        <w:rPr>
          <w:lang w:val="fr-CA"/>
        </w:rPr>
        <w:t>acidification des océans, la circulation océanique, les tempêtes et les autres phénomènes climatiques extrêmes, le rayonnement ultraviolet et la couche d</w:t>
      </w:r>
      <w:r>
        <w:rPr>
          <w:lang w:val="fr-CA"/>
        </w:rPr>
        <w:t>’</w:t>
      </w:r>
      <w:r w:rsidRPr="00336568">
        <w:rPr>
          <w:lang w:val="fr-CA"/>
        </w:rPr>
        <w:t>ozone</w:t>
      </w:r>
      <w:r w:rsidRPr="00F22830">
        <w:rPr>
          <w:rStyle w:val="FootnoteReference"/>
        </w:rPr>
        <w:footnoteReference w:id="24"/>
      </w:r>
      <w:r w:rsidRPr="00F22925">
        <w:rPr>
          <w:lang w:val="fr-CA"/>
        </w:rPr>
        <w:t>.</w:t>
      </w:r>
      <w:r w:rsidRPr="00336568">
        <w:rPr>
          <w:lang w:val="fr-CA"/>
        </w:rPr>
        <w:t xml:space="preserve"> </w:t>
      </w:r>
      <w:r w:rsidRPr="00336568">
        <w:rPr>
          <w:shd w:val="clear" w:color="auto" w:fill="FFFFFF"/>
          <w:lang w:val="fr-CA"/>
        </w:rPr>
        <w:t>L</w:t>
      </w:r>
      <w:r>
        <w:rPr>
          <w:shd w:val="clear" w:color="auto" w:fill="FFFFFF"/>
          <w:lang w:val="fr-CA"/>
        </w:rPr>
        <w:t>’</w:t>
      </w:r>
      <w:r w:rsidRPr="00336568">
        <w:rPr>
          <w:shd w:val="clear" w:color="auto" w:fill="FFFFFF"/>
          <w:lang w:val="fr-CA"/>
        </w:rPr>
        <w:t>Assemblée générale a continué d</w:t>
      </w:r>
      <w:r>
        <w:rPr>
          <w:shd w:val="clear" w:color="auto" w:fill="FFFFFF"/>
          <w:lang w:val="fr-CA"/>
        </w:rPr>
        <w:t>’</w:t>
      </w:r>
      <w:r w:rsidRPr="00336568">
        <w:rPr>
          <w:shd w:val="clear" w:color="auto" w:fill="FFFFFF"/>
          <w:lang w:val="fr-CA"/>
        </w:rPr>
        <w:t>insister sur la nécessité de s</w:t>
      </w:r>
      <w:r>
        <w:rPr>
          <w:shd w:val="clear" w:color="auto" w:fill="FFFFFF"/>
          <w:lang w:val="fr-CA"/>
        </w:rPr>
        <w:t>’</w:t>
      </w:r>
      <w:r w:rsidRPr="00336568">
        <w:rPr>
          <w:shd w:val="clear" w:color="auto" w:fill="FFFFFF"/>
          <w:lang w:val="fr-CA"/>
        </w:rPr>
        <w:t>attaquer d</w:t>
      </w:r>
      <w:r>
        <w:rPr>
          <w:shd w:val="clear" w:color="auto" w:fill="FFFFFF"/>
          <w:lang w:val="fr-CA"/>
        </w:rPr>
        <w:t>’</w:t>
      </w:r>
      <w:r w:rsidRPr="00336568">
        <w:rPr>
          <w:shd w:val="clear" w:color="auto" w:fill="FFFFFF"/>
          <w:lang w:val="fr-CA"/>
        </w:rPr>
        <w:t>urgence aux effets de la dégradation atmosphérique, notamment l</w:t>
      </w:r>
      <w:r>
        <w:rPr>
          <w:shd w:val="clear" w:color="auto" w:fill="FFFFFF"/>
          <w:lang w:val="fr-CA"/>
        </w:rPr>
        <w:t>’</w:t>
      </w:r>
      <w:r w:rsidRPr="00336568">
        <w:rPr>
          <w:shd w:val="clear" w:color="auto" w:fill="FFFFFF"/>
          <w:lang w:val="fr-CA"/>
        </w:rPr>
        <w:t>augmentation des températures à l</w:t>
      </w:r>
      <w:r>
        <w:rPr>
          <w:shd w:val="clear" w:color="auto" w:fill="FFFFFF"/>
          <w:lang w:val="fr-CA"/>
        </w:rPr>
        <w:t>’</w:t>
      </w:r>
      <w:r w:rsidRPr="00336568">
        <w:rPr>
          <w:shd w:val="clear" w:color="auto" w:fill="FFFFFF"/>
          <w:lang w:val="fr-CA"/>
        </w:rPr>
        <w:t>échelle mondiale, l</w:t>
      </w:r>
      <w:r>
        <w:rPr>
          <w:shd w:val="clear" w:color="auto" w:fill="FFFFFF"/>
          <w:lang w:val="fr-CA"/>
        </w:rPr>
        <w:t>’</w:t>
      </w:r>
      <w:r w:rsidRPr="00336568">
        <w:rPr>
          <w:shd w:val="clear" w:color="auto" w:fill="FFFFFF"/>
          <w:lang w:val="fr-CA"/>
        </w:rPr>
        <w:t>élévation du niveau de la mer et l</w:t>
      </w:r>
      <w:r>
        <w:rPr>
          <w:shd w:val="clear" w:color="auto" w:fill="FFFFFF"/>
          <w:lang w:val="fr-CA"/>
        </w:rPr>
        <w:t>’</w:t>
      </w:r>
      <w:r w:rsidRPr="00336568">
        <w:rPr>
          <w:shd w:val="clear" w:color="auto" w:fill="FFFFFF"/>
          <w:lang w:val="fr-CA"/>
        </w:rPr>
        <w:t>acidification des océans, ainsi qu</w:t>
      </w:r>
      <w:r>
        <w:rPr>
          <w:shd w:val="clear" w:color="auto" w:fill="FFFFFF"/>
          <w:lang w:val="fr-CA"/>
        </w:rPr>
        <w:t>’</w:t>
      </w:r>
      <w:r w:rsidRPr="00336568">
        <w:rPr>
          <w:shd w:val="clear" w:color="auto" w:fill="FFFFFF"/>
          <w:lang w:val="fr-CA"/>
        </w:rPr>
        <w:t>aux répercussions des autres changements climatiques qui se font lourdement sentir dans les zones côtières et les pays côtiers de faible élévation</w:t>
      </w:r>
      <w:r w:rsidRPr="00336568">
        <w:rPr>
          <w:lang w:val="fr-CA"/>
        </w:rPr>
        <w:t>, parmi lesquels nombre de pays parmi les moins avancés et de petits États insulaires en développement, estimant qu</w:t>
      </w:r>
      <w:r>
        <w:rPr>
          <w:lang w:val="fr-CA"/>
        </w:rPr>
        <w:t>’</w:t>
      </w:r>
      <w:r w:rsidRPr="00336568">
        <w:rPr>
          <w:lang w:val="fr-CA"/>
        </w:rPr>
        <w:t>il en allait de la survie de bien des sociétés</w:t>
      </w:r>
      <w:r w:rsidRPr="00F22830">
        <w:rPr>
          <w:rStyle w:val="FootnoteReference"/>
        </w:rPr>
        <w:footnoteReference w:id="25"/>
      </w:r>
      <w:r w:rsidRPr="00F22925">
        <w:rPr>
          <w:lang w:val="fr-CA"/>
        </w:rPr>
        <w:t>.</w:t>
      </w:r>
      <w:bookmarkEnd w:id="4"/>
      <w:r>
        <w:rPr>
          <w:lang w:val="fr-CA"/>
        </w:rPr>
        <w:t xml:space="preserve"> </w:t>
      </w:r>
      <w:r w:rsidRPr="00336568">
        <w:rPr>
          <w:lang w:val="fr-CA"/>
        </w:rPr>
        <w:t>Entre autres activités humaines qui ont des conséquences sur les océans, on peut citer les émissions de gaz à effet de serre par les navires, à savoir les émissions de gaz d</w:t>
      </w:r>
      <w:r>
        <w:rPr>
          <w:lang w:val="fr-CA"/>
        </w:rPr>
        <w:t>’</w:t>
      </w:r>
      <w:r w:rsidRPr="00336568">
        <w:rPr>
          <w:lang w:val="fr-CA"/>
        </w:rPr>
        <w:t>échappement, les émissions provenant des cargaisons, les émissions de gaz réfrigérants et les autres émissions, qui contribuent toutes au réchauffement climatique et aux changements climatiques</w:t>
      </w:r>
      <w:r w:rsidRPr="00F22830">
        <w:rPr>
          <w:rStyle w:val="FootnoteReference"/>
        </w:rPr>
        <w:footnoteReference w:id="26"/>
      </w:r>
      <w:r w:rsidRPr="00F22925">
        <w:rPr>
          <w:lang w:val="fr-CA"/>
        </w:rPr>
        <w:t>.</w:t>
      </w:r>
      <w:r w:rsidRPr="00336568">
        <w:rPr>
          <w:lang w:val="fr-CA"/>
        </w:rPr>
        <w:t xml:space="preserve"> </w:t>
      </w:r>
    </w:p>
    <w:p w14:paraId="7C96D1C1" w14:textId="77777777" w:rsidR="00D01ECD" w:rsidRPr="00336568" w:rsidRDefault="00D01ECD" w:rsidP="00D01ECD">
      <w:pPr>
        <w:pStyle w:val="SingleTxtG"/>
        <w:rPr>
          <w:lang w:val="fr-CA"/>
        </w:rPr>
      </w:pPr>
      <w:r>
        <w:rPr>
          <w:lang w:val="fr-CA"/>
        </w:rPr>
        <w:t>7</w:t>
      </w:r>
      <w:r w:rsidRPr="00336568">
        <w:rPr>
          <w:lang w:val="fr-CA"/>
        </w:rPr>
        <w:t>)</w:t>
      </w:r>
      <w:r w:rsidRPr="00336568">
        <w:rPr>
          <w:lang w:val="fr-CA"/>
        </w:rPr>
        <w:tab/>
        <w:t>Le sixième alinéa du préambule mentionne l</w:t>
      </w:r>
      <w:r>
        <w:rPr>
          <w:lang w:val="fr-CA"/>
        </w:rPr>
        <w:t>’</w:t>
      </w:r>
      <w:r w:rsidRPr="00336568">
        <w:rPr>
          <w:lang w:val="fr-CA"/>
        </w:rPr>
        <w:t>une des conséquences de la dégradation atmosphérique qui se fait le plus lourdement sentir sur tous les États, à savoir l</w:t>
      </w:r>
      <w:r>
        <w:rPr>
          <w:lang w:val="fr-CA"/>
        </w:rPr>
        <w:t>’</w:t>
      </w:r>
      <w:r w:rsidRPr="00336568">
        <w:rPr>
          <w:lang w:val="fr-CA"/>
        </w:rPr>
        <w:t>élévation du niveau de la mer due au réchauffement de la planète</w:t>
      </w:r>
      <w:r w:rsidRPr="00F22925">
        <w:rPr>
          <w:lang w:val="fr-CA"/>
        </w:rPr>
        <w:t>.</w:t>
      </w:r>
      <w:r w:rsidRPr="00336568">
        <w:rPr>
          <w:lang w:val="fr-CA"/>
        </w:rPr>
        <w:t xml:space="preserve"> Il appelle l</w:t>
      </w:r>
      <w:r>
        <w:rPr>
          <w:lang w:val="fr-CA"/>
        </w:rPr>
        <w:t>’</w:t>
      </w:r>
      <w:r w:rsidRPr="00336568">
        <w:rPr>
          <w:lang w:val="fr-CA"/>
        </w:rPr>
        <w:t>attention sur la situation particulière dans laquelle l</w:t>
      </w:r>
      <w:r>
        <w:rPr>
          <w:lang w:val="fr-CA"/>
        </w:rPr>
        <w:t>’</w:t>
      </w:r>
      <w:r w:rsidRPr="00336568">
        <w:rPr>
          <w:lang w:val="fr-CA"/>
        </w:rPr>
        <w:t>élévation du niveau de la mer place les zones côtières de faible élévation et les petits États insulaires en développement</w:t>
      </w:r>
      <w:r w:rsidRPr="00F22925">
        <w:rPr>
          <w:lang w:val="fr-CA"/>
        </w:rPr>
        <w:t>.</w:t>
      </w:r>
      <w:r w:rsidRPr="00336568">
        <w:rPr>
          <w:lang w:val="fr-CA"/>
        </w:rPr>
        <w:t xml:space="preserve"> Dans son cinquième rapport, le Groupe d</w:t>
      </w:r>
      <w:r>
        <w:rPr>
          <w:lang w:val="fr-CA"/>
        </w:rPr>
        <w:t>’</w:t>
      </w:r>
      <w:r w:rsidRPr="00336568">
        <w:rPr>
          <w:lang w:val="fr-CA"/>
        </w:rPr>
        <w:t>experts intergouvernemental sur l</w:t>
      </w:r>
      <w:r>
        <w:rPr>
          <w:lang w:val="fr-CA"/>
        </w:rPr>
        <w:t>’</w:t>
      </w:r>
      <w:r w:rsidRPr="00336568">
        <w:rPr>
          <w:lang w:val="fr-CA"/>
        </w:rPr>
        <w:t>évolution du climat (GIEC) a estimé que, à l</w:t>
      </w:r>
      <w:r>
        <w:rPr>
          <w:lang w:val="fr-CA"/>
        </w:rPr>
        <w:t>’</w:t>
      </w:r>
      <w:r w:rsidRPr="00336568">
        <w:rPr>
          <w:lang w:val="fr-CA"/>
        </w:rPr>
        <w:t>échelle mondiale, le niveau moyen de la mer augmenterait de 26 à 98 centimètres d</w:t>
      </w:r>
      <w:r>
        <w:rPr>
          <w:lang w:val="fr-CA"/>
        </w:rPr>
        <w:t>’</w:t>
      </w:r>
      <w:r w:rsidRPr="00336568">
        <w:rPr>
          <w:lang w:val="fr-CA"/>
        </w:rPr>
        <w:t>ici à 2100</w:t>
      </w:r>
      <w:r w:rsidRPr="00F22830">
        <w:rPr>
          <w:rStyle w:val="FootnoteReference"/>
        </w:rPr>
        <w:footnoteReference w:id="27"/>
      </w:r>
      <w:r w:rsidRPr="00F22925">
        <w:rPr>
          <w:lang w:val="fr-CA"/>
        </w:rPr>
        <w:t>.</w:t>
      </w:r>
      <w:r w:rsidRPr="00336568">
        <w:rPr>
          <w:lang w:val="fr-CA"/>
        </w:rPr>
        <w:t xml:space="preserve"> Quoique ni les chiffres exacts ni les pourcentages de </w:t>
      </w:r>
      <w:r w:rsidRPr="00336568">
        <w:rPr>
          <w:lang w:val="fr-CA"/>
        </w:rPr>
        <w:lastRenderedPageBreak/>
        <w:t>l</w:t>
      </w:r>
      <w:r>
        <w:rPr>
          <w:lang w:val="fr-CA"/>
        </w:rPr>
        <w:t>’</w:t>
      </w:r>
      <w:r w:rsidRPr="00336568">
        <w:rPr>
          <w:lang w:val="fr-CA"/>
        </w:rPr>
        <w:t>augmentation attendue ne soient encore connus, le rapport indique que l</w:t>
      </w:r>
      <w:r>
        <w:rPr>
          <w:lang w:val="fr-CA"/>
        </w:rPr>
        <w:t>’</w:t>
      </w:r>
      <w:r w:rsidRPr="00336568">
        <w:rPr>
          <w:lang w:val="fr-CA"/>
        </w:rPr>
        <w:t>élévation du niveau de la mer se poursuivra presque certainement tout au long du XXI</w:t>
      </w:r>
      <w:r w:rsidRPr="00336568">
        <w:rPr>
          <w:vertAlign w:val="superscript"/>
          <w:lang w:val="fr-CA"/>
        </w:rPr>
        <w:t>e</w:t>
      </w:r>
      <w:r w:rsidRPr="00336568">
        <w:rPr>
          <w:lang w:val="fr-CA"/>
        </w:rPr>
        <w:t> siècle et pendant plusieurs siècles encore, même si les concentrations d</w:t>
      </w:r>
      <w:r>
        <w:rPr>
          <w:lang w:val="fr-CA"/>
        </w:rPr>
        <w:t>’</w:t>
      </w:r>
      <w:r w:rsidRPr="00336568">
        <w:rPr>
          <w:lang w:val="fr-CA"/>
        </w:rPr>
        <w:t>émissions de gaz à effet de serre sont stabilisées</w:t>
      </w:r>
      <w:r w:rsidRPr="00F22925">
        <w:rPr>
          <w:lang w:val="fr-CA"/>
        </w:rPr>
        <w:t>.</w:t>
      </w:r>
      <w:r w:rsidRPr="00336568">
        <w:rPr>
          <w:lang w:val="fr-CA"/>
        </w:rPr>
        <w:t xml:space="preserve"> De surcroît, il est probable que ce phénomène ait une configuration fortement régionale et que de nombreuses régions subissent une évolution sensiblement plus importante que la moyenne mondiale</w:t>
      </w:r>
      <w:r w:rsidRPr="00F22830">
        <w:rPr>
          <w:rStyle w:val="FootnoteReference"/>
        </w:rPr>
        <w:footnoteReference w:id="28"/>
      </w:r>
      <w:r w:rsidRPr="00F22925">
        <w:rPr>
          <w:lang w:val="fr-CA"/>
        </w:rPr>
        <w:t>.</w:t>
      </w:r>
      <w:r w:rsidRPr="00336568">
        <w:rPr>
          <w:lang w:val="fr-CA"/>
        </w:rPr>
        <w:t xml:space="preserve"> Cela pourrait poser un risque grave, voire s</w:t>
      </w:r>
      <w:r>
        <w:rPr>
          <w:lang w:val="fr-CA"/>
        </w:rPr>
        <w:t>’</w:t>
      </w:r>
      <w:r w:rsidRPr="00336568">
        <w:rPr>
          <w:lang w:val="fr-CA"/>
        </w:rPr>
        <w:t>avérer catastrophique, pour bon nombre de zones côtières, en particulier les grandes zones côtières de faible élévation densément peuplées, ainsi que pour les petits États insulaires en développement</w:t>
      </w:r>
      <w:r w:rsidRPr="00F22830">
        <w:rPr>
          <w:rStyle w:val="FootnoteReference"/>
        </w:rPr>
        <w:footnoteReference w:id="29"/>
      </w:r>
      <w:r w:rsidRPr="00F22925">
        <w:rPr>
          <w:lang w:val="fr-CA"/>
        </w:rPr>
        <w:t>.</w:t>
      </w:r>
      <w:r w:rsidRPr="00336568">
        <w:rPr>
          <w:lang w:val="fr-CA"/>
        </w:rPr>
        <w:t xml:space="preserve"> </w:t>
      </w:r>
    </w:p>
    <w:p w14:paraId="40F9D8CB" w14:textId="77777777" w:rsidR="00D01ECD" w:rsidRPr="00336568" w:rsidRDefault="00D01ECD" w:rsidP="00D01ECD">
      <w:pPr>
        <w:pStyle w:val="SingleTxtG"/>
        <w:rPr>
          <w:lang w:val="fr-CA"/>
        </w:rPr>
      </w:pPr>
      <w:r>
        <w:rPr>
          <w:lang w:val="fr-CA"/>
        </w:rPr>
        <w:t>8</w:t>
      </w:r>
      <w:r w:rsidRPr="00336568">
        <w:rPr>
          <w:lang w:val="fr-CA"/>
        </w:rPr>
        <w:t>)</w:t>
      </w:r>
      <w:r w:rsidRPr="00336568">
        <w:rPr>
          <w:lang w:val="fr-CA"/>
        </w:rPr>
        <w:tab/>
        <w:t>Le sixième alinéa du préambule a trait à la corrélation entre les règles de droit international relatives à la protection de l</w:t>
      </w:r>
      <w:r>
        <w:rPr>
          <w:lang w:val="fr-CA"/>
        </w:rPr>
        <w:t>’</w:t>
      </w:r>
      <w:r w:rsidRPr="00336568">
        <w:rPr>
          <w:lang w:val="fr-CA"/>
        </w:rPr>
        <w:t>atmosphère et les règles du droit de la mer, mentionnée au paragraphe 1 du projet de directive</w:t>
      </w:r>
      <w:r>
        <w:rPr>
          <w:lang w:val="fr-CA"/>
        </w:rPr>
        <w:t> </w:t>
      </w:r>
      <w:r w:rsidRPr="00336568">
        <w:rPr>
          <w:lang w:val="fr-CA"/>
        </w:rPr>
        <w:t>9</w:t>
      </w:r>
      <w:r w:rsidRPr="00F22830">
        <w:rPr>
          <w:rStyle w:val="FootnoteReference"/>
        </w:rPr>
        <w:footnoteReference w:id="30"/>
      </w:r>
      <w:r w:rsidRPr="00F22925">
        <w:rPr>
          <w:lang w:val="fr-CA"/>
        </w:rPr>
        <w:t>.</w:t>
      </w:r>
      <w:r w:rsidRPr="00336568">
        <w:rPr>
          <w:lang w:val="fr-CA"/>
        </w:rPr>
        <w:t xml:space="preserve"> Le paragraphe 3 du projet de directive</w:t>
      </w:r>
      <w:r>
        <w:rPr>
          <w:lang w:val="fr-CA"/>
        </w:rPr>
        <w:t> </w:t>
      </w:r>
      <w:r w:rsidRPr="00336568">
        <w:rPr>
          <w:lang w:val="fr-CA"/>
        </w:rPr>
        <w:t>9 dispose qu</w:t>
      </w:r>
      <w:r>
        <w:rPr>
          <w:lang w:val="fr-CA"/>
        </w:rPr>
        <w:t>’</w:t>
      </w:r>
      <w:r w:rsidRPr="00336568">
        <w:rPr>
          <w:lang w:val="fr-CA"/>
        </w:rPr>
        <w:t>il faut prêter une attention particulière aux personnes et aux groupes vulnérables</w:t>
      </w:r>
      <w:r w:rsidRPr="00F22830">
        <w:rPr>
          <w:rStyle w:val="FootnoteReference"/>
        </w:rPr>
        <w:footnoteReference w:id="31"/>
      </w:r>
      <w:r w:rsidRPr="00F22925">
        <w:rPr>
          <w:lang w:val="fr-CA"/>
        </w:rPr>
        <w:t>.</w:t>
      </w:r>
      <w:r w:rsidRPr="00336568">
        <w:rPr>
          <w:lang w:val="fr-CA"/>
        </w:rPr>
        <w:t xml:space="preserve"> La Commission a employé le mot « notamment » pour exprimer l</w:t>
      </w:r>
      <w:r>
        <w:rPr>
          <w:lang w:val="fr-CA"/>
        </w:rPr>
        <w:t>’</w:t>
      </w:r>
      <w:r w:rsidRPr="00336568">
        <w:rPr>
          <w:lang w:val="fr-CA"/>
        </w:rPr>
        <w:t>idée que certaines régions étaient dans une situation particulière sans exclure la possibilité que d</w:t>
      </w:r>
      <w:r>
        <w:rPr>
          <w:lang w:val="fr-CA"/>
        </w:rPr>
        <w:t>’</w:t>
      </w:r>
      <w:r w:rsidRPr="00336568">
        <w:rPr>
          <w:lang w:val="fr-CA"/>
        </w:rPr>
        <w:t>autres régions soient touchées</w:t>
      </w:r>
      <w:r w:rsidRPr="00F22925">
        <w:rPr>
          <w:lang w:val="fr-CA"/>
        </w:rPr>
        <w:t>.</w:t>
      </w:r>
    </w:p>
    <w:p w14:paraId="4BFEAB01" w14:textId="77777777" w:rsidR="00D01ECD" w:rsidRPr="00336568" w:rsidRDefault="00D01ECD" w:rsidP="00D01ECD">
      <w:pPr>
        <w:pStyle w:val="SingleTxtG"/>
        <w:rPr>
          <w:lang w:val="fr-CA"/>
        </w:rPr>
      </w:pPr>
      <w:r>
        <w:rPr>
          <w:spacing w:val="1"/>
          <w:lang w:val="fr-CA"/>
        </w:rPr>
        <w:t>9</w:t>
      </w:r>
      <w:r w:rsidRPr="00336568">
        <w:rPr>
          <w:spacing w:val="1"/>
          <w:lang w:val="fr-CA"/>
        </w:rPr>
        <w:t>)</w:t>
      </w:r>
      <w:r w:rsidRPr="00336568">
        <w:rPr>
          <w:spacing w:val="1"/>
          <w:lang w:val="fr-CA"/>
        </w:rPr>
        <w:tab/>
        <w:t>Le septième alinéa du préambule met l</w:t>
      </w:r>
      <w:r>
        <w:rPr>
          <w:spacing w:val="1"/>
          <w:lang w:val="fr-CA"/>
        </w:rPr>
        <w:t>’</w:t>
      </w:r>
      <w:r w:rsidRPr="00336568">
        <w:rPr>
          <w:spacing w:val="1"/>
          <w:lang w:val="fr-CA"/>
        </w:rPr>
        <w:t>accent sur la préservation des intérêts des générations futures, aux fins notamment de la protection des droits de l</w:t>
      </w:r>
      <w:r>
        <w:rPr>
          <w:spacing w:val="1"/>
          <w:lang w:val="fr-CA"/>
        </w:rPr>
        <w:t>’</w:t>
      </w:r>
      <w:r w:rsidRPr="00336568">
        <w:rPr>
          <w:spacing w:val="1"/>
          <w:lang w:val="fr-CA"/>
        </w:rPr>
        <w:t>homme</w:t>
      </w:r>
      <w:r>
        <w:rPr>
          <w:spacing w:val="1"/>
          <w:lang w:val="fr-CA"/>
        </w:rPr>
        <w:t xml:space="preserve"> et de l’équité entre les générations</w:t>
      </w:r>
      <w:r w:rsidRPr="00F22925">
        <w:rPr>
          <w:spacing w:val="1"/>
          <w:lang w:val="fr-CA"/>
        </w:rPr>
        <w:t>.</w:t>
      </w:r>
      <w:r w:rsidRPr="00336568">
        <w:rPr>
          <w:spacing w:val="1"/>
          <w:lang w:val="fr-CA"/>
        </w:rPr>
        <w:t xml:space="preserve"> L</w:t>
      </w:r>
      <w:r>
        <w:rPr>
          <w:spacing w:val="1"/>
          <w:lang w:val="fr-CA"/>
        </w:rPr>
        <w:t>’</w:t>
      </w:r>
      <w:r w:rsidRPr="00336568">
        <w:rPr>
          <w:spacing w:val="1"/>
          <w:lang w:val="fr-CA"/>
        </w:rPr>
        <w:t>objectif est de s</w:t>
      </w:r>
      <w:r>
        <w:rPr>
          <w:spacing w:val="1"/>
          <w:lang w:val="fr-CA"/>
        </w:rPr>
        <w:t>’</w:t>
      </w:r>
      <w:r w:rsidRPr="00336568">
        <w:rPr>
          <w:spacing w:val="1"/>
          <w:lang w:val="fr-CA"/>
        </w:rPr>
        <w:t>assurer que la planète restera habitable pour ceux qui nous succéderont</w:t>
      </w:r>
      <w:r w:rsidRPr="00F22925">
        <w:rPr>
          <w:spacing w:val="1"/>
          <w:lang w:val="fr-CA"/>
        </w:rPr>
        <w:t>.</w:t>
      </w:r>
      <w:r w:rsidRPr="00336568">
        <w:rPr>
          <w:spacing w:val="1"/>
          <w:lang w:val="fr-CA"/>
        </w:rPr>
        <w:t xml:space="preserve"> Les mesures prises pour protéger l</w:t>
      </w:r>
      <w:r>
        <w:rPr>
          <w:spacing w:val="1"/>
          <w:lang w:val="fr-CA"/>
        </w:rPr>
        <w:t>’</w:t>
      </w:r>
      <w:r w:rsidRPr="00336568">
        <w:rPr>
          <w:spacing w:val="1"/>
          <w:lang w:val="fr-CA"/>
        </w:rPr>
        <w:t>atmosphère aujourd</w:t>
      </w:r>
      <w:r>
        <w:rPr>
          <w:spacing w:val="1"/>
          <w:lang w:val="fr-CA"/>
        </w:rPr>
        <w:t>’</w:t>
      </w:r>
      <w:r w:rsidRPr="00336568">
        <w:rPr>
          <w:spacing w:val="1"/>
          <w:lang w:val="fr-CA"/>
        </w:rPr>
        <w:t>hui doivent pleinement s</w:t>
      </w:r>
      <w:r>
        <w:rPr>
          <w:spacing w:val="1"/>
          <w:lang w:val="fr-CA"/>
        </w:rPr>
        <w:t>’</w:t>
      </w:r>
      <w:r w:rsidRPr="00336568">
        <w:rPr>
          <w:spacing w:val="1"/>
          <w:lang w:val="fr-CA"/>
        </w:rPr>
        <w:t>inscrire dans une perspective de préservation de la qualité de l</w:t>
      </w:r>
      <w:r>
        <w:rPr>
          <w:spacing w:val="1"/>
          <w:lang w:val="fr-CA"/>
        </w:rPr>
        <w:t>’</w:t>
      </w:r>
      <w:r w:rsidRPr="00336568">
        <w:rPr>
          <w:spacing w:val="1"/>
          <w:lang w:val="fr-CA"/>
        </w:rPr>
        <w:t>atmosphère à long terme</w:t>
      </w:r>
      <w:r w:rsidRPr="00F22925">
        <w:rPr>
          <w:spacing w:val="1"/>
          <w:lang w:val="fr-CA"/>
        </w:rPr>
        <w:t>.</w:t>
      </w:r>
      <w:r w:rsidRPr="00336568">
        <w:rPr>
          <w:spacing w:val="1"/>
          <w:lang w:val="fr-CA"/>
        </w:rPr>
        <w:t xml:space="preserve"> Le préambule de l</w:t>
      </w:r>
      <w:r>
        <w:rPr>
          <w:spacing w:val="1"/>
          <w:lang w:val="fr-CA"/>
        </w:rPr>
        <w:t>’</w:t>
      </w:r>
      <w:r w:rsidRPr="00336568">
        <w:rPr>
          <w:spacing w:val="1"/>
          <w:lang w:val="fr-CA"/>
        </w:rPr>
        <w:t>Accord de Paris dispose que les changements climatiques sont un sujet de préoccupation pour l</w:t>
      </w:r>
      <w:r>
        <w:rPr>
          <w:spacing w:val="1"/>
          <w:lang w:val="fr-CA"/>
        </w:rPr>
        <w:t>’</w:t>
      </w:r>
      <w:r w:rsidRPr="00336568">
        <w:rPr>
          <w:spacing w:val="1"/>
          <w:lang w:val="fr-CA"/>
        </w:rPr>
        <w:t>humanité tout entière et que les parties devraient, lorsqu</w:t>
      </w:r>
      <w:r>
        <w:rPr>
          <w:spacing w:val="1"/>
          <w:lang w:val="fr-CA"/>
        </w:rPr>
        <w:t>’</w:t>
      </w:r>
      <w:r w:rsidRPr="00336568">
        <w:rPr>
          <w:spacing w:val="1"/>
          <w:lang w:val="fr-CA"/>
        </w:rPr>
        <w:t>elles prennent des mesures pour faire face à ces changements, respecter, promouvoir et prendre en considération leurs obligations respectives concernant les droits de l</w:t>
      </w:r>
      <w:r>
        <w:rPr>
          <w:spacing w:val="1"/>
          <w:lang w:val="fr-CA"/>
        </w:rPr>
        <w:t>’</w:t>
      </w:r>
      <w:r w:rsidRPr="00336568">
        <w:rPr>
          <w:spacing w:val="1"/>
          <w:lang w:val="fr-CA"/>
        </w:rPr>
        <w:t>homme, ainsi que l</w:t>
      </w:r>
      <w:r>
        <w:rPr>
          <w:spacing w:val="1"/>
          <w:lang w:val="fr-CA"/>
        </w:rPr>
        <w:t>’</w:t>
      </w:r>
      <w:r w:rsidRPr="00336568">
        <w:rPr>
          <w:spacing w:val="1"/>
          <w:lang w:val="fr-CA"/>
        </w:rPr>
        <w:t>équité entre les générations</w:t>
      </w:r>
      <w:r w:rsidRPr="00F22925">
        <w:rPr>
          <w:spacing w:val="1"/>
          <w:lang w:val="fr-CA"/>
        </w:rPr>
        <w:t>.</w:t>
      </w:r>
      <w:r w:rsidRPr="00336568">
        <w:rPr>
          <w:spacing w:val="1"/>
          <w:lang w:val="fr-CA"/>
        </w:rPr>
        <w:t xml:space="preserve"> L</w:t>
      </w:r>
      <w:r>
        <w:rPr>
          <w:spacing w:val="1"/>
          <w:lang w:val="fr-CA"/>
        </w:rPr>
        <w:t>’</w:t>
      </w:r>
      <w:r w:rsidRPr="00336568">
        <w:rPr>
          <w:spacing w:val="1"/>
          <w:lang w:val="fr-CA"/>
        </w:rPr>
        <w:t>importance de tenir compte des générations futures, déjà reconnue dans le principe 1 de la Déclaration de Stockholm de 1972</w:t>
      </w:r>
      <w:r w:rsidRPr="00F22830">
        <w:rPr>
          <w:rStyle w:val="FootnoteReference"/>
        </w:rPr>
        <w:footnoteReference w:id="32"/>
      </w:r>
      <w:r w:rsidRPr="00336568">
        <w:rPr>
          <w:spacing w:val="1"/>
          <w:lang w:val="fr-CA"/>
        </w:rPr>
        <w:t>, est au cœur de la notion de développement durable telle qu</w:t>
      </w:r>
      <w:r>
        <w:rPr>
          <w:spacing w:val="1"/>
          <w:lang w:val="fr-CA"/>
        </w:rPr>
        <w:t>’</w:t>
      </w:r>
      <w:r w:rsidRPr="00336568">
        <w:rPr>
          <w:spacing w:val="1"/>
          <w:lang w:val="fr-CA"/>
        </w:rPr>
        <w:t xml:space="preserve">elle a été définie dans le rapport Brundtland de 1987 intitulé </w:t>
      </w:r>
      <w:r w:rsidRPr="00336568">
        <w:rPr>
          <w:i/>
          <w:spacing w:val="1"/>
          <w:lang w:val="fr-CA"/>
        </w:rPr>
        <w:t>Notre avenir à tous</w:t>
      </w:r>
      <w:r w:rsidRPr="00F22830">
        <w:rPr>
          <w:rStyle w:val="FootnoteReference"/>
        </w:rPr>
        <w:footnoteReference w:id="33"/>
      </w:r>
      <w:r w:rsidRPr="00336568">
        <w:rPr>
          <w:i/>
          <w:spacing w:val="1"/>
          <w:lang w:val="fr-CA"/>
        </w:rPr>
        <w:t>,</w:t>
      </w:r>
      <w:r w:rsidRPr="00336568">
        <w:rPr>
          <w:spacing w:val="1"/>
          <w:lang w:val="fr-CA"/>
        </w:rPr>
        <w:t xml:space="preserve"> et sous-tend le Programme de développement durable à l</w:t>
      </w:r>
      <w:r>
        <w:rPr>
          <w:spacing w:val="1"/>
          <w:lang w:val="fr-CA"/>
        </w:rPr>
        <w:t>’</w:t>
      </w:r>
      <w:r w:rsidRPr="00336568">
        <w:rPr>
          <w:spacing w:val="1"/>
          <w:lang w:val="fr-CA"/>
        </w:rPr>
        <w:t>horizon 2030</w:t>
      </w:r>
      <w:r w:rsidRPr="00F22830">
        <w:rPr>
          <w:rStyle w:val="FootnoteReference"/>
        </w:rPr>
        <w:footnoteReference w:id="34"/>
      </w:r>
      <w:r w:rsidRPr="00F22925">
        <w:rPr>
          <w:spacing w:val="1"/>
          <w:lang w:val="fr-CA"/>
        </w:rPr>
        <w:t>.</w:t>
      </w:r>
      <w:r w:rsidRPr="00336568">
        <w:rPr>
          <w:spacing w:val="1"/>
          <w:lang w:val="fr-CA"/>
        </w:rPr>
        <w:t xml:space="preserve"> </w:t>
      </w:r>
      <w:r w:rsidRPr="00336568">
        <w:rPr>
          <w:spacing w:val="1"/>
          <w:lang w:val="fr-CA"/>
        </w:rPr>
        <w:lastRenderedPageBreak/>
        <w:t>Elle est aussi reflétée dans la Convention de 1992 sur la diversité biologique, qui en fait mention dans son préambule</w:t>
      </w:r>
      <w:r w:rsidRPr="00F22830">
        <w:rPr>
          <w:rStyle w:val="FootnoteReference"/>
        </w:rPr>
        <w:footnoteReference w:id="35"/>
      </w:r>
      <w:r w:rsidRPr="00336568">
        <w:rPr>
          <w:spacing w:val="1"/>
          <w:lang w:val="fr-CA"/>
        </w:rPr>
        <w:t>, ainsi que dans d</w:t>
      </w:r>
      <w:r>
        <w:rPr>
          <w:spacing w:val="1"/>
          <w:lang w:val="fr-CA"/>
        </w:rPr>
        <w:t>’</w:t>
      </w:r>
      <w:r w:rsidRPr="00336568">
        <w:rPr>
          <w:spacing w:val="1"/>
          <w:lang w:val="fr-CA"/>
        </w:rPr>
        <w:t>autres traités</w:t>
      </w:r>
      <w:r w:rsidRPr="00F22830">
        <w:rPr>
          <w:rStyle w:val="FootnoteReference"/>
        </w:rPr>
        <w:footnoteReference w:id="36"/>
      </w:r>
      <w:r w:rsidRPr="00F22925">
        <w:rPr>
          <w:spacing w:val="1"/>
          <w:lang w:val="fr-CA"/>
        </w:rPr>
        <w:t>.</w:t>
      </w:r>
      <w:r w:rsidRPr="00336568">
        <w:rPr>
          <w:spacing w:val="1"/>
          <w:lang w:val="fr-CA"/>
        </w:rPr>
        <w:t xml:space="preserve"> Par exemple, aux termes du paragraphe 1 de l</w:t>
      </w:r>
      <w:r>
        <w:rPr>
          <w:spacing w:val="1"/>
          <w:lang w:val="fr-CA"/>
        </w:rPr>
        <w:t>’</w:t>
      </w:r>
      <w:r w:rsidRPr="00336568">
        <w:rPr>
          <w:spacing w:val="1"/>
          <w:lang w:val="fr-CA"/>
        </w:rPr>
        <w:t>article 3 de la Convention-cadre des Nations Unies sur les changements climatiques, « il incombe aux Parties de préserver le système climatique dans l</w:t>
      </w:r>
      <w:r>
        <w:rPr>
          <w:spacing w:val="1"/>
          <w:lang w:val="fr-CA"/>
        </w:rPr>
        <w:t>’</w:t>
      </w:r>
      <w:r w:rsidRPr="00336568">
        <w:rPr>
          <w:spacing w:val="1"/>
          <w:lang w:val="fr-CA"/>
        </w:rPr>
        <w:t>intérêt des générations présentes et futures »</w:t>
      </w:r>
      <w:r w:rsidRPr="00F22925">
        <w:rPr>
          <w:spacing w:val="1"/>
          <w:lang w:val="fr-CA"/>
        </w:rPr>
        <w:t>.</w:t>
      </w:r>
      <w:r w:rsidRPr="00336568">
        <w:rPr>
          <w:spacing w:val="1"/>
          <w:lang w:val="fr-CA"/>
        </w:rPr>
        <w:t xml:space="preserve"> En outre, dans son avis consultatif de 1996 sur la </w:t>
      </w:r>
      <w:r w:rsidRPr="00336568">
        <w:rPr>
          <w:i/>
          <w:spacing w:val="1"/>
          <w:lang w:val="fr-CA"/>
        </w:rPr>
        <w:t>Licéité de la menace ou de l</w:t>
      </w:r>
      <w:r>
        <w:rPr>
          <w:i/>
          <w:spacing w:val="1"/>
          <w:lang w:val="fr-CA"/>
        </w:rPr>
        <w:t>’</w:t>
      </w:r>
      <w:r w:rsidRPr="00336568">
        <w:rPr>
          <w:i/>
          <w:spacing w:val="1"/>
          <w:lang w:val="fr-CA"/>
        </w:rPr>
        <w:t>emploi des armes nucléaires</w:t>
      </w:r>
      <w:r w:rsidRPr="00336568">
        <w:rPr>
          <w:spacing w:val="1"/>
          <w:lang w:val="fr-CA"/>
        </w:rPr>
        <w:t>, la Cour internationale de Justice a dit, concernant l</w:t>
      </w:r>
      <w:r>
        <w:rPr>
          <w:spacing w:val="1"/>
          <w:lang w:val="fr-CA"/>
        </w:rPr>
        <w:t>’</w:t>
      </w:r>
      <w:r w:rsidRPr="00336568">
        <w:rPr>
          <w:spacing w:val="1"/>
          <w:lang w:val="fr-CA"/>
        </w:rPr>
        <w:t>arme nucléaire, qu</w:t>
      </w:r>
      <w:r>
        <w:rPr>
          <w:spacing w:val="1"/>
          <w:lang w:val="fr-CA"/>
        </w:rPr>
        <w:t>’</w:t>
      </w:r>
      <w:r w:rsidRPr="00336568">
        <w:rPr>
          <w:spacing w:val="1"/>
          <w:lang w:val="fr-CA"/>
        </w:rPr>
        <w:t>il était impératif de tenir compte « en particulier […] de son pouvoir de causer des dommages aux générations à venir</w:t>
      </w:r>
      <w:r w:rsidRPr="00F22830">
        <w:rPr>
          <w:rStyle w:val="FootnoteReference"/>
        </w:rPr>
        <w:footnoteReference w:id="37"/>
      </w:r>
      <w:r w:rsidRPr="00336568">
        <w:rPr>
          <w:spacing w:val="1"/>
          <w:lang w:val="fr-CA"/>
        </w:rPr>
        <w:t> »</w:t>
      </w:r>
      <w:r w:rsidRPr="00F22925">
        <w:rPr>
          <w:spacing w:val="1"/>
          <w:lang w:val="fr-CA"/>
        </w:rPr>
        <w:t>.</w:t>
      </w:r>
      <w:r w:rsidRPr="00336568">
        <w:rPr>
          <w:spacing w:val="1"/>
          <w:lang w:val="fr-CA"/>
        </w:rPr>
        <w:t xml:space="preserve"> </w:t>
      </w:r>
      <w:r w:rsidRPr="00336568">
        <w:rPr>
          <w:lang w:val="fr-CA"/>
        </w:rPr>
        <w:t>Dans cet alinéa du préambule, la Commission a préféré parler d</w:t>
      </w:r>
      <w:proofErr w:type="gramStart"/>
      <w:r>
        <w:rPr>
          <w:lang w:val="fr-CA"/>
        </w:rPr>
        <w:t>’</w:t>
      </w:r>
      <w:r w:rsidRPr="00336568">
        <w:rPr>
          <w:lang w:val="fr-CA"/>
        </w:rPr>
        <w:t>«</w:t>
      </w:r>
      <w:proofErr w:type="gramEnd"/>
      <w:r w:rsidRPr="00336568">
        <w:rPr>
          <w:lang w:val="fr-CA"/>
        </w:rPr>
        <w:t> intérêt » plutôt que d</w:t>
      </w:r>
      <w:r>
        <w:rPr>
          <w:lang w:val="fr-CA"/>
        </w:rPr>
        <w:t>’</w:t>
      </w:r>
      <w:r w:rsidRPr="00336568">
        <w:rPr>
          <w:lang w:val="fr-CA"/>
        </w:rPr>
        <w:t>« avantage »</w:t>
      </w:r>
      <w:r w:rsidRPr="00F22925">
        <w:rPr>
          <w:lang w:val="fr-CA"/>
        </w:rPr>
        <w:t>.</w:t>
      </w:r>
      <w:r w:rsidRPr="00336568">
        <w:rPr>
          <w:lang w:val="fr-CA"/>
        </w:rPr>
        <w:t xml:space="preserve"> Elle a employé des termes semblables dans le projet de directive 6, qui mentionne les intérêts des générations futures dans le contexte de l</w:t>
      </w:r>
      <w:proofErr w:type="gramStart"/>
      <w:r>
        <w:rPr>
          <w:lang w:val="fr-CA"/>
        </w:rPr>
        <w:t>’</w:t>
      </w:r>
      <w:r w:rsidRPr="00336568">
        <w:rPr>
          <w:lang w:val="fr-CA"/>
        </w:rPr>
        <w:t>«</w:t>
      </w:r>
      <w:proofErr w:type="gramEnd"/>
      <w:r w:rsidRPr="00336568">
        <w:rPr>
          <w:lang w:val="fr-CA"/>
        </w:rPr>
        <w:t> utilisation équitable et raisonnable de l</w:t>
      </w:r>
      <w:r>
        <w:rPr>
          <w:lang w:val="fr-CA"/>
        </w:rPr>
        <w:t>’</w:t>
      </w:r>
      <w:r w:rsidRPr="00336568">
        <w:rPr>
          <w:lang w:val="fr-CA"/>
        </w:rPr>
        <w:t>atmosphère »</w:t>
      </w:r>
      <w:r w:rsidRPr="00F22830">
        <w:rPr>
          <w:rStyle w:val="FootnoteReference"/>
        </w:rPr>
        <w:footnoteReference w:id="38"/>
      </w:r>
      <w:r w:rsidRPr="00F22925">
        <w:rPr>
          <w:lang w:val="fr-CA"/>
        </w:rPr>
        <w:t>.</w:t>
      </w:r>
      <w:r w:rsidRPr="00336568">
        <w:rPr>
          <w:lang w:val="fr-CA"/>
        </w:rPr>
        <w:t xml:space="preserve"> </w:t>
      </w:r>
    </w:p>
    <w:p w14:paraId="03F3153E" w14:textId="77777777" w:rsidR="00D01ECD" w:rsidRPr="00336568" w:rsidRDefault="00D01ECD" w:rsidP="00D01ECD">
      <w:pPr>
        <w:pStyle w:val="SingleTxtG"/>
        <w:rPr>
          <w:lang w:val="fr-CA"/>
        </w:rPr>
      </w:pPr>
      <w:r w:rsidRPr="00336568">
        <w:rPr>
          <w:lang w:val="fr-CA"/>
        </w:rPr>
        <w:lastRenderedPageBreak/>
        <w:t>1</w:t>
      </w:r>
      <w:r>
        <w:rPr>
          <w:lang w:val="fr-CA"/>
        </w:rPr>
        <w:t>0</w:t>
      </w:r>
      <w:r w:rsidRPr="00336568">
        <w:rPr>
          <w:lang w:val="fr-CA"/>
        </w:rPr>
        <w:t>)</w:t>
      </w:r>
      <w:r w:rsidRPr="00336568">
        <w:rPr>
          <w:lang w:val="fr-CA"/>
        </w:rPr>
        <w:tab/>
        <w:t>Le huitième alinéa du préambule rappelle les conditions auxquelles, en 2013, la Commission a inscrit le sujet au programme de travail de sa soixante-cinquième session</w:t>
      </w:r>
      <w:r w:rsidRPr="00F22830">
        <w:rPr>
          <w:rStyle w:val="FootnoteReference"/>
        </w:rPr>
        <w:footnoteReference w:id="39"/>
      </w:r>
      <w:r w:rsidRPr="00F22925">
        <w:rPr>
          <w:lang w:val="fr-CA"/>
        </w:rPr>
        <w:t>.</w:t>
      </w:r>
      <w:r w:rsidRPr="00336568">
        <w:rPr>
          <w:lang w:val="fr-CA"/>
        </w:rPr>
        <w:t xml:space="preserve"> </w:t>
      </w:r>
      <w:r>
        <w:rPr>
          <w:lang w:val="fr-CA"/>
        </w:rPr>
        <w:t xml:space="preserve">Il a été jugé important de mentionner certaines </w:t>
      </w:r>
      <w:r w:rsidRPr="00336568">
        <w:rPr>
          <w:lang w:val="fr-CA"/>
        </w:rPr>
        <w:t xml:space="preserve">des conditions fixées en 2013 étant donné </w:t>
      </w:r>
      <w:r>
        <w:rPr>
          <w:lang w:val="fr-CA"/>
        </w:rPr>
        <w:t>que ces conditions</w:t>
      </w:r>
      <w:r w:rsidRPr="00336568">
        <w:rPr>
          <w:lang w:val="fr-CA"/>
        </w:rPr>
        <w:t xml:space="preserve"> limitent considérablement le champ du sujet et le résultat des travaux de la Commission</w:t>
      </w:r>
      <w:r w:rsidRPr="00F22925">
        <w:rPr>
          <w:lang w:val="fr-CA"/>
        </w:rPr>
        <w:t>.</w:t>
      </w:r>
      <w:r w:rsidRPr="00336568">
        <w:rPr>
          <w:lang w:val="fr-CA"/>
        </w:rPr>
        <w:t xml:space="preserve"> </w:t>
      </w:r>
      <w:r>
        <w:rPr>
          <w:lang w:val="fr-CA"/>
        </w:rPr>
        <w:t>Le huitième alinéa</w:t>
      </w:r>
      <w:r w:rsidRPr="00336568">
        <w:rPr>
          <w:lang w:val="fr-CA"/>
        </w:rPr>
        <w:t xml:space="preserve"> doit être lu conjointement avec le paragraphe 2 du projet de directive 2 (« Champ d</w:t>
      </w:r>
      <w:r>
        <w:rPr>
          <w:lang w:val="fr-CA"/>
        </w:rPr>
        <w:t>’</w:t>
      </w:r>
      <w:r w:rsidRPr="00336568">
        <w:rPr>
          <w:lang w:val="fr-CA"/>
        </w:rPr>
        <w:t>application »)</w:t>
      </w:r>
      <w:r w:rsidRPr="00F22925">
        <w:rPr>
          <w:lang w:val="fr-CA"/>
        </w:rPr>
        <w:t>.</w:t>
      </w:r>
    </w:p>
    <w:p w14:paraId="1F8290C4" w14:textId="77777777" w:rsidR="00D01ECD" w:rsidRPr="00E164D9" w:rsidRDefault="00D01ECD" w:rsidP="00D01ECD">
      <w:pPr>
        <w:pStyle w:val="H23G"/>
        <w:ind w:left="1701" w:hanging="1701"/>
        <w:rPr>
          <w:lang w:val="fr-FR"/>
        </w:rPr>
      </w:pPr>
      <w:r>
        <w:rPr>
          <w:lang w:val="fr-FR"/>
        </w:rPr>
        <w:tab/>
      </w:r>
      <w:r>
        <w:rPr>
          <w:lang w:val="fr-FR"/>
        </w:rPr>
        <w:tab/>
      </w:r>
      <w:r w:rsidRPr="00E164D9">
        <w:rPr>
          <w:lang w:val="fr-FR"/>
        </w:rPr>
        <w:tab/>
      </w:r>
      <w:r>
        <w:rPr>
          <w:lang w:val="fr-FR"/>
        </w:rPr>
        <w:t>Directive</w:t>
      </w:r>
      <w:r w:rsidRPr="00E164D9">
        <w:rPr>
          <w:lang w:val="fr-FR"/>
        </w:rPr>
        <w:t xml:space="preserve"> 1 </w:t>
      </w:r>
      <w:r w:rsidRPr="00E164D9">
        <w:rPr>
          <w:lang w:val="fr-FR"/>
        </w:rPr>
        <w:br/>
      </w:r>
      <w:r>
        <w:rPr>
          <w:lang w:val="fr-FR"/>
        </w:rPr>
        <w:t>Définitions</w:t>
      </w:r>
    </w:p>
    <w:p w14:paraId="6EF86D3E" w14:textId="77777777" w:rsidR="00D01ECD" w:rsidRPr="009E2208" w:rsidRDefault="00D01ECD" w:rsidP="00D01ECD">
      <w:pPr>
        <w:pStyle w:val="SingleTxtG"/>
        <w:keepNext/>
        <w:ind w:left="1701" w:firstLine="567"/>
        <w:rPr>
          <w:lang w:val="fr-FR"/>
        </w:rPr>
      </w:pPr>
      <w:r w:rsidRPr="009E2208">
        <w:rPr>
          <w:lang w:val="fr-FR"/>
        </w:rPr>
        <w:t>Aux fins du présent projet de directives</w:t>
      </w:r>
      <w:r>
        <w:rPr>
          <w:lang w:val="fr-FR"/>
        </w:rPr>
        <w:t> :</w:t>
      </w:r>
    </w:p>
    <w:p w14:paraId="4B83CCA6" w14:textId="77777777" w:rsidR="00D01ECD" w:rsidRPr="009E2208" w:rsidRDefault="00D01ECD" w:rsidP="00D01ECD">
      <w:pPr>
        <w:pStyle w:val="SingleTxtG"/>
        <w:ind w:left="1701" w:firstLine="567"/>
        <w:rPr>
          <w:lang w:val="fr-FR"/>
        </w:rPr>
      </w:pPr>
      <w:r w:rsidRPr="00F809A1">
        <w:rPr>
          <w:i/>
          <w:iCs/>
          <w:lang w:val="fr-FR"/>
        </w:rPr>
        <w:t>a</w:t>
      </w:r>
      <w:r w:rsidRPr="009E2208">
        <w:rPr>
          <w:lang w:val="fr-FR"/>
        </w:rPr>
        <w:t>)</w:t>
      </w:r>
      <w:r w:rsidRPr="00336568">
        <w:rPr>
          <w:lang w:val="fr-CA"/>
        </w:rPr>
        <w:tab/>
      </w:r>
      <w:r w:rsidRPr="009E2208">
        <w:rPr>
          <w:lang w:val="fr-FR"/>
        </w:rPr>
        <w:t>On entend par «</w:t>
      </w:r>
      <w:r>
        <w:rPr>
          <w:lang w:val="fr-FR"/>
        </w:rPr>
        <w:t> </w:t>
      </w:r>
      <w:r w:rsidRPr="009E2208">
        <w:rPr>
          <w:lang w:val="fr-FR"/>
        </w:rPr>
        <w:t>atmosphère</w:t>
      </w:r>
      <w:r>
        <w:rPr>
          <w:lang w:val="fr-FR"/>
        </w:rPr>
        <w:t> </w:t>
      </w:r>
      <w:r w:rsidRPr="009E2208">
        <w:rPr>
          <w:lang w:val="fr-FR"/>
        </w:rPr>
        <w:t>» l</w:t>
      </w:r>
      <w:r>
        <w:rPr>
          <w:lang w:val="fr-FR"/>
        </w:rPr>
        <w:t>’</w:t>
      </w:r>
      <w:r w:rsidRPr="009E2208">
        <w:rPr>
          <w:lang w:val="fr-FR"/>
        </w:rPr>
        <w:t>enveloppe gazeuse qui entoure la Terre</w:t>
      </w:r>
      <w:r>
        <w:rPr>
          <w:lang w:val="fr-FR"/>
        </w:rPr>
        <w:t> ;</w:t>
      </w:r>
    </w:p>
    <w:p w14:paraId="1A4ED027" w14:textId="77777777" w:rsidR="00D01ECD" w:rsidRPr="009E2208" w:rsidRDefault="00D01ECD" w:rsidP="00D01ECD">
      <w:pPr>
        <w:pStyle w:val="SingleTxtG"/>
        <w:ind w:left="1701" w:firstLine="567"/>
        <w:rPr>
          <w:lang w:val="fr-FR"/>
        </w:rPr>
      </w:pPr>
      <w:r w:rsidRPr="00F809A1">
        <w:rPr>
          <w:i/>
          <w:iCs/>
          <w:lang w:val="fr-FR"/>
        </w:rPr>
        <w:t>b</w:t>
      </w:r>
      <w:r w:rsidRPr="009E2208">
        <w:rPr>
          <w:lang w:val="fr-FR"/>
        </w:rPr>
        <w:t>)</w:t>
      </w:r>
      <w:r w:rsidRPr="00336568">
        <w:rPr>
          <w:lang w:val="fr-CA"/>
        </w:rPr>
        <w:tab/>
      </w:r>
      <w:r w:rsidRPr="009E2208">
        <w:rPr>
          <w:lang w:val="fr-FR"/>
        </w:rPr>
        <w:t>On entend par «</w:t>
      </w:r>
      <w:r>
        <w:rPr>
          <w:lang w:val="fr-FR"/>
        </w:rPr>
        <w:t> </w:t>
      </w:r>
      <w:r w:rsidRPr="009E2208">
        <w:rPr>
          <w:lang w:val="fr-FR"/>
        </w:rPr>
        <w:t>pollution atmosphérique</w:t>
      </w:r>
      <w:r>
        <w:rPr>
          <w:lang w:val="fr-FR"/>
        </w:rPr>
        <w:t> </w:t>
      </w:r>
      <w:r w:rsidRPr="009E2208">
        <w:rPr>
          <w:lang w:val="fr-FR"/>
        </w:rPr>
        <w:t>» l</w:t>
      </w:r>
      <w:r>
        <w:rPr>
          <w:lang w:val="fr-FR"/>
        </w:rPr>
        <w:t>’</w:t>
      </w:r>
      <w:r w:rsidRPr="009E2208">
        <w:rPr>
          <w:lang w:val="fr-FR"/>
        </w:rPr>
        <w:t>émission ou le rejet dans l</w:t>
      </w:r>
      <w:r>
        <w:rPr>
          <w:lang w:val="fr-FR"/>
        </w:rPr>
        <w:t>’</w:t>
      </w:r>
      <w:r w:rsidRPr="009E2208">
        <w:rPr>
          <w:lang w:val="fr-FR"/>
        </w:rPr>
        <w:t>atmosphère par l</w:t>
      </w:r>
      <w:r>
        <w:rPr>
          <w:lang w:val="fr-FR"/>
        </w:rPr>
        <w:t>’</w:t>
      </w:r>
      <w:r w:rsidRPr="009E2208">
        <w:rPr>
          <w:lang w:val="fr-FR"/>
        </w:rPr>
        <w:t>homme, directement ou indirectement, de substances ou d</w:t>
      </w:r>
      <w:r>
        <w:rPr>
          <w:lang w:val="fr-FR"/>
        </w:rPr>
        <w:t>’</w:t>
      </w:r>
      <w:r w:rsidRPr="009E2208">
        <w:rPr>
          <w:lang w:val="fr-FR"/>
        </w:rPr>
        <w:t>énergie contribuant à des effets nocifs significatifs qui s</w:t>
      </w:r>
      <w:r>
        <w:rPr>
          <w:lang w:val="fr-FR"/>
        </w:rPr>
        <w:t>’</w:t>
      </w:r>
      <w:r w:rsidRPr="009E2208">
        <w:rPr>
          <w:lang w:val="fr-FR"/>
        </w:rPr>
        <w:t>étendent au-delà de l</w:t>
      </w:r>
      <w:r>
        <w:rPr>
          <w:lang w:val="fr-FR"/>
        </w:rPr>
        <w:t>’</w:t>
      </w:r>
      <w:r w:rsidRPr="009E2208">
        <w:rPr>
          <w:lang w:val="fr-FR"/>
        </w:rPr>
        <w:t>État d</w:t>
      </w:r>
      <w:r>
        <w:rPr>
          <w:lang w:val="fr-FR"/>
        </w:rPr>
        <w:t>’</w:t>
      </w:r>
      <w:r w:rsidRPr="009E2208">
        <w:rPr>
          <w:lang w:val="fr-FR"/>
        </w:rPr>
        <w:t>origine et qui sont de nature à mettre en danger la vie et la santé de l</w:t>
      </w:r>
      <w:r>
        <w:rPr>
          <w:lang w:val="fr-FR"/>
        </w:rPr>
        <w:t>’</w:t>
      </w:r>
      <w:r w:rsidRPr="009E2208">
        <w:rPr>
          <w:lang w:val="fr-FR"/>
        </w:rPr>
        <w:t>homme et l</w:t>
      </w:r>
      <w:r>
        <w:rPr>
          <w:lang w:val="fr-FR"/>
        </w:rPr>
        <w:t>’</w:t>
      </w:r>
      <w:r w:rsidRPr="009E2208">
        <w:rPr>
          <w:lang w:val="fr-FR"/>
        </w:rPr>
        <w:t>environnement naturel de la Terre</w:t>
      </w:r>
      <w:r>
        <w:rPr>
          <w:lang w:val="fr-FR"/>
        </w:rPr>
        <w:t> ;</w:t>
      </w:r>
    </w:p>
    <w:p w14:paraId="5C942575" w14:textId="77777777" w:rsidR="00D01ECD" w:rsidRPr="009E2208" w:rsidRDefault="00D01ECD" w:rsidP="00D01ECD">
      <w:pPr>
        <w:pStyle w:val="SingleTxtG"/>
        <w:ind w:left="1701" w:firstLine="567"/>
        <w:rPr>
          <w:lang w:val="fr-FR"/>
        </w:rPr>
      </w:pPr>
      <w:r w:rsidRPr="00F809A1">
        <w:rPr>
          <w:i/>
          <w:iCs/>
          <w:lang w:val="fr-FR"/>
        </w:rPr>
        <w:t>c</w:t>
      </w:r>
      <w:r w:rsidRPr="009E2208">
        <w:rPr>
          <w:lang w:val="fr-FR"/>
        </w:rPr>
        <w:t>)</w:t>
      </w:r>
      <w:r w:rsidRPr="00336568">
        <w:rPr>
          <w:lang w:val="fr-CA"/>
        </w:rPr>
        <w:tab/>
      </w:r>
      <w:r w:rsidRPr="009E2208">
        <w:rPr>
          <w:lang w:val="fr-FR"/>
        </w:rPr>
        <w:t>On entend par «</w:t>
      </w:r>
      <w:r>
        <w:rPr>
          <w:lang w:val="fr-FR"/>
        </w:rPr>
        <w:t> </w:t>
      </w:r>
      <w:r w:rsidRPr="009E2208">
        <w:rPr>
          <w:lang w:val="fr-FR"/>
        </w:rPr>
        <w:t>dégradation atmosphérique</w:t>
      </w:r>
      <w:r>
        <w:rPr>
          <w:lang w:val="fr-FR"/>
        </w:rPr>
        <w:t> </w:t>
      </w:r>
      <w:r w:rsidRPr="009E2208">
        <w:rPr>
          <w:lang w:val="fr-FR"/>
        </w:rPr>
        <w:t>» toute altération par l</w:t>
      </w:r>
      <w:r>
        <w:rPr>
          <w:lang w:val="fr-FR"/>
        </w:rPr>
        <w:t>’</w:t>
      </w:r>
      <w:r w:rsidRPr="009E2208">
        <w:rPr>
          <w:lang w:val="fr-FR"/>
        </w:rPr>
        <w:t>homme, directement ou indirectement, des conditions atmosphériques, qui a des effets nocifs significatifs de nature à mettre en danger la vie et la santé de l</w:t>
      </w:r>
      <w:r>
        <w:rPr>
          <w:lang w:val="fr-FR"/>
        </w:rPr>
        <w:t>’</w:t>
      </w:r>
      <w:r w:rsidRPr="009E2208">
        <w:rPr>
          <w:lang w:val="fr-FR"/>
        </w:rPr>
        <w:t>homme et l</w:t>
      </w:r>
      <w:r>
        <w:rPr>
          <w:lang w:val="fr-FR"/>
        </w:rPr>
        <w:t>’</w:t>
      </w:r>
      <w:r w:rsidRPr="009E2208">
        <w:rPr>
          <w:lang w:val="fr-FR"/>
        </w:rPr>
        <w:t>environnement naturel de la Terre</w:t>
      </w:r>
      <w:r w:rsidRPr="00F22925">
        <w:rPr>
          <w:lang w:val="fr-FR"/>
        </w:rPr>
        <w:t>.</w:t>
      </w:r>
    </w:p>
    <w:p w14:paraId="3A6DE9AC" w14:textId="77777777" w:rsidR="00D01ECD" w:rsidRPr="00336568" w:rsidRDefault="00D01ECD" w:rsidP="00D01ECD">
      <w:pPr>
        <w:pStyle w:val="H23G"/>
        <w:rPr>
          <w:lang w:val="fr-CA"/>
        </w:rPr>
      </w:pPr>
      <w:r>
        <w:rPr>
          <w:lang w:val="fr-FR"/>
        </w:rPr>
        <w:tab/>
      </w:r>
      <w:r w:rsidRPr="00336568">
        <w:rPr>
          <w:lang w:val="fr-CA"/>
        </w:rPr>
        <w:tab/>
      </w:r>
      <w:r w:rsidRPr="00336568">
        <w:rPr>
          <w:lang w:val="fr-CA"/>
        </w:rPr>
        <w:tab/>
        <w:t>Commentaire</w:t>
      </w:r>
    </w:p>
    <w:p w14:paraId="25AA421A" w14:textId="77777777" w:rsidR="00D01ECD" w:rsidRPr="00336568" w:rsidRDefault="00D01ECD" w:rsidP="00D01ECD">
      <w:pPr>
        <w:pStyle w:val="SingleTxtG"/>
        <w:rPr>
          <w:lang w:val="fr-CA"/>
        </w:rPr>
      </w:pPr>
      <w:r w:rsidRPr="00336568">
        <w:rPr>
          <w:lang w:val="fr-CA"/>
        </w:rPr>
        <w:t>1)</w:t>
      </w:r>
      <w:r w:rsidRPr="00336568">
        <w:rPr>
          <w:lang w:val="fr-CA"/>
        </w:rPr>
        <w:tab/>
        <w:t>Le projet de directive</w:t>
      </w:r>
      <w:r>
        <w:rPr>
          <w:lang w:val="fr-CA"/>
        </w:rPr>
        <w:t xml:space="preserve"> 1</w:t>
      </w:r>
      <w:r w:rsidRPr="00336568">
        <w:rPr>
          <w:lang w:val="fr-CA"/>
        </w:rPr>
        <w:t>, relatif aux « définitions », établit comment il faut comprendre les termes employés dans le présent projet de directives</w:t>
      </w:r>
      <w:r w:rsidRPr="00F22925">
        <w:rPr>
          <w:lang w:val="fr-CA"/>
        </w:rPr>
        <w:t>.</w:t>
      </w:r>
      <w:r w:rsidRPr="00336568">
        <w:rPr>
          <w:lang w:val="fr-CA"/>
        </w:rPr>
        <w:t xml:space="preserve"> Les définitions données sont fournies uniquement « aux fins du présent projet de directives », et ne sont aucunement destinées à avoir une incidence sur les autres définitions des termes considérés qui sont ou seront retenues en droit international</w:t>
      </w:r>
      <w:r w:rsidRPr="00F22925">
        <w:rPr>
          <w:lang w:val="fr-CA"/>
        </w:rPr>
        <w:t>.</w:t>
      </w:r>
      <w:r w:rsidRPr="00336568">
        <w:rPr>
          <w:lang w:val="fr-CA"/>
        </w:rPr>
        <w:t xml:space="preserve"> </w:t>
      </w:r>
    </w:p>
    <w:p w14:paraId="0FB6B863" w14:textId="77777777" w:rsidR="00D01ECD" w:rsidRPr="00336568" w:rsidRDefault="00D01ECD" w:rsidP="00D01ECD">
      <w:pPr>
        <w:pStyle w:val="SingleTxtG"/>
        <w:rPr>
          <w:lang w:val="fr-CA"/>
        </w:rPr>
      </w:pPr>
      <w:r w:rsidRPr="00336568">
        <w:rPr>
          <w:lang w:val="fr-CA"/>
        </w:rPr>
        <w:t>2)</w:t>
      </w:r>
      <w:r w:rsidRPr="00336568">
        <w:rPr>
          <w:lang w:val="fr-CA"/>
        </w:rPr>
        <w:tab/>
        <w:t>Les instruments internationaux pertinents ne définissent pas le terme « atmosphère »</w:t>
      </w:r>
      <w:r w:rsidRPr="00F22925">
        <w:rPr>
          <w:lang w:val="fr-CA"/>
        </w:rPr>
        <w:t>.</w:t>
      </w:r>
      <w:r w:rsidRPr="00336568">
        <w:rPr>
          <w:lang w:val="fr-CA"/>
        </w:rPr>
        <w:t xml:space="preserve"> Aux fins du présent projet de directives, une</w:t>
      </w:r>
      <w:r w:rsidRPr="00336568" w:rsidDel="00E575F4">
        <w:rPr>
          <w:lang w:val="fr-CA"/>
        </w:rPr>
        <w:t xml:space="preserve"> </w:t>
      </w:r>
      <w:r w:rsidRPr="00336568">
        <w:rPr>
          <w:lang w:val="fr-CA"/>
        </w:rPr>
        <w:t>définition de travail en est donnée à l</w:t>
      </w:r>
      <w:r>
        <w:rPr>
          <w:lang w:val="fr-CA"/>
        </w:rPr>
        <w:t>’</w:t>
      </w:r>
      <w:r w:rsidRPr="00336568">
        <w:rPr>
          <w:lang w:val="fr-CA"/>
        </w:rPr>
        <w:t>alinéa </w:t>
      </w:r>
      <w:r w:rsidRPr="00336568">
        <w:rPr>
          <w:i/>
          <w:iCs/>
          <w:lang w:val="fr-CA"/>
        </w:rPr>
        <w:t>a</w:t>
      </w:r>
      <w:r w:rsidRPr="00336568">
        <w:rPr>
          <w:lang w:val="fr-CA"/>
        </w:rPr>
        <w:t>)</w:t>
      </w:r>
      <w:r w:rsidRPr="00F22925">
        <w:rPr>
          <w:lang w:val="fr-CA"/>
        </w:rPr>
        <w:t>.</w:t>
      </w:r>
      <w:r w:rsidRPr="00336568">
        <w:rPr>
          <w:lang w:val="fr-CA"/>
        </w:rPr>
        <w:t xml:space="preserve"> Cette définition s</w:t>
      </w:r>
      <w:r>
        <w:rPr>
          <w:lang w:val="fr-CA"/>
        </w:rPr>
        <w:t>’</w:t>
      </w:r>
      <w:r w:rsidRPr="00336568">
        <w:rPr>
          <w:lang w:val="fr-CA"/>
        </w:rPr>
        <w:t>inspire de celle proposée par le GIEC</w:t>
      </w:r>
      <w:r w:rsidRPr="00F22830">
        <w:rPr>
          <w:rStyle w:val="FootnoteReference"/>
        </w:rPr>
        <w:footnoteReference w:id="40"/>
      </w:r>
      <w:r w:rsidRPr="00F22925">
        <w:rPr>
          <w:lang w:val="fr-CA"/>
        </w:rPr>
        <w:t>.</w:t>
      </w:r>
    </w:p>
    <w:p w14:paraId="6FCC78BE" w14:textId="77777777" w:rsidR="00D01ECD" w:rsidRPr="00336568" w:rsidRDefault="00D01ECD" w:rsidP="00D01ECD">
      <w:pPr>
        <w:pStyle w:val="SingleTxtG"/>
        <w:rPr>
          <w:lang w:val="fr-CA"/>
        </w:rPr>
      </w:pPr>
      <w:r w:rsidRPr="00336568">
        <w:rPr>
          <w:lang w:val="fr-CA"/>
        </w:rPr>
        <w:t>3)</w:t>
      </w:r>
      <w:r w:rsidRPr="00336568">
        <w:rPr>
          <w:lang w:val="fr-CA"/>
        </w:rPr>
        <w:tab/>
        <w:t>La définition fournie est conforme à l</w:t>
      </w:r>
      <w:r>
        <w:rPr>
          <w:lang w:val="fr-CA"/>
        </w:rPr>
        <w:t>’</w:t>
      </w:r>
      <w:r w:rsidRPr="00336568">
        <w:rPr>
          <w:lang w:val="fr-CA"/>
        </w:rPr>
        <w:t>approche des scientifiques</w:t>
      </w:r>
      <w:r w:rsidRPr="00F22925">
        <w:rPr>
          <w:lang w:val="fr-CA"/>
        </w:rPr>
        <w:t>.</w:t>
      </w:r>
      <w:r w:rsidRPr="00336568">
        <w:rPr>
          <w:lang w:val="fr-CA"/>
        </w:rPr>
        <w:t xml:space="preserve"> Selon ces derniers, l</w:t>
      </w:r>
      <w:r>
        <w:rPr>
          <w:lang w:val="fr-CA"/>
        </w:rPr>
        <w:t>’</w:t>
      </w:r>
      <w:r w:rsidRPr="00336568">
        <w:rPr>
          <w:lang w:val="fr-CA"/>
        </w:rPr>
        <w:t>atmosphère est une enveloppe composée de différentes couches, ou « </w:t>
      </w:r>
      <w:proofErr w:type="spellStart"/>
      <w:r w:rsidRPr="00336568">
        <w:rPr>
          <w:i/>
          <w:iCs/>
          <w:lang w:val="fr-CA"/>
        </w:rPr>
        <w:t>atmospheric</w:t>
      </w:r>
      <w:proofErr w:type="spellEnd"/>
      <w:r w:rsidRPr="00336568">
        <w:rPr>
          <w:i/>
          <w:iCs/>
          <w:lang w:val="fr-CA"/>
        </w:rPr>
        <w:t xml:space="preserve"> </w:t>
      </w:r>
      <w:proofErr w:type="spellStart"/>
      <w:r w:rsidRPr="00336568">
        <w:rPr>
          <w:i/>
          <w:iCs/>
          <w:lang w:val="fr-CA"/>
        </w:rPr>
        <w:t>shells</w:t>
      </w:r>
      <w:proofErr w:type="spellEnd"/>
      <w:r w:rsidRPr="00336568">
        <w:rPr>
          <w:lang w:val="fr-CA"/>
        </w:rPr>
        <w:t> »</w:t>
      </w:r>
      <w:r w:rsidRPr="00F22830">
        <w:rPr>
          <w:rStyle w:val="FootnoteReference"/>
        </w:rPr>
        <w:footnoteReference w:id="41"/>
      </w:r>
      <w:r w:rsidRPr="00F22925">
        <w:rPr>
          <w:lang w:val="fr-CA"/>
        </w:rPr>
        <w:t>.</w:t>
      </w:r>
      <w:r w:rsidRPr="00336568">
        <w:rPr>
          <w:lang w:val="fr-CA"/>
        </w:rPr>
        <w:t xml:space="preserve"> Elle s</w:t>
      </w:r>
      <w:r>
        <w:rPr>
          <w:lang w:val="fr-CA"/>
        </w:rPr>
        <w:t>’</w:t>
      </w:r>
      <w:r w:rsidRPr="00336568">
        <w:rPr>
          <w:lang w:val="fr-CA"/>
        </w:rPr>
        <w:t>étend verticalement en partant de la surface de la Terre, qui est la limite inférieure de l</w:t>
      </w:r>
      <w:r>
        <w:rPr>
          <w:lang w:val="fr-CA"/>
        </w:rPr>
        <w:t>’</w:t>
      </w:r>
      <w:r w:rsidRPr="00336568">
        <w:rPr>
          <w:lang w:val="fr-CA"/>
        </w:rPr>
        <w:t>atmosphère sèche</w:t>
      </w:r>
      <w:r w:rsidRPr="00F22925">
        <w:rPr>
          <w:lang w:val="fr-CA"/>
        </w:rPr>
        <w:t>.</w:t>
      </w:r>
      <w:r w:rsidRPr="00336568">
        <w:rPr>
          <w:lang w:val="fr-CA"/>
        </w:rPr>
        <w:t xml:space="preserve"> La composition moyenne de l</w:t>
      </w:r>
      <w:r>
        <w:rPr>
          <w:lang w:val="fr-CA"/>
        </w:rPr>
        <w:t>’</w:t>
      </w:r>
      <w:r w:rsidRPr="00336568">
        <w:rPr>
          <w:lang w:val="fr-CA"/>
        </w:rPr>
        <w:t>atmosphère jusqu</w:t>
      </w:r>
      <w:r>
        <w:rPr>
          <w:lang w:val="fr-CA"/>
        </w:rPr>
        <w:t>’</w:t>
      </w:r>
      <w:r w:rsidRPr="00336568">
        <w:rPr>
          <w:lang w:val="fr-CA"/>
        </w:rPr>
        <w:t>à une altitude de 25 kilomètres est la suivante : azote (78,08 %), oxygène (20,95 %), ainsi qu</w:t>
      </w:r>
      <w:r>
        <w:rPr>
          <w:lang w:val="fr-CA"/>
        </w:rPr>
        <w:t>’</w:t>
      </w:r>
      <w:r w:rsidRPr="00336568">
        <w:rPr>
          <w:lang w:val="fr-CA"/>
        </w:rPr>
        <w:t>un certain nombre de gaz présents à l</w:t>
      </w:r>
      <w:r>
        <w:rPr>
          <w:lang w:val="fr-CA"/>
        </w:rPr>
        <w:t>’</w:t>
      </w:r>
      <w:r w:rsidRPr="00336568">
        <w:rPr>
          <w:lang w:val="fr-CA"/>
        </w:rPr>
        <w:t>état de trace, tels que l</w:t>
      </w:r>
      <w:r>
        <w:rPr>
          <w:lang w:val="fr-CA"/>
        </w:rPr>
        <w:t>’</w:t>
      </w:r>
      <w:r w:rsidRPr="00336568">
        <w:rPr>
          <w:lang w:val="fr-CA"/>
        </w:rPr>
        <w:t>argon (0,93 %), l</w:t>
      </w:r>
      <w:r>
        <w:rPr>
          <w:lang w:val="fr-CA"/>
        </w:rPr>
        <w:t>’</w:t>
      </w:r>
      <w:r w:rsidRPr="00336568">
        <w:rPr>
          <w:lang w:val="fr-CA"/>
        </w:rPr>
        <w:t xml:space="preserve">hélium et des gaz à effet de serre qui influent sur le rayonnement, </w:t>
      </w:r>
      <w:r w:rsidRPr="00336568">
        <w:rPr>
          <w:lang w:val="fr-CA"/>
        </w:rPr>
        <w:lastRenderedPageBreak/>
        <w:t>comme le dioxyde de carbone (0,035 %) et l</w:t>
      </w:r>
      <w:r>
        <w:rPr>
          <w:lang w:val="fr-CA"/>
        </w:rPr>
        <w:t>’</w:t>
      </w:r>
      <w:r w:rsidRPr="00336568">
        <w:rPr>
          <w:lang w:val="fr-CA"/>
        </w:rPr>
        <w:t>ozone ; l</w:t>
      </w:r>
      <w:r>
        <w:rPr>
          <w:lang w:val="fr-CA"/>
        </w:rPr>
        <w:t>’</w:t>
      </w:r>
      <w:r w:rsidRPr="00336568">
        <w:rPr>
          <w:lang w:val="fr-CA"/>
        </w:rPr>
        <w:t>atmosphère contient également de la vapeur d</w:t>
      </w:r>
      <w:r>
        <w:rPr>
          <w:lang w:val="fr-CA"/>
        </w:rPr>
        <w:t>’</w:t>
      </w:r>
      <w:r w:rsidRPr="00336568">
        <w:rPr>
          <w:lang w:val="fr-CA"/>
        </w:rPr>
        <w:t>eau (effet de serre) en proportions très variables</w:t>
      </w:r>
      <w:r w:rsidRPr="00F22830">
        <w:rPr>
          <w:rStyle w:val="FootnoteReference"/>
        </w:rPr>
        <w:footnoteReference w:id="42"/>
      </w:r>
      <w:r w:rsidRPr="00F22925">
        <w:rPr>
          <w:lang w:val="fr-CA"/>
        </w:rPr>
        <w:t>.</w:t>
      </w:r>
      <w:r w:rsidRPr="00336568">
        <w:rPr>
          <w:lang w:val="fr-CA"/>
        </w:rPr>
        <w:t xml:space="preserve"> L</w:t>
      </w:r>
      <w:r>
        <w:rPr>
          <w:lang w:val="fr-CA"/>
        </w:rPr>
        <w:t>’</w:t>
      </w:r>
      <w:r w:rsidRPr="00336568">
        <w:rPr>
          <w:lang w:val="fr-CA"/>
        </w:rPr>
        <w:t>atmosphère contient également des nuages et des aérosols</w:t>
      </w:r>
      <w:r w:rsidRPr="00F22830">
        <w:rPr>
          <w:rStyle w:val="FootnoteReference"/>
        </w:rPr>
        <w:footnoteReference w:id="43"/>
      </w:r>
      <w:r w:rsidRPr="00F22925">
        <w:rPr>
          <w:lang w:val="fr-CA"/>
        </w:rPr>
        <w:t>.</w:t>
      </w:r>
      <w:r w:rsidRPr="00336568">
        <w:rPr>
          <w:lang w:val="fr-CA"/>
        </w:rPr>
        <w:t xml:space="preserve"> Elle est divisée verticalement en cinq couches, délimitées en fonction de la température</w:t>
      </w:r>
      <w:r w:rsidRPr="00F22925">
        <w:rPr>
          <w:lang w:val="fr-CA"/>
        </w:rPr>
        <w:t>.</w:t>
      </w:r>
      <w:r w:rsidRPr="00336568">
        <w:rPr>
          <w:lang w:val="fr-CA"/>
        </w:rPr>
        <w:t xml:space="preserve"> De bas en haut, ces couches sont les suivantes : la troposphère, la stratosphère, la mésosphère, la thermosphère et l</w:t>
      </w:r>
      <w:r>
        <w:rPr>
          <w:lang w:val="fr-CA"/>
        </w:rPr>
        <w:t>’</w:t>
      </w:r>
      <w:r w:rsidRPr="00336568">
        <w:rPr>
          <w:lang w:val="fr-CA"/>
        </w:rPr>
        <w:t>exosphère</w:t>
      </w:r>
      <w:r w:rsidRPr="00F22925">
        <w:rPr>
          <w:lang w:val="fr-CA"/>
        </w:rPr>
        <w:t>.</w:t>
      </w:r>
      <w:r w:rsidRPr="00336568">
        <w:rPr>
          <w:lang w:val="fr-CA"/>
        </w:rPr>
        <w:t xml:space="preserve"> Environ 80 % de la masse d</w:t>
      </w:r>
      <w:r>
        <w:rPr>
          <w:lang w:val="fr-CA"/>
        </w:rPr>
        <w:t>’</w:t>
      </w:r>
      <w:r w:rsidRPr="00336568">
        <w:rPr>
          <w:lang w:val="fr-CA"/>
        </w:rPr>
        <w:t>air se trouve dans la troposphère et 20 % dans la stratosphère</w:t>
      </w:r>
      <w:r w:rsidRPr="00F22925">
        <w:rPr>
          <w:lang w:val="fr-CA"/>
        </w:rPr>
        <w:t>.</w:t>
      </w:r>
      <w:r w:rsidRPr="00336568">
        <w:rPr>
          <w:lang w:val="fr-CA"/>
        </w:rPr>
        <w:t xml:space="preserve"> L</w:t>
      </w:r>
      <w:r>
        <w:rPr>
          <w:lang w:val="fr-CA"/>
        </w:rPr>
        <w:t>’</w:t>
      </w:r>
      <w:r w:rsidRPr="00336568">
        <w:rPr>
          <w:lang w:val="fr-CA"/>
        </w:rPr>
        <w:t>atmosphère est cette fine couche brumeuse que l</w:t>
      </w:r>
      <w:r>
        <w:rPr>
          <w:lang w:val="fr-CA"/>
        </w:rPr>
        <w:t>’</w:t>
      </w:r>
      <w:r w:rsidRPr="00336568">
        <w:rPr>
          <w:lang w:val="fr-CA"/>
        </w:rPr>
        <w:t>on voit autour de la Terre depuis l</w:t>
      </w:r>
      <w:r>
        <w:rPr>
          <w:lang w:val="fr-CA"/>
        </w:rPr>
        <w:t>’</w:t>
      </w:r>
      <w:r w:rsidRPr="00336568">
        <w:rPr>
          <w:lang w:val="fr-CA"/>
        </w:rPr>
        <w:t>espace (d</w:t>
      </w:r>
      <w:r>
        <w:rPr>
          <w:lang w:val="fr-CA"/>
        </w:rPr>
        <w:t>’</w:t>
      </w:r>
      <w:r w:rsidRPr="00336568">
        <w:rPr>
          <w:lang w:val="fr-CA"/>
        </w:rPr>
        <w:t>une épaisseur inférieure à 1 % du rayon de la Terre)</w:t>
      </w:r>
      <w:r w:rsidRPr="00F22925">
        <w:rPr>
          <w:lang w:val="fr-CA"/>
        </w:rPr>
        <w:t>.</w:t>
      </w:r>
      <w:r w:rsidRPr="00336568">
        <w:rPr>
          <w:lang w:val="fr-CA"/>
        </w:rPr>
        <w:t xml:space="preserve"> D</w:t>
      </w:r>
      <w:r>
        <w:rPr>
          <w:lang w:val="fr-CA"/>
        </w:rPr>
        <w:t>’</w:t>
      </w:r>
      <w:r w:rsidRPr="00336568">
        <w:rPr>
          <w:lang w:val="fr-CA"/>
        </w:rPr>
        <w:t>un point de vue scientifique, ces couches qui forment l</w:t>
      </w:r>
      <w:proofErr w:type="gramStart"/>
      <w:r>
        <w:rPr>
          <w:lang w:val="fr-CA"/>
        </w:rPr>
        <w:t>’</w:t>
      </w:r>
      <w:r w:rsidRPr="00336568">
        <w:rPr>
          <w:lang w:val="fr-CA"/>
        </w:rPr>
        <w:t>«</w:t>
      </w:r>
      <w:proofErr w:type="gramEnd"/>
      <w:r w:rsidRPr="00336568">
        <w:rPr>
          <w:lang w:val="fr-CA"/>
        </w:rPr>
        <w:t> </w:t>
      </w:r>
      <w:r w:rsidRPr="00336568">
        <w:rPr>
          <w:i/>
          <w:lang w:val="fr-CA"/>
        </w:rPr>
        <w:t>atmosphère inférieure</w:t>
      </w:r>
      <w:r w:rsidRPr="00336568">
        <w:rPr>
          <w:lang w:val="fr-CA"/>
        </w:rPr>
        <w:t> » vont jusqu</w:t>
      </w:r>
      <w:r>
        <w:rPr>
          <w:lang w:val="fr-CA"/>
        </w:rPr>
        <w:t>’</w:t>
      </w:r>
      <w:r w:rsidRPr="00336568">
        <w:rPr>
          <w:lang w:val="fr-CA"/>
        </w:rPr>
        <w:t>à une hauteur moyenne de 50 kilomètres ; au-delà se trouve l</w:t>
      </w:r>
      <w:r>
        <w:rPr>
          <w:lang w:val="fr-CA"/>
        </w:rPr>
        <w:t>’</w:t>
      </w:r>
      <w:r w:rsidRPr="00336568">
        <w:rPr>
          <w:lang w:val="fr-CA"/>
        </w:rPr>
        <w:t>« </w:t>
      </w:r>
      <w:r w:rsidRPr="00336568">
        <w:rPr>
          <w:i/>
          <w:lang w:val="fr-CA"/>
        </w:rPr>
        <w:t>atmosphère supérieure</w:t>
      </w:r>
      <w:r w:rsidRPr="00336568">
        <w:rPr>
          <w:lang w:val="fr-CA"/>
        </w:rPr>
        <w:t> »</w:t>
      </w:r>
      <w:r w:rsidRPr="00F22830">
        <w:rPr>
          <w:rStyle w:val="FootnoteReference"/>
        </w:rPr>
        <w:footnoteReference w:id="44"/>
      </w:r>
      <w:r w:rsidRPr="00F22925">
        <w:rPr>
          <w:lang w:val="fr-CA"/>
        </w:rPr>
        <w:t>.</w:t>
      </w:r>
      <w:r w:rsidRPr="00336568">
        <w:rPr>
          <w:lang w:val="fr-CA"/>
        </w:rPr>
        <w:t xml:space="preserve"> La température de l</w:t>
      </w:r>
      <w:r>
        <w:rPr>
          <w:lang w:val="fr-CA"/>
        </w:rPr>
        <w:t>’</w:t>
      </w:r>
      <w:r w:rsidRPr="00336568">
        <w:rPr>
          <w:lang w:val="fr-CA"/>
        </w:rPr>
        <w:t>atmosphère varie en fonction de l</w:t>
      </w:r>
      <w:r>
        <w:rPr>
          <w:lang w:val="fr-CA"/>
        </w:rPr>
        <w:t>’</w:t>
      </w:r>
      <w:r w:rsidRPr="00336568">
        <w:rPr>
          <w:lang w:val="fr-CA"/>
        </w:rPr>
        <w:t>altitude</w:t>
      </w:r>
      <w:r w:rsidRPr="00F22925">
        <w:rPr>
          <w:lang w:val="fr-CA"/>
        </w:rPr>
        <w:t>.</w:t>
      </w:r>
      <w:r w:rsidRPr="00336568">
        <w:rPr>
          <w:lang w:val="fr-CA"/>
        </w:rPr>
        <w:t xml:space="preserve"> Dans la troposphère (qui s</w:t>
      </w:r>
      <w:r>
        <w:rPr>
          <w:lang w:val="fr-CA"/>
        </w:rPr>
        <w:t>’</w:t>
      </w:r>
      <w:r w:rsidRPr="00336568">
        <w:rPr>
          <w:lang w:val="fr-CA"/>
        </w:rPr>
        <w:t>étend jusqu</w:t>
      </w:r>
      <w:r>
        <w:rPr>
          <w:lang w:val="fr-CA"/>
        </w:rPr>
        <w:t>’</w:t>
      </w:r>
      <w:r w:rsidRPr="00336568">
        <w:rPr>
          <w:lang w:val="fr-CA"/>
        </w:rPr>
        <w:t>à la tropopause, à une hauteur d</w:t>
      </w:r>
      <w:r>
        <w:rPr>
          <w:lang w:val="fr-CA"/>
        </w:rPr>
        <w:t>’</w:t>
      </w:r>
      <w:r w:rsidRPr="00336568">
        <w:rPr>
          <w:lang w:val="fr-CA"/>
        </w:rPr>
        <w:t>environ 12 km), la température baisse à mesure que l</w:t>
      </w:r>
      <w:r>
        <w:rPr>
          <w:lang w:val="fr-CA"/>
        </w:rPr>
        <w:t>’</w:t>
      </w:r>
      <w:r w:rsidRPr="00336568">
        <w:rPr>
          <w:lang w:val="fr-CA"/>
        </w:rPr>
        <w:t>on s</w:t>
      </w:r>
      <w:r>
        <w:rPr>
          <w:lang w:val="fr-CA"/>
        </w:rPr>
        <w:t>’</w:t>
      </w:r>
      <w:r w:rsidRPr="00336568">
        <w:rPr>
          <w:lang w:val="fr-CA"/>
        </w:rPr>
        <w:t>élève en raison de l</w:t>
      </w:r>
      <w:r>
        <w:rPr>
          <w:lang w:val="fr-CA"/>
        </w:rPr>
        <w:t>’</w:t>
      </w:r>
      <w:r w:rsidRPr="00336568">
        <w:rPr>
          <w:lang w:val="fr-CA"/>
        </w:rPr>
        <w:t>absorption et de la réflexion des rayons du soleil par la surface de la planète</w:t>
      </w:r>
      <w:bookmarkStart w:id="5" w:name="_Ref520278734"/>
      <w:r w:rsidRPr="00F22830">
        <w:rPr>
          <w:rStyle w:val="FootnoteReference"/>
        </w:rPr>
        <w:footnoteReference w:id="45"/>
      </w:r>
      <w:bookmarkEnd w:id="5"/>
      <w:r w:rsidRPr="00F22925">
        <w:rPr>
          <w:lang w:val="fr-CA"/>
        </w:rPr>
        <w:t>.</w:t>
      </w:r>
      <w:r w:rsidRPr="00336568">
        <w:rPr>
          <w:lang w:val="fr-CA"/>
        </w:rPr>
        <w:t xml:space="preserve"> </w:t>
      </w:r>
      <w:proofErr w:type="gramStart"/>
      <w:r w:rsidRPr="00336568">
        <w:rPr>
          <w:lang w:val="fr-CA"/>
        </w:rPr>
        <w:t>Par contre</w:t>
      </w:r>
      <w:proofErr w:type="gramEnd"/>
      <w:r w:rsidRPr="00336568">
        <w:rPr>
          <w:lang w:val="fr-CA"/>
        </w:rPr>
        <w:t>, dans la stratosphère (qui s</w:t>
      </w:r>
      <w:r>
        <w:rPr>
          <w:lang w:val="fr-CA"/>
        </w:rPr>
        <w:t>’</w:t>
      </w:r>
      <w:r w:rsidRPr="00336568">
        <w:rPr>
          <w:lang w:val="fr-CA"/>
        </w:rPr>
        <w:t>étend jusqu</w:t>
      </w:r>
      <w:r>
        <w:rPr>
          <w:lang w:val="fr-CA"/>
        </w:rPr>
        <w:t>’</w:t>
      </w:r>
      <w:r w:rsidRPr="00336568">
        <w:rPr>
          <w:lang w:val="fr-CA"/>
        </w:rPr>
        <w:t>à la stratopause, à environ 50 km), la température augmente à mesure que l</w:t>
      </w:r>
      <w:r>
        <w:rPr>
          <w:lang w:val="fr-CA"/>
        </w:rPr>
        <w:t>’</w:t>
      </w:r>
      <w:r w:rsidRPr="00336568">
        <w:rPr>
          <w:lang w:val="fr-CA"/>
        </w:rPr>
        <w:t>on s</w:t>
      </w:r>
      <w:r>
        <w:rPr>
          <w:lang w:val="fr-CA"/>
        </w:rPr>
        <w:t>’</w:t>
      </w:r>
      <w:r w:rsidRPr="00336568">
        <w:rPr>
          <w:lang w:val="fr-CA"/>
        </w:rPr>
        <w:t>élève</w:t>
      </w:r>
      <w:r w:rsidRPr="00F22830">
        <w:rPr>
          <w:rStyle w:val="FootnoteReference"/>
        </w:rPr>
        <w:footnoteReference w:id="46"/>
      </w:r>
      <w:r w:rsidRPr="00336568">
        <w:rPr>
          <w:lang w:val="fr-CA"/>
        </w:rPr>
        <w:t xml:space="preserve"> en raison de l</w:t>
      </w:r>
      <w:r>
        <w:rPr>
          <w:lang w:val="fr-CA"/>
        </w:rPr>
        <w:t>’</w:t>
      </w:r>
      <w:r w:rsidRPr="00336568">
        <w:rPr>
          <w:lang w:val="fr-CA"/>
        </w:rPr>
        <w:t>absorption du rayonnement ultraviolet par l</w:t>
      </w:r>
      <w:r>
        <w:rPr>
          <w:lang w:val="fr-CA"/>
        </w:rPr>
        <w:t>’</w:t>
      </w:r>
      <w:r w:rsidRPr="00336568">
        <w:rPr>
          <w:lang w:val="fr-CA"/>
        </w:rPr>
        <w:t>ozone</w:t>
      </w:r>
      <w:r w:rsidRPr="00F22925">
        <w:rPr>
          <w:lang w:val="fr-CA"/>
        </w:rPr>
        <w:t>.</w:t>
      </w:r>
      <w:r w:rsidRPr="00336568">
        <w:rPr>
          <w:lang w:val="fr-CA"/>
        </w:rPr>
        <w:t xml:space="preserve"> Dans la mésosphère (qui s</w:t>
      </w:r>
      <w:r>
        <w:rPr>
          <w:lang w:val="fr-CA"/>
        </w:rPr>
        <w:t>’</w:t>
      </w:r>
      <w:r w:rsidRPr="00336568">
        <w:rPr>
          <w:lang w:val="fr-CA"/>
        </w:rPr>
        <w:t>étend jusqu</w:t>
      </w:r>
      <w:r>
        <w:rPr>
          <w:lang w:val="fr-CA"/>
        </w:rPr>
        <w:t>’</w:t>
      </w:r>
      <w:r w:rsidRPr="00336568">
        <w:rPr>
          <w:lang w:val="fr-CA"/>
        </w:rPr>
        <w:t>à la mésopause, à une hauteur d</w:t>
      </w:r>
      <w:r>
        <w:rPr>
          <w:lang w:val="fr-CA"/>
        </w:rPr>
        <w:t>’</w:t>
      </w:r>
      <w:r w:rsidRPr="00336568">
        <w:rPr>
          <w:lang w:val="fr-CA"/>
        </w:rPr>
        <w:t>environ 80 km), les températures recommencent à chuter à mesure que l</w:t>
      </w:r>
      <w:r>
        <w:rPr>
          <w:lang w:val="fr-CA"/>
        </w:rPr>
        <w:t>’</w:t>
      </w:r>
      <w:r w:rsidRPr="00336568">
        <w:rPr>
          <w:lang w:val="fr-CA"/>
        </w:rPr>
        <w:t>on s</w:t>
      </w:r>
      <w:r>
        <w:rPr>
          <w:lang w:val="fr-CA"/>
        </w:rPr>
        <w:t>’</w:t>
      </w:r>
      <w:r w:rsidRPr="00336568">
        <w:rPr>
          <w:lang w:val="fr-CA"/>
        </w:rPr>
        <w:t>élève et, dans la thermosphère, les températures augmentent rapidement sous l</w:t>
      </w:r>
      <w:r>
        <w:rPr>
          <w:lang w:val="fr-CA"/>
        </w:rPr>
        <w:t>’</w:t>
      </w:r>
      <w:r w:rsidRPr="00336568">
        <w:rPr>
          <w:lang w:val="fr-CA"/>
        </w:rPr>
        <w:t>effet du rayonnement X et du rayonnement ultraviolet du soleil</w:t>
      </w:r>
      <w:r w:rsidRPr="00F22925">
        <w:rPr>
          <w:lang w:val="fr-CA"/>
        </w:rPr>
        <w:t>.</w:t>
      </w:r>
      <w:r w:rsidRPr="00336568">
        <w:rPr>
          <w:lang w:val="fr-CA"/>
        </w:rPr>
        <w:t xml:space="preserve"> L</w:t>
      </w:r>
      <w:r>
        <w:rPr>
          <w:lang w:val="fr-CA"/>
        </w:rPr>
        <w:t>’</w:t>
      </w:r>
      <w:r w:rsidRPr="00336568">
        <w:rPr>
          <w:lang w:val="fr-CA"/>
        </w:rPr>
        <w:t>atmosphère ne possède pas de limite supérieure bien définie</w:t>
      </w:r>
      <w:bookmarkStart w:id="6" w:name="_Ref520280110"/>
      <w:r w:rsidRPr="00F22830">
        <w:rPr>
          <w:rStyle w:val="FootnoteReference"/>
        </w:rPr>
        <w:footnoteReference w:id="47"/>
      </w:r>
      <w:bookmarkEnd w:id="6"/>
      <w:r w:rsidRPr="00F22925">
        <w:rPr>
          <w:lang w:val="fr-CA"/>
        </w:rPr>
        <w:t>.</w:t>
      </w:r>
    </w:p>
    <w:p w14:paraId="1240F581" w14:textId="77777777" w:rsidR="00D01ECD" w:rsidRPr="00336568" w:rsidRDefault="00D01ECD" w:rsidP="00D01ECD">
      <w:pPr>
        <w:pStyle w:val="SingleTxtG"/>
        <w:rPr>
          <w:lang w:val="fr-CA"/>
        </w:rPr>
      </w:pPr>
      <w:r w:rsidRPr="00336568">
        <w:rPr>
          <w:lang w:val="fr-CA"/>
        </w:rPr>
        <w:t>4)</w:t>
      </w:r>
      <w:r w:rsidRPr="00336568">
        <w:rPr>
          <w:lang w:val="fr-CA"/>
        </w:rPr>
        <w:tab/>
        <w:t>Indépendamment des caractéristiques physiques de l</w:t>
      </w:r>
      <w:r>
        <w:rPr>
          <w:lang w:val="fr-CA"/>
        </w:rPr>
        <w:t>’</w:t>
      </w:r>
      <w:r w:rsidRPr="00336568">
        <w:rPr>
          <w:lang w:val="fr-CA"/>
        </w:rPr>
        <w:t>atmosphère, il est important de tenir compte du fait que celle-ci est un milieu en mouvement constant à travers lequel les substances polluantes et de dégradation sont « transportées et propagées » (voir le deuxième alinéa du préambule)</w:t>
      </w:r>
      <w:r w:rsidRPr="00F22925">
        <w:rPr>
          <w:lang w:val="fr-CA"/>
        </w:rPr>
        <w:t>.</w:t>
      </w:r>
      <w:r w:rsidRPr="00336568">
        <w:rPr>
          <w:lang w:val="fr-CA"/>
        </w:rPr>
        <w:t xml:space="preserve"> De fait, le mouvement transfrontière à longue distance de substances polluantes constitue l</w:t>
      </w:r>
      <w:r>
        <w:rPr>
          <w:lang w:val="fr-CA"/>
        </w:rPr>
        <w:t>’</w:t>
      </w:r>
      <w:r w:rsidRPr="00336568">
        <w:rPr>
          <w:lang w:val="fr-CA"/>
        </w:rPr>
        <w:t>un des grands problèmes de l</w:t>
      </w:r>
      <w:r>
        <w:rPr>
          <w:lang w:val="fr-CA"/>
        </w:rPr>
        <w:t>’</w:t>
      </w:r>
      <w:r w:rsidRPr="00336568">
        <w:rPr>
          <w:lang w:val="fr-CA"/>
        </w:rPr>
        <w:t>environnement atmosphérique, de même que l</w:t>
      </w:r>
      <w:r>
        <w:rPr>
          <w:lang w:val="fr-CA"/>
        </w:rPr>
        <w:t>’</w:t>
      </w:r>
      <w:r w:rsidRPr="00336568">
        <w:rPr>
          <w:lang w:val="fr-CA"/>
        </w:rPr>
        <w:t>appauvrissement de la couche d</w:t>
      </w:r>
      <w:r>
        <w:rPr>
          <w:lang w:val="fr-CA"/>
        </w:rPr>
        <w:t>’</w:t>
      </w:r>
      <w:r w:rsidRPr="00336568">
        <w:rPr>
          <w:lang w:val="fr-CA"/>
        </w:rPr>
        <w:t>ozone et les changements climatiques</w:t>
      </w:r>
      <w:r w:rsidRPr="00F22925">
        <w:rPr>
          <w:lang w:val="fr-CA"/>
        </w:rPr>
        <w:t>.</w:t>
      </w:r>
    </w:p>
    <w:p w14:paraId="61171FAA" w14:textId="77777777" w:rsidR="00D01ECD" w:rsidRPr="00336568" w:rsidRDefault="00D01ECD" w:rsidP="00D01ECD">
      <w:pPr>
        <w:pStyle w:val="SingleTxtG"/>
        <w:rPr>
          <w:lang w:val="fr-CA"/>
        </w:rPr>
      </w:pPr>
      <w:r w:rsidRPr="00336568">
        <w:rPr>
          <w:spacing w:val="-2"/>
          <w:lang w:val="fr-CA"/>
        </w:rPr>
        <w:t>5)</w:t>
      </w:r>
      <w:r w:rsidRPr="00336568">
        <w:rPr>
          <w:spacing w:val="-2"/>
          <w:lang w:val="fr-CA"/>
        </w:rPr>
        <w:tab/>
        <w:t>L</w:t>
      </w:r>
      <w:r>
        <w:rPr>
          <w:spacing w:val="-2"/>
          <w:lang w:val="fr-CA"/>
        </w:rPr>
        <w:t>’</w:t>
      </w:r>
      <w:r w:rsidRPr="00336568">
        <w:rPr>
          <w:spacing w:val="-2"/>
          <w:lang w:val="fr-CA"/>
        </w:rPr>
        <w:t>alinéa </w:t>
      </w:r>
      <w:r w:rsidRPr="00336568">
        <w:rPr>
          <w:i/>
          <w:iCs/>
          <w:spacing w:val="-2"/>
          <w:lang w:val="fr-CA"/>
        </w:rPr>
        <w:t>b</w:t>
      </w:r>
      <w:r w:rsidRPr="00336568">
        <w:rPr>
          <w:spacing w:val="-2"/>
          <w:lang w:val="fr-CA"/>
        </w:rPr>
        <w:t>) définit la pollution atmosphérique et traite de la pollution atmosphérique transfrontière, tandis que l</w:t>
      </w:r>
      <w:r>
        <w:rPr>
          <w:spacing w:val="-2"/>
          <w:lang w:val="fr-CA"/>
        </w:rPr>
        <w:t>’</w:t>
      </w:r>
      <w:r w:rsidRPr="00336568">
        <w:rPr>
          <w:spacing w:val="-2"/>
          <w:lang w:val="fr-CA"/>
        </w:rPr>
        <w:t>alinéa </w:t>
      </w:r>
      <w:r w:rsidRPr="00336568">
        <w:rPr>
          <w:i/>
          <w:iCs/>
          <w:spacing w:val="-2"/>
          <w:lang w:val="fr-CA"/>
        </w:rPr>
        <w:t>c</w:t>
      </w:r>
      <w:r w:rsidRPr="00336568">
        <w:rPr>
          <w:spacing w:val="-2"/>
          <w:lang w:val="fr-CA"/>
        </w:rPr>
        <w:t>) définit la dégradation atmosphérique et traite des problèmes atmosphériques mondiaux</w:t>
      </w:r>
      <w:r w:rsidRPr="00F22925">
        <w:rPr>
          <w:spacing w:val="-2"/>
          <w:lang w:val="fr-CA"/>
        </w:rPr>
        <w:t>.</w:t>
      </w:r>
      <w:r w:rsidRPr="00336568">
        <w:rPr>
          <w:spacing w:val="-2"/>
          <w:lang w:val="fr-CA"/>
        </w:rPr>
        <w:t xml:space="preserve"> L</w:t>
      </w:r>
      <w:r>
        <w:rPr>
          <w:spacing w:val="-2"/>
          <w:lang w:val="fr-CA"/>
        </w:rPr>
        <w:t>’</w:t>
      </w:r>
      <w:r w:rsidRPr="00336568">
        <w:rPr>
          <w:spacing w:val="-2"/>
          <w:lang w:val="fr-CA"/>
        </w:rPr>
        <w:t xml:space="preserve">emploi </w:t>
      </w:r>
      <w:r>
        <w:rPr>
          <w:spacing w:val="-2"/>
          <w:lang w:val="fr-CA"/>
        </w:rPr>
        <w:t>des termes</w:t>
      </w:r>
      <w:r w:rsidRPr="00336568">
        <w:rPr>
          <w:spacing w:val="-2"/>
          <w:lang w:val="fr-CA"/>
        </w:rPr>
        <w:t xml:space="preserve"> « </w:t>
      </w:r>
      <w:r w:rsidRPr="00336568">
        <w:rPr>
          <w:iCs/>
          <w:spacing w:val="-2"/>
          <w:lang w:val="fr-CA"/>
        </w:rPr>
        <w:t>par l</w:t>
      </w:r>
      <w:r>
        <w:rPr>
          <w:iCs/>
          <w:spacing w:val="-2"/>
          <w:lang w:val="fr-CA"/>
        </w:rPr>
        <w:t>’</w:t>
      </w:r>
      <w:r w:rsidRPr="00336568">
        <w:rPr>
          <w:iCs/>
          <w:spacing w:val="-2"/>
          <w:lang w:val="fr-CA"/>
        </w:rPr>
        <w:t>homme</w:t>
      </w:r>
      <w:r w:rsidRPr="00336568">
        <w:rPr>
          <w:spacing w:val="-2"/>
          <w:lang w:val="fr-CA"/>
        </w:rPr>
        <w:t> » aux alinéas </w:t>
      </w:r>
      <w:r w:rsidRPr="00336568">
        <w:rPr>
          <w:i/>
          <w:iCs/>
          <w:spacing w:val="-2"/>
          <w:lang w:val="fr-CA"/>
        </w:rPr>
        <w:t>b</w:t>
      </w:r>
      <w:r w:rsidRPr="00336568">
        <w:rPr>
          <w:spacing w:val="-2"/>
          <w:lang w:val="fr-CA"/>
        </w:rPr>
        <w:t xml:space="preserve">) et </w:t>
      </w:r>
      <w:r w:rsidRPr="00336568">
        <w:rPr>
          <w:i/>
          <w:iCs/>
          <w:spacing w:val="-2"/>
          <w:lang w:val="fr-CA"/>
        </w:rPr>
        <w:t>c</w:t>
      </w:r>
      <w:r w:rsidRPr="00336568">
        <w:rPr>
          <w:spacing w:val="-2"/>
          <w:lang w:val="fr-CA"/>
        </w:rPr>
        <w:t xml:space="preserve">) indique clairement que le projet de directives traite de la pollution atmosphérique et de </w:t>
      </w:r>
      <w:r w:rsidRPr="00336568">
        <w:rPr>
          <w:spacing w:val="-2"/>
          <w:lang w:val="fr-CA"/>
        </w:rPr>
        <w:lastRenderedPageBreak/>
        <w:t>la dégradation atmosphérique d</w:t>
      </w:r>
      <w:r>
        <w:rPr>
          <w:spacing w:val="-2"/>
          <w:lang w:val="fr-CA"/>
        </w:rPr>
        <w:t>’</w:t>
      </w:r>
      <w:r w:rsidRPr="00336568">
        <w:rPr>
          <w:spacing w:val="-2"/>
          <w:lang w:val="fr-CA"/>
        </w:rPr>
        <w:t>origine anthropique</w:t>
      </w:r>
      <w:r w:rsidRPr="00F22925">
        <w:rPr>
          <w:spacing w:val="-2"/>
          <w:lang w:val="fr-CA"/>
        </w:rPr>
        <w:t>.</w:t>
      </w:r>
      <w:r w:rsidRPr="00336568">
        <w:rPr>
          <w:spacing w:val="-2"/>
          <w:lang w:val="fr-CA"/>
        </w:rPr>
        <w:t xml:space="preserve"> L</w:t>
      </w:r>
      <w:r>
        <w:rPr>
          <w:spacing w:val="-2"/>
          <w:lang w:val="fr-CA"/>
        </w:rPr>
        <w:t>’</w:t>
      </w:r>
      <w:r w:rsidRPr="00336568">
        <w:rPr>
          <w:spacing w:val="-2"/>
          <w:lang w:val="fr-CA"/>
        </w:rPr>
        <w:t>accent mis sur des activités directes ou indirectes de l</w:t>
      </w:r>
      <w:r>
        <w:rPr>
          <w:spacing w:val="-2"/>
          <w:lang w:val="fr-CA"/>
        </w:rPr>
        <w:t>’</w:t>
      </w:r>
      <w:r w:rsidRPr="00336568">
        <w:rPr>
          <w:spacing w:val="-2"/>
          <w:lang w:val="fr-CA"/>
        </w:rPr>
        <w:t xml:space="preserve">homme </w:t>
      </w:r>
      <w:r w:rsidRPr="00336568">
        <w:rPr>
          <w:lang w:val="fr-CA"/>
        </w:rPr>
        <w:t xml:space="preserve">correspond à une intention délibérée étant donné que </w:t>
      </w:r>
      <w:r>
        <w:rPr>
          <w:lang w:val="fr-CA"/>
        </w:rPr>
        <w:t>le présent projet de</w:t>
      </w:r>
      <w:r w:rsidRPr="00336568">
        <w:rPr>
          <w:lang w:val="fr-CA"/>
        </w:rPr>
        <w:t xml:space="preserve"> directives vise à donner des orientations aux États et à la communauté internationale</w:t>
      </w:r>
      <w:r w:rsidRPr="00F22925">
        <w:rPr>
          <w:lang w:val="fr-CA"/>
        </w:rPr>
        <w:t>.</w:t>
      </w:r>
    </w:p>
    <w:p w14:paraId="4F26B9BD" w14:textId="77777777" w:rsidR="00D01ECD" w:rsidRPr="00336568" w:rsidRDefault="00D01ECD" w:rsidP="00D01ECD">
      <w:pPr>
        <w:pStyle w:val="SingleTxtG"/>
        <w:rPr>
          <w:lang w:val="fr-CA"/>
        </w:rPr>
      </w:pPr>
      <w:r w:rsidRPr="00336568">
        <w:rPr>
          <w:lang w:val="fr-CA"/>
        </w:rPr>
        <w:t>6)</w:t>
      </w:r>
      <w:r w:rsidRPr="00336568">
        <w:rPr>
          <w:lang w:val="fr-CA"/>
        </w:rPr>
        <w:tab/>
        <w:t>Si l</w:t>
      </w:r>
      <w:r>
        <w:rPr>
          <w:lang w:val="fr-CA"/>
        </w:rPr>
        <w:t>’</w:t>
      </w:r>
      <w:r w:rsidRPr="00336568">
        <w:rPr>
          <w:lang w:val="fr-CA"/>
        </w:rPr>
        <w:t>expression « pollution atmosphérique » (ou pollution de l</w:t>
      </w:r>
      <w:r>
        <w:rPr>
          <w:lang w:val="fr-CA"/>
        </w:rPr>
        <w:t>’</w:t>
      </w:r>
      <w:r w:rsidRPr="00336568">
        <w:rPr>
          <w:lang w:val="fr-CA"/>
        </w:rPr>
        <w:t>air) est parfois utilisée dans une acception large pour désigner la dégradation générale des conditions atmosphériques, y compris l</w:t>
      </w:r>
      <w:r>
        <w:rPr>
          <w:lang w:val="fr-CA"/>
        </w:rPr>
        <w:t>’</w:t>
      </w:r>
      <w:r w:rsidRPr="00336568">
        <w:rPr>
          <w:lang w:val="fr-CA"/>
        </w:rPr>
        <w:t>appauvrissement de la couche d</w:t>
      </w:r>
      <w:r>
        <w:rPr>
          <w:lang w:val="fr-CA"/>
        </w:rPr>
        <w:t>’</w:t>
      </w:r>
      <w:r w:rsidRPr="00336568">
        <w:rPr>
          <w:lang w:val="fr-CA"/>
        </w:rPr>
        <w:t>ozone et les changements climatiques</w:t>
      </w:r>
      <w:r w:rsidRPr="00F22830">
        <w:rPr>
          <w:rStyle w:val="FootnoteReference"/>
        </w:rPr>
        <w:footnoteReference w:id="48"/>
      </w:r>
      <w:r w:rsidRPr="00336568">
        <w:rPr>
          <w:lang w:val="fr-CA"/>
        </w:rPr>
        <w:t>, dans le présent projet de directives, elle est employée dans un sens étroit, conformément à la pratique conventionnelle existante</w:t>
      </w:r>
      <w:r w:rsidRPr="00F22925">
        <w:rPr>
          <w:lang w:val="fr-CA"/>
        </w:rPr>
        <w:t>.</w:t>
      </w:r>
      <w:r w:rsidRPr="00336568">
        <w:rPr>
          <w:lang w:val="fr-CA"/>
        </w:rPr>
        <w:t xml:space="preserve"> Partant, les questions mondiales sont exclues de la définition de la pollution atmosphérique</w:t>
      </w:r>
      <w:r w:rsidRPr="00F22925">
        <w:rPr>
          <w:lang w:val="fr-CA"/>
        </w:rPr>
        <w:t>.</w:t>
      </w:r>
    </w:p>
    <w:p w14:paraId="1BB0609A" w14:textId="77777777" w:rsidR="00D01ECD" w:rsidRPr="00336568" w:rsidRDefault="00D01ECD" w:rsidP="00D01ECD">
      <w:pPr>
        <w:pStyle w:val="SingleTxtG"/>
        <w:rPr>
          <w:lang w:val="fr-CA"/>
        </w:rPr>
      </w:pPr>
      <w:r w:rsidRPr="00336568">
        <w:rPr>
          <w:lang w:val="fr-CA"/>
        </w:rPr>
        <w:t>7)</w:t>
      </w:r>
      <w:r w:rsidRPr="00336568">
        <w:rPr>
          <w:lang w:val="fr-CA"/>
        </w:rPr>
        <w:tab/>
        <w:t>La définition de la « pollution atmosphérique » retenue à l</w:t>
      </w:r>
      <w:r>
        <w:rPr>
          <w:lang w:val="fr-CA"/>
        </w:rPr>
        <w:t>’</w:t>
      </w:r>
      <w:r w:rsidRPr="00336568">
        <w:rPr>
          <w:lang w:val="fr-CA"/>
        </w:rPr>
        <w:t>alinéa b) reprend pour l</w:t>
      </w:r>
      <w:r>
        <w:rPr>
          <w:lang w:val="fr-CA"/>
        </w:rPr>
        <w:t>’</w:t>
      </w:r>
      <w:r w:rsidRPr="00336568">
        <w:rPr>
          <w:lang w:val="fr-CA"/>
        </w:rPr>
        <w:t>essentiel les termes de l</w:t>
      </w:r>
      <w:r>
        <w:rPr>
          <w:lang w:val="fr-CA"/>
        </w:rPr>
        <w:t>’</w:t>
      </w:r>
      <w:r w:rsidRPr="00336568">
        <w:rPr>
          <w:lang w:val="fr-CA"/>
        </w:rPr>
        <w:t>article 1 a) de la Convention de 1979 sur la pollution atmosphérique transfrontière à longue distance</w:t>
      </w:r>
      <w:bookmarkStart w:id="7" w:name="_Ref520441123"/>
      <w:r w:rsidRPr="00F22830">
        <w:rPr>
          <w:rStyle w:val="FootnoteReference"/>
        </w:rPr>
        <w:footnoteReference w:id="49"/>
      </w:r>
      <w:bookmarkEnd w:id="7"/>
      <w:r w:rsidRPr="00336568">
        <w:rPr>
          <w:lang w:val="fr-CA"/>
        </w:rPr>
        <w:t>, qui dispose :</w:t>
      </w:r>
    </w:p>
    <w:p w14:paraId="5876BEB9" w14:textId="77777777" w:rsidR="00D01ECD" w:rsidRPr="00336568" w:rsidRDefault="00D01ECD" w:rsidP="00D01ECD">
      <w:pPr>
        <w:pStyle w:val="SingleTxtG"/>
        <w:ind w:left="1701" w:firstLine="567"/>
        <w:rPr>
          <w:lang w:val="fr-CA"/>
        </w:rPr>
      </w:pPr>
      <w:r w:rsidRPr="00336568">
        <w:rPr>
          <w:lang w:val="fr-CA"/>
        </w:rPr>
        <w:t>« L</w:t>
      </w:r>
      <w:r>
        <w:rPr>
          <w:lang w:val="fr-CA"/>
        </w:rPr>
        <w:t>’</w:t>
      </w:r>
      <w:r w:rsidRPr="00336568">
        <w:rPr>
          <w:lang w:val="fr-CA"/>
        </w:rPr>
        <w:t>expression “pollution atmosphérique” désigne l</w:t>
      </w:r>
      <w:r>
        <w:rPr>
          <w:lang w:val="fr-CA"/>
        </w:rPr>
        <w:t>’</w:t>
      </w:r>
      <w:r w:rsidRPr="00336568">
        <w:rPr>
          <w:lang w:val="fr-CA"/>
        </w:rPr>
        <w:t>introduction dans l</w:t>
      </w:r>
      <w:r>
        <w:rPr>
          <w:lang w:val="fr-CA"/>
        </w:rPr>
        <w:t>’</w:t>
      </w:r>
      <w:r w:rsidRPr="00336568">
        <w:rPr>
          <w:lang w:val="fr-CA"/>
        </w:rPr>
        <w:t>atmosphère par l</w:t>
      </w:r>
      <w:r>
        <w:rPr>
          <w:lang w:val="fr-CA"/>
        </w:rPr>
        <w:t>’</w:t>
      </w:r>
      <w:r w:rsidRPr="00336568">
        <w:rPr>
          <w:lang w:val="fr-CA"/>
        </w:rPr>
        <w:t>homme, directement ou indirectement, de substances ou d</w:t>
      </w:r>
      <w:r>
        <w:rPr>
          <w:lang w:val="fr-CA"/>
        </w:rPr>
        <w:t>’</w:t>
      </w:r>
      <w:r w:rsidRPr="00336568">
        <w:rPr>
          <w:lang w:val="fr-CA"/>
        </w:rPr>
        <w:t>énergie ayant une action nocive de nature à mettre en danger la santé de l</w:t>
      </w:r>
      <w:r>
        <w:rPr>
          <w:lang w:val="fr-CA"/>
        </w:rPr>
        <w:t>’</w:t>
      </w:r>
      <w:r w:rsidRPr="00336568">
        <w:rPr>
          <w:lang w:val="fr-CA"/>
        </w:rPr>
        <w:t>homme, à endommager les ressources biologiques et les écosystèmes, à détériorer les biens matériels, et à porter atteinte ou nuire aux valeurs d</w:t>
      </w:r>
      <w:r>
        <w:rPr>
          <w:lang w:val="fr-CA"/>
        </w:rPr>
        <w:t>’</w:t>
      </w:r>
      <w:r w:rsidRPr="00336568">
        <w:rPr>
          <w:lang w:val="fr-CA"/>
        </w:rPr>
        <w:t>agrément et aux autres utilisations légitimes de l</w:t>
      </w:r>
      <w:r>
        <w:rPr>
          <w:lang w:val="fr-CA"/>
        </w:rPr>
        <w:t>’</w:t>
      </w:r>
      <w:r w:rsidRPr="00336568">
        <w:rPr>
          <w:lang w:val="fr-CA"/>
        </w:rPr>
        <w:t>environnement, l</w:t>
      </w:r>
      <w:r>
        <w:rPr>
          <w:lang w:val="fr-CA"/>
        </w:rPr>
        <w:t>’</w:t>
      </w:r>
      <w:r w:rsidRPr="00336568">
        <w:rPr>
          <w:lang w:val="fr-CA"/>
        </w:rPr>
        <w:t>expression “polluants atmosphériques” étant entendue dans le même sens</w:t>
      </w:r>
      <w:r w:rsidRPr="00F22925">
        <w:rPr>
          <w:lang w:val="fr-CA"/>
        </w:rPr>
        <w:t>.</w:t>
      </w:r>
      <w:r w:rsidRPr="00336568">
        <w:rPr>
          <w:lang w:val="fr-CA"/>
        </w:rPr>
        <w:t> »</w:t>
      </w:r>
      <w:r w:rsidRPr="00F22925">
        <w:rPr>
          <w:lang w:val="fr-CA"/>
        </w:rPr>
        <w:t>.</w:t>
      </w:r>
    </w:p>
    <w:p w14:paraId="5E7FA3AF" w14:textId="77777777" w:rsidR="00D01ECD" w:rsidRPr="00336568" w:rsidRDefault="00D01ECD" w:rsidP="00D01ECD">
      <w:pPr>
        <w:pStyle w:val="SingleTxtG"/>
        <w:rPr>
          <w:lang w:val="fr-CA"/>
        </w:rPr>
      </w:pPr>
      <w:r w:rsidRPr="00336568">
        <w:rPr>
          <w:lang w:val="fr-CA"/>
        </w:rPr>
        <w:t>8)</w:t>
      </w:r>
      <w:r w:rsidRPr="00336568">
        <w:rPr>
          <w:lang w:val="fr-CA"/>
        </w:rPr>
        <w:tab/>
        <w:t>Toutefois, le libellé retenu s</w:t>
      </w:r>
      <w:r>
        <w:rPr>
          <w:lang w:val="fr-CA"/>
        </w:rPr>
        <w:t>’</w:t>
      </w:r>
      <w:r w:rsidRPr="00336568">
        <w:rPr>
          <w:lang w:val="fr-CA"/>
        </w:rPr>
        <w:t>écarte du texte de la Convention de 1979 en ce que les mots « ayant une action nocive » ont été remplacés par « </w:t>
      </w:r>
      <w:r w:rsidRPr="00A22B01">
        <w:rPr>
          <w:lang w:val="fr-FR"/>
        </w:rPr>
        <w:t>contribuant à des effets nocifs »</w:t>
      </w:r>
      <w:r>
        <w:rPr>
          <w:lang w:val="fr-FR"/>
        </w:rPr>
        <w:t xml:space="preserve"> afin de conserver un équilibre d’ensemble nécessaire aux fins de la coopération internationale</w:t>
      </w:r>
      <w:r w:rsidRPr="00F22925">
        <w:rPr>
          <w:lang w:val="fr-FR"/>
        </w:rPr>
        <w:t>.</w:t>
      </w:r>
      <w:r>
        <w:rPr>
          <w:lang w:val="fr-FR"/>
        </w:rPr>
        <w:t xml:space="preserve"> Cette modification a été apportée dans ces « définitions » en particulier et « aux fins du présent projet de directives », qui n’a pas pour objet de donner une définition applicable en droit international en général, comme il est expliqué au paragraphe 1 du présent commentaire</w:t>
      </w:r>
      <w:r w:rsidRPr="00F22925">
        <w:rPr>
          <w:lang w:val="fr-FR"/>
        </w:rPr>
        <w:t>.</w:t>
      </w:r>
    </w:p>
    <w:p w14:paraId="61B760AA" w14:textId="77777777" w:rsidR="00D01ECD" w:rsidRPr="00336568" w:rsidRDefault="00D01ECD" w:rsidP="00D01ECD">
      <w:pPr>
        <w:pStyle w:val="SingleTxtG"/>
        <w:rPr>
          <w:lang w:val="fr-CA"/>
        </w:rPr>
      </w:pPr>
      <w:r w:rsidRPr="00336568">
        <w:rPr>
          <w:lang w:val="fr-CA"/>
        </w:rPr>
        <w:lastRenderedPageBreak/>
        <w:t>9)</w:t>
      </w:r>
      <w:r w:rsidRPr="00336568">
        <w:rPr>
          <w:lang w:val="fr-CA"/>
        </w:rPr>
        <w:tab/>
        <w:t xml:space="preserve">La définition de la pollution atmosphérique </w:t>
      </w:r>
      <w:r>
        <w:rPr>
          <w:lang w:val="fr-CA"/>
        </w:rPr>
        <w:t>s’écarte aussi</w:t>
      </w:r>
      <w:r w:rsidRPr="00336568">
        <w:rPr>
          <w:lang w:val="fr-CA"/>
        </w:rPr>
        <w:t xml:space="preserve"> de celle donnée dans la Convention de 1979 </w:t>
      </w:r>
      <w:proofErr w:type="gramStart"/>
      <w:r>
        <w:rPr>
          <w:lang w:val="fr-CA"/>
        </w:rPr>
        <w:t>de par</w:t>
      </w:r>
      <w:proofErr w:type="gramEnd"/>
      <w:r w:rsidRPr="00336568">
        <w:rPr>
          <w:lang w:val="fr-CA"/>
        </w:rPr>
        <w:t xml:space="preserve"> l</w:t>
      </w:r>
      <w:r>
        <w:rPr>
          <w:lang w:val="fr-CA"/>
        </w:rPr>
        <w:t>’</w:t>
      </w:r>
      <w:r w:rsidRPr="00336568">
        <w:rPr>
          <w:lang w:val="fr-CA"/>
        </w:rPr>
        <w:t>ajout du mot « significatifs » (</w:t>
      </w:r>
      <w:r>
        <w:rPr>
          <w:lang w:val="fr-CA"/>
        </w:rPr>
        <w:t xml:space="preserve">en anglais, </w:t>
      </w:r>
      <w:r w:rsidRPr="00790CAF">
        <w:rPr>
          <w:lang w:val="fr-CA"/>
        </w:rPr>
        <w:t>« </w:t>
      </w:r>
      <w:proofErr w:type="spellStart"/>
      <w:r w:rsidRPr="00790CAF">
        <w:rPr>
          <w:lang w:val="fr-CA"/>
        </w:rPr>
        <w:t>significant</w:t>
      </w:r>
      <w:proofErr w:type="spellEnd"/>
      <w:r w:rsidRPr="00790CAF">
        <w:rPr>
          <w:lang w:val="fr-CA"/>
        </w:rPr>
        <w:t> »</w:t>
      </w:r>
      <w:r w:rsidRPr="00336568">
        <w:rPr>
          <w:lang w:val="fr-CA"/>
        </w:rPr>
        <w:t>) après le mot « nocifs »</w:t>
      </w:r>
      <w:r w:rsidRPr="00F22925">
        <w:rPr>
          <w:lang w:val="fr-CA"/>
        </w:rPr>
        <w:t>.</w:t>
      </w:r>
      <w:r w:rsidRPr="00336568">
        <w:rPr>
          <w:lang w:val="fr-CA"/>
        </w:rPr>
        <w:t xml:space="preserve"> Il s</w:t>
      </w:r>
      <w:r>
        <w:rPr>
          <w:lang w:val="fr-CA"/>
        </w:rPr>
        <w:t>’</w:t>
      </w:r>
      <w:r w:rsidRPr="00336568">
        <w:rPr>
          <w:lang w:val="fr-CA"/>
        </w:rPr>
        <w:t>agit, dans un souci de cohérence, d</w:t>
      </w:r>
      <w:r>
        <w:rPr>
          <w:lang w:val="fr-CA"/>
        </w:rPr>
        <w:t>’</w:t>
      </w:r>
      <w:r w:rsidRPr="00336568">
        <w:rPr>
          <w:lang w:val="fr-CA"/>
        </w:rPr>
        <w:t>harmoniser le libellé des alinéas </w:t>
      </w:r>
      <w:r w:rsidRPr="00336568">
        <w:rPr>
          <w:i/>
          <w:iCs/>
          <w:lang w:val="fr-CA"/>
        </w:rPr>
        <w:t>b</w:t>
      </w:r>
      <w:r w:rsidRPr="00336568">
        <w:rPr>
          <w:lang w:val="fr-CA"/>
        </w:rPr>
        <w:t xml:space="preserve">) et </w:t>
      </w:r>
      <w:r w:rsidRPr="00336568">
        <w:rPr>
          <w:i/>
          <w:iCs/>
          <w:lang w:val="fr-CA"/>
        </w:rPr>
        <w:t>c</w:t>
      </w:r>
      <w:r w:rsidRPr="00336568">
        <w:rPr>
          <w:lang w:val="fr-CA"/>
        </w:rPr>
        <w:t>)</w:t>
      </w:r>
      <w:r w:rsidRPr="00F22925">
        <w:rPr>
          <w:lang w:val="fr-CA"/>
        </w:rPr>
        <w:t>.</w:t>
      </w:r>
      <w:r w:rsidRPr="00336568">
        <w:rPr>
          <w:lang w:val="fr-CA"/>
        </w:rPr>
        <w:t xml:space="preserve"> Les termes « effets nocifs significatifs » visent à expliciter quels types d</w:t>
      </w:r>
      <w:r>
        <w:rPr>
          <w:lang w:val="fr-CA"/>
        </w:rPr>
        <w:t>’</w:t>
      </w:r>
      <w:r w:rsidRPr="00336568">
        <w:rPr>
          <w:lang w:val="fr-CA"/>
        </w:rPr>
        <w:t>activités humaines sont couverts par le projet de directives</w:t>
      </w:r>
      <w:r w:rsidRPr="00F22925">
        <w:rPr>
          <w:lang w:val="fr-CA"/>
        </w:rPr>
        <w:t>.</w:t>
      </w:r>
      <w:r>
        <w:rPr>
          <w:lang w:val="fr-CA"/>
        </w:rPr>
        <w:t xml:space="preserve"> La</w:t>
      </w:r>
      <w:r w:rsidRPr="00336568">
        <w:rPr>
          <w:lang w:val="fr-CA"/>
        </w:rPr>
        <w:t xml:space="preserve"> Commission a utilisé le mot « significatif » dans ses travaux antérieurs</w:t>
      </w:r>
      <w:bookmarkStart w:id="8" w:name="_Ref81552631"/>
      <w:r w:rsidRPr="00F22830">
        <w:rPr>
          <w:rStyle w:val="FootnoteReference"/>
        </w:rPr>
        <w:footnoteReference w:id="50"/>
      </w:r>
      <w:bookmarkEnd w:id="8"/>
      <w:r w:rsidRPr="00F22925">
        <w:rPr>
          <w:lang w:val="fr-CA"/>
        </w:rPr>
        <w:t>.</w:t>
      </w:r>
      <w:r w:rsidRPr="00336568">
        <w:rPr>
          <w:lang w:val="fr-CA"/>
        </w:rPr>
        <w:t xml:space="preserve"> À cet égard, la Commission a fait observer que « “</w:t>
      </w:r>
      <w:r w:rsidRPr="00336568">
        <w:rPr>
          <w:i/>
          <w:iCs/>
          <w:lang w:val="fr-CA"/>
        </w:rPr>
        <w:t>significatif</w:t>
      </w:r>
      <w:r w:rsidRPr="00336568">
        <w:rPr>
          <w:lang w:val="fr-CA"/>
        </w:rPr>
        <w:t xml:space="preserve">” </w:t>
      </w:r>
      <w:r w:rsidRPr="00336568">
        <w:rPr>
          <w:i/>
          <w:iCs/>
          <w:lang w:val="fr-CA"/>
        </w:rPr>
        <w:t>est plus que</w:t>
      </w:r>
      <w:r w:rsidRPr="00336568">
        <w:rPr>
          <w:lang w:val="fr-CA"/>
        </w:rPr>
        <w:t xml:space="preserve"> “</w:t>
      </w:r>
      <w:r w:rsidRPr="00336568">
        <w:rPr>
          <w:i/>
          <w:iCs/>
          <w:lang w:val="fr-CA"/>
        </w:rPr>
        <w:t>détectable</w:t>
      </w:r>
      <w:r w:rsidRPr="00336568">
        <w:rPr>
          <w:lang w:val="fr-CA"/>
        </w:rPr>
        <w:t xml:space="preserve">” </w:t>
      </w:r>
      <w:r w:rsidRPr="00336568">
        <w:rPr>
          <w:i/>
          <w:iCs/>
          <w:lang w:val="fr-CA"/>
        </w:rPr>
        <w:t>mais sans nécessairement atteindre le niveau de</w:t>
      </w:r>
      <w:r w:rsidRPr="00336568">
        <w:rPr>
          <w:lang w:val="fr-CA"/>
        </w:rPr>
        <w:t xml:space="preserve"> “</w:t>
      </w:r>
      <w:r w:rsidRPr="00336568">
        <w:rPr>
          <w:i/>
          <w:iCs/>
          <w:lang w:val="fr-CA"/>
        </w:rPr>
        <w:t>grave</w:t>
      </w:r>
      <w:r w:rsidRPr="00336568">
        <w:rPr>
          <w:lang w:val="fr-CA"/>
        </w:rPr>
        <w:t xml:space="preserve">” </w:t>
      </w:r>
      <w:r w:rsidRPr="00336568">
        <w:rPr>
          <w:i/>
          <w:iCs/>
          <w:lang w:val="fr-CA"/>
        </w:rPr>
        <w:t>ou</w:t>
      </w:r>
      <w:r w:rsidRPr="00336568">
        <w:rPr>
          <w:lang w:val="fr-CA"/>
        </w:rPr>
        <w:t xml:space="preserve"> “</w:t>
      </w:r>
      <w:r w:rsidRPr="00336568">
        <w:rPr>
          <w:i/>
          <w:iCs/>
          <w:lang w:val="fr-CA"/>
        </w:rPr>
        <w:t>substantiel</w:t>
      </w:r>
      <w:r w:rsidRPr="00336568">
        <w:rPr>
          <w:lang w:val="fr-CA"/>
        </w:rPr>
        <w:t>”</w:t>
      </w:r>
      <w:r w:rsidRPr="00F22925">
        <w:rPr>
          <w:lang w:val="fr-CA"/>
        </w:rPr>
        <w:t>.</w:t>
      </w:r>
      <w:r w:rsidRPr="00336568">
        <w:rPr>
          <w:lang w:val="fr-CA"/>
        </w:rPr>
        <w:t xml:space="preserve"> Le dommage doit se solder par un effet préjudiciable réel … [et] [c]es effets préjudiciables doivent pouvoir être mesurés à l</w:t>
      </w:r>
      <w:r>
        <w:rPr>
          <w:lang w:val="fr-CA"/>
        </w:rPr>
        <w:t>’</w:t>
      </w:r>
      <w:r w:rsidRPr="00336568">
        <w:rPr>
          <w:lang w:val="fr-CA"/>
        </w:rPr>
        <w:t>aide de critères factuels et objectifs »</w:t>
      </w:r>
      <w:r w:rsidRPr="00F22830">
        <w:rPr>
          <w:rStyle w:val="FootnoteReference"/>
        </w:rPr>
        <w:footnoteReference w:id="51"/>
      </w:r>
      <w:r w:rsidRPr="00F22925">
        <w:rPr>
          <w:lang w:val="fr-CA"/>
        </w:rPr>
        <w:t>.</w:t>
      </w:r>
      <w:r w:rsidRPr="00336568">
        <w:rPr>
          <w:lang w:val="fr-CA"/>
        </w:rPr>
        <w:t xml:space="preserve"> De plus, « [l]</w:t>
      </w:r>
      <w:r>
        <w:rPr>
          <w:lang w:val="fr-CA"/>
        </w:rPr>
        <w:t>’</w:t>
      </w:r>
      <w:r w:rsidRPr="00336568">
        <w:rPr>
          <w:lang w:val="fr-CA"/>
        </w:rPr>
        <w:t>adjectif “significatif”, quoique défini par des critères concrets et objectifs, suppose aussi un jugement de valeur qui dépend des circonstances du cas considéré et du moment où ce jugement est porté</w:t>
      </w:r>
      <w:r w:rsidRPr="00F22925">
        <w:rPr>
          <w:lang w:val="fr-CA"/>
        </w:rPr>
        <w:t>.</w:t>
      </w:r>
      <w:r w:rsidRPr="00336568">
        <w:rPr>
          <w:lang w:val="fr-CA"/>
        </w:rPr>
        <w:t xml:space="preserve"> Il se peut, par exemple, qu</w:t>
      </w:r>
      <w:r>
        <w:rPr>
          <w:lang w:val="fr-CA"/>
        </w:rPr>
        <w:t>’</w:t>
      </w:r>
      <w:r w:rsidRPr="00336568">
        <w:rPr>
          <w:lang w:val="fr-CA"/>
        </w:rPr>
        <w:t>une perte donnée, à un moment donné, ne soit pas considérée comme “significative” parce qu</w:t>
      </w:r>
      <w:r>
        <w:rPr>
          <w:lang w:val="fr-CA"/>
        </w:rPr>
        <w:t>’</w:t>
      </w:r>
      <w:r w:rsidRPr="00336568">
        <w:rPr>
          <w:lang w:val="fr-CA"/>
        </w:rPr>
        <w:t>à ce moment précis les connaissances scientifiques ou l</w:t>
      </w:r>
      <w:r>
        <w:rPr>
          <w:lang w:val="fr-CA"/>
        </w:rPr>
        <w:t>’</w:t>
      </w:r>
      <w:r w:rsidRPr="00336568">
        <w:rPr>
          <w:lang w:val="fr-CA"/>
        </w:rPr>
        <w:t>appréciation portée par l</w:t>
      </w:r>
      <w:r>
        <w:rPr>
          <w:lang w:val="fr-CA"/>
        </w:rPr>
        <w:t>’</w:t>
      </w:r>
      <w:r w:rsidRPr="00336568">
        <w:rPr>
          <w:lang w:val="fr-CA"/>
        </w:rPr>
        <w:t>homme sur une ressource donnée ne conduisent pas à attribuer une grande valeur à la ressource concernée</w:t>
      </w:r>
      <w:r w:rsidRPr="00F22925">
        <w:rPr>
          <w:lang w:val="fr-CA"/>
        </w:rPr>
        <w:t>.</w:t>
      </w:r>
      <w:r w:rsidRPr="00336568">
        <w:rPr>
          <w:lang w:val="fr-CA"/>
        </w:rPr>
        <w:t xml:space="preserve"> La</w:t>
      </w:r>
      <w:r>
        <w:rPr>
          <w:lang w:val="fr-CA"/>
        </w:rPr>
        <w:t xml:space="preserve"> </w:t>
      </w:r>
      <w:r w:rsidRPr="00336568">
        <w:rPr>
          <w:lang w:val="fr-CA"/>
        </w:rPr>
        <w:t>question de savoir ce qui est “significatif”</w:t>
      </w:r>
      <w:r>
        <w:rPr>
          <w:lang w:val="fr-CA"/>
        </w:rPr>
        <w:t xml:space="preserve"> </w:t>
      </w:r>
      <w:r w:rsidRPr="00336568">
        <w:rPr>
          <w:lang w:val="fr-CA"/>
        </w:rPr>
        <w:t>relève davantage d</w:t>
      </w:r>
      <w:r>
        <w:rPr>
          <w:lang w:val="fr-CA"/>
        </w:rPr>
        <w:t>’</w:t>
      </w:r>
      <w:r w:rsidRPr="00336568">
        <w:rPr>
          <w:lang w:val="fr-CA"/>
        </w:rPr>
        <w:t>une appréciation factuelle »</w:t>
      </w:r>
      <w:r w:rsidRPr="00F22830">
        <w:rPr>
          <w:rStyle w:val="FootnoteReference"/>
        </w:rPr>
        <w:footnoteReference w:id="52"/>
      </w:r>
      <w:r w:rsidRPr="00F22925">
        <w:rPr>
          <w:lang w:val="fr-CA"/>
        </w:rPr>
        <w:t>.</w:t>
      </w:r>
      <w:r w:rsidRPr="00336568">
        <w:rPr>
          <w:lang w:val="fr-CA"/>
        </w:rPr>
        <w:t xml:space="preserve"> Les effets nocifs de l</w:t>
      </w:r>
      <w:r>
        <w:rPr>
          <w:lang w:val="fr-CA"/>
        </w:rPr>
        <w:t>’</w:t>
      </w:r>
      <w:r w:rsidRPr="00336568">
        <w:rPr>
          <w:lang w:val="fr-CA"/>
        </w:rPr>
        <w:t>émission ou du rejet de substances doivent être de nature à mettre en danger, ou même à contribuer à mettre en danger, la vie et la santé de l</w:t>
      </w:r>
      <w:r>
        <w:rPr>
          <w:lang w:val="fr-CA"/>
        </w:rPr>
        <w:t>’</w:t>
      </w:r>
      <w:r w:rsidRPr="00336568">
        <w:rPr>
          <w:lang w:val="fr-CA"/>
        </w:rPr>
        <w:t>homme et l</w:t>
      </w:r>
      <w:r>
        <w:rPr>
          <w:lang w:val="fr-CA"/>
        </w:rPr>
        <w:t>’</w:t>
      </w:r>
      <w:r w:rsidRPr="00336568">
        <w:rPr>
          <w:lang w:val="fr-CA"/>
        </w:rPr>
        <w:t>environnement naturel de la Terre</w:t>
      </w:r>
      <w:r w:rsidRPr="00F22925">
        <w:rPr>
          <w:lang w:val="fr-CA"/>
        </w:rPr>
        <w:t>.</w:t>
      </w:r>
      <w:r w:rsidRPr="00336568">
        <w:rPr>
          <w:lang w:val="fr-CA"/>
        </w:rPr>
        <w:t xml:space="preserve"> </w:t>
      </w:r>
    </w:p>
    <w:p w14:paraId="53044FC5" w14:textId="77777777" w:rsidR="00D01ECD" w:rsidRPr="00336568" w:rsidRDefault="00D01ECD" w:rsidP="00D01ECD">
      <w:pPr>
        <w:pStyle w:val="SingleTxtG"/>
        <w:rPr>
          <w:lang w:val="fr-CA"/>
        </w:rPr>
      </w:pPr>
      <w:r w:rsidRPr="00336568">
        <w:rPr>
          <w:lang w:val="fr-CA"/>
        </w:rPr>
        <w:t>10)</w:t>
      </w:r>
      <w:r w:rsidRPr="00336568">
        <w:rPr>
          <w:lang w:val="fr-CA"/>
        </w:rPr>
        <w:tab/>
        <w:t>Le paragraphe a) de l</w:t>
      </w:r>
      <w:r>
        <w:rPr>
          <w:lang w:val="fr-CA"/>
        </w:rPr>
        <w:t>’</w:t>
      </w:r>
      <w:r w:rsidRPr="00336568">
        <w:rPr>
          <w:lang w:val="fr-CA"/>
        </w:rPr>
        <w:t>article premier de la Convention sur la pollution atmosphérique transfrontière à longue distance et l</w:t>
      </w:r>
      <w:r>
        <w:rPr>
          <w:lang w:val="fr-CA"/>
        </w:rPr>
        <w:t>’</w:t>
      </w:r>
      <w:r w:rsidRPr="00336568">
        <w:rPr>
          <w:lang w:val="fr-CA"/>
        </w:rPr>
        <w:t>alinéa 4) du paragraphe 1 de l</w:t>
      </w:r>
      <w:r>
        <w:rPr>
          <w:lang w:val="fr-CA"/>
        </w:rPr>
        <w:t>’</w:t>
      </w:r>
      <w:r w:rsidRPr="00336568">
        <w:rPr>
          <w:lang w:val="fr-CA"/>
        </w:rPr>
        <w:t>article premier de la Convention des Nations Unies sur le droit de la mer disposent que l</w:t>
      </w:r>
      <w:proofErr w:type="gramStart"/>
      <w:r>
        <w:rPr>
          <w:lang w:val="fr-CA"/>
        </w:rPr>
        <w:t>’</w:t>
      </w:r>
      <w:r w:rsidRPr="00336568">
        <w:rPr>
          <w:lang w:val="fr-CA"/>
        </w:rPr>
        <w:t>«</w:t>
      </w:r>
      <w:proofErr w:type="gramEnd"/>
      <w:r w:rsidRPr="00336568">
        <w:rPr>
          <w:lang w:val="fr-CA"/>
        </w:rPr>
        <w:t> introduction […] d</w:t>
      </w:r>
      <w:r>
        <w:rPr>
          <w:lang w:val="fr-CA"/>
        </w:rPr>
        <w:t>’</w:t>
      </w:r>
      <w:r w:rsidRPr="00336568">
        <w:rPr>
          <w:lang w:val="fr-CA"/>
        </w:rPr>
        <w:t>énergie » (ainsi que de substances) dans l</w:t>
      </w:r>
      <w:r>
        <w:rPr>
          <w:lang w:val="fr-CA"/>
        </w:rPr>
        <w:t>’</w:t>
      </w:r>
      <w:r w:rsidRPr="00336568">
        <w:rPr>
          <w:lang w:val="fr-CA"/>
        </w:rPr>
        <w:t>atmosphère participe de la « pollution »</w:t>
      </w:r>
      <w:r w:rsidRPr="00F22830">
        <w:rPr>
          <w:rStyle w:val="FootnoteReference"/>
        </w:rPr>
        <w:footnoteReference w:id="53"/>
      </w:r>
      <w:r w:rsidRPr="00F22925">
        <w:rPr>
          <w:lang w:val="fr-CA"/>
        </w:rPr>
        <w:t>.</w:t>
      </w:r>
      <w:r w:rsidRPr="00336568">
        <w:rPr>
          <w:lang w:val="fr-CA"/>
        </w:rPr>
        <w:t xml:space="preserve"> Il est entendu que, dans l</w:t>
      </w:r>
      <w:r>
        <w:rPr>
          <w:lang w:val="fr-CA"/>
        </w:rPr>
        <w:t>’</w:t>
      </w:r>
      <w:r w:rsidRPr="00336568">
        <w:rPr>
          <w:lang w:val="fr-CA"/>
        </w:rPr>
        <w:t xml:space="preserve">alinéa </w:t>
      </w:r>
      <w:r w:rsidRPr="00336568">
        <w:rPr>
          <w:i/>
          <w:iCs/>
          <w:lang w:val="fr-CA"/>
        </w:rPr>
        <w:t>b</w:t>
      </w:r>
      <w:r w:rsidRPr="00336568">
        <w:rPr>
          <w:lang w:val="fr-CA"/>
        </w:rPr>
        <w:t>) du projet de directive, le terme « énergie » inclut la chaleur, la lumière, le bruit et la radioactivité introduits ou rejetés dans l</w:t>
      </w:r>
      <w:r>
        <w:rPr>
          <w:lang w:val="fr-CA"/>
        </w:rPr>
        <w:t>’</w:t>
      </w:r>
      <w:r w:rsidRPr="00336568">
        <w:rPr>
          <w:lang w:val="fr-CA"/>
        </w:rPr>
        <w:t>atmosphère par les activités humaines</w:t>
      </w:r>
      <w:r w:rsidRPr="00F22830">
        <w:rPr>
          <w:rStyle w:val="FootnoteReference"/>
        </w:rPr>
        <w:footnoteReference w:id="54"/>
      </w:r>
      <w:r w:rsidRPr="00F22925">
        <w:rPr>
          <w:lang w:val="fr-CA"/>
        </w:rPr>
        <w:t>.</w:t>
      </w:r>
      <w:r w:rsidRPr="00336568">
        <w:rPr>
          <w:lang w:val="fr-CA"/>
        </w:rPr>
        <w:t xml:space="preserve"> La mention de la radioactivité en tant </w:t>
      </w:r>
      <w:r w:rsidRPr="00336568">
        <w:rPr>
          <w:lang w:val="fr-CA"/>
        </w:rPr>
        <w:lastRenderedPageBreak/>
        <w:t>qu</w:t>
      </w:r>
      <w:r>
        <w:rPr>
          <w:lang w:val="fr-CA"/>
        </w:rPr>
        <w:t>’</w:t>
      </w:r>
      <w:r w:rsidRPr="00336568">
        <w:rPr>
          <w:lang w:val="fr-CA"/>
        </w:rPr>
        <w:t>énergie n</w:t>
      </w:r>
      <w:r>
        <w:rPr>
          <w:lang w:val="fr-CA"/>
        </w:rPr>
        <w:t>’</w:t>
      </w:r>
      <w:r w:rsidRPr="00336568">
        <w:rPr>
          <w:lang w:val="fr-CA"/>
        </w:rPr>
        <w:t>exclut pas le fait que l</w:t>
      </w:r>
      <w:r>
        <w:rPr>
          <w:lang w:val="fr-CA"/>
        </w:rPr>
        <w:t>’</w:t>
      </w:r>
      <w:r w:rsidRPr="00336568">
        <w:rPr>
          <w:lang w:val="fr-CA"/>
        </w:rPr>
        <w:t>énergie nucléaire peut être utilisée à des fins pacifiques, en particulier dans le contexte des changements climatiques</w:t>
      </w:r>
      <w:r w:rsidRPr="00F22830">
        <w:rPr>
          <w:rStyle w:val="FootnoteReference"/>
        </w:rPr>
        <w:footnoteReference w:id="55"/>
      </w:r>
      <w:r w:rsidRPr="00F22925">
        <w:rPr>
          <w:lang w:val="fr-CA"/>
        </w:rPr>
        <w:t>.</w:t>
      </w:r>
    </w:p>
    <w:p w14:paraId="677515A0" w14:textId="77777777" w:rsidR="00D01ECD" w:rsidRPr="00336568" w:rsidRDefault="00D01ECD" w:rsidP="00D01ECD">
      <w:pPr>
        <w:pStyle w:val="SingleTxtG"/>
        <w:rPr>
          <w:lang w:val="fr-CA"/>
        </w:rPr>
      </w:pPr>
      <w:r w:rsidRPr="00336568">
        <w:rPr>
          <w:lang w:val="fr-CA"/>
        </w:rPr>
        <w:t>11)</w:t>
      </w:r>
      <w:r w:rsidRPr="00336568">
        <w:rPr>
          <w:lang w:val="fr-CA"/>
        </w:rPr>
        <w:tab/>
        <w:t>Le membre de phrase « effets […] qui s</w:t>
      </w:r>
      <w:r>
        <w:rPr>
          <w:lang w:val="fr-CA"/>
        </w:rPr>
        <w:t>’</w:t>
      </w:r>
      <w:r w:rsidRPr="00336568">
        <w:rPr>
          <w:lang w:val="fr-CA"/>
        </w:rPr>
        <w:t>étendent au-delà de l</w:t>
      </w:r>
      <w:r>
        <w:rPr>
          <w:lang w:val="fr-CA"/>
        </w:rPr>
        <w:t>’</w:t>
      </w:r>
      <w:r w:rsidRPr="00336568">
        <w:rPr>
          <w:lang w:val="fr-CA"/>
        </w:rPr>
        <w:t>État d</w:t>
      </w:r>
      <w:r>
        <w:rPr>
          <w:lang w:val="fr-CA"/>
        </w:rPr>
        <w:t>’</w:t>
      </w:r>
      <w:r w:rsidRPr="00336568">
        <w:rPr>
          <w:lang w:val="fr-CA"/>
        </w:rPr>
        <w:t>origine » qui figure à l</w:t>
      </w:r>
      <w:r>
        <w:rPr>
          <w:lang w:val="fr-CA"/>
        </w:rPr>
        <w:t>’</w:t>
      </w:r>
      <w:r w:rsidRPr="00336568">
        <w:rPr>
          <w:lang w:val="fr-CA"/>
        </w:rPr>
        <w:t>alinéa </w:t>
      </w:r>
      <w:r w:rsidRPr="00336568">
        <w:rPr>
          <w:i/>
          <w:iCs/>
          <w:lang w:val="fr-CA"/>
        </w:rPr>
        <w:t>b</w:t>
      </w:r>
      <w:r w:rsidRPr="00336568">
        <w:rPr>
          <w:lang w:val="fr-CA"/>
        </w:rPr>
        <w:t>) vient préciser que le projet de directives porte sur les effets transfrontières de la pollution atmosphérique, ce qui signifie que la pollution interne ou locale</w:t>
      </w:r>
      <w:r>
        <w:rPr>
          <w:lang w:val="fr-CA"/>
        </w:rPr>
        <w:t xml:space="preserve"> </w:t>
      </w:r>
      <w:r w:rsidRPr="00336568">
        <w:rPr>
          <w:lang w:val="fr-CA"/>
        </w:rPr>
        <w:t>est exclue de la portée du sujet</w:t>
      </w:r>
      <w:r w:rsidRPr="00F22925">
        <w:rPr>
          <w:lang w:val="fr-CA"/>
        </w:rPr>
        <w:t>.</w:t>
      </w:r>
      <w:r w:rsidRPr="00336568">
        <w:rPr>
          <w:lang w:val="fr-CA"/>
        </w:rPr>
        <w:t xml:space="preserve"> Il s</w:t>
      </w:r>
      <w:r>
        <w:rPr>
          <w:lang w:val="fr-CA"/>
        </w:rPr>
        <w:t>’</w:t>
      </w:r>
      <w:r w:rsidRPr="00336568">
        <w:rPr>
          <w:lang w:val="fr-CA"/>
        </w:rPr>
        <w:t>entend au sens de l</w:t>
      </w:r>
      <w:r>
        <w:rPr>
          <w:lang w:val="fr-CA"/>
        </w:rPr>
        <w:t>’</w:t>
      </w:r>
      <w:r w:rsidRPr="00336568">
        <w:rPr>
          <w:lang w:val="fr-CA"/>
        </w:rPr>
        <w:t>article 1 b) de la Convention sur la pollution atmosphérique transfrontière à longue distance, qui dispose :</w:t>
      </w:r>
    </w:p>
    <w:p w14:paraId="11CB8BE5" w14:textId="77777777" w:rsidR="00D01ECD" w:rsidRPr="00336568" w:rsidRDefault="00D01ECD" w:rsidP="00D01ECD">
      <w:pPr>
        <w:pStyle w:val="SingleTxtG"/>
        <w:keepLines/>
        <w:spacing w:after="100"/>
        <w:ind w:left="1701" w:firstLine="567"/>
        <w:rPr>
          <w:lang w:val="fr-CA"/>
        </w:rPr>
      </w:pPr>
      <w:r w:rsidRPr="00336568">
        <w:rPr>
          <w:lang w:val="fr-CA"/>
        </w:rPr>
        <w:t>L</w:t>
      </w:r>
      <w:r>
        <w:rPr>
          <w:lang w:val="fr-CA"/>
        </w:rPr>
        <w:t>’</w:t>
      </w:r>
      <w:r w:rsidRPr="00336568">
        <w:rPr>
          <w:lang w:val="fr-CA"/>
        </w:rPr>
        <w:t>expression « pollution atmosphérique transfrontière à longue distance » désigne la pollution atmosphérique dont la source physique est comprise totalement ou en partie dans une zone soumise à la juridiction nationale d</w:t>
      </w:r>
      <w:r>
        <w:rPr>
          <w:lang w:val="fr-CA"/>
        </w:rPr>
        <w:t>’</w:t>
      </w:r>
      <w:r w:rsidRPr="00336568">
        <w:rPr>
          <w:lang w:val="fr-CA"/>
        </w:rPr>
        <w:t>un État et qui exerce des effets dommageables dans une zone soumise à la juridiction d</w:t>
      </w:r>
      <w:r>
        <w:rPr>
          <w:lang w:val="fr-CA"/>
        </w:rPr>
        <w:t>’</w:t>
      </w:r>
      <w:r w:rsidRPr="00336568">
        <w:rPr>
          <w:lang w:val="fr-CA"/>
        </w:rPr>
        <w:t>un autre État à une distance telle qu</w:t>
      </w:r>
      <w:r>
        <w:rPr>
          <w:lang w:val="fr-CA"/>
        </w:rPr>
        <w:t>’</w:t>
      </w:r>
      <w:r w:rsidRPr="00336568">
        <w:rPr>
          <w:lang w:val="fr-CA"/>
        </w:rPr>
        <w:t>il n</w:t>
      </w:r>
      <w:r>
        <w:rPr>
          <w:lang w:val="fr-CA"/>
        </w:rPr>
        <w:t>’</w:t>
      </w:r>
      <w:r w:rsidRPr="00336568">
        <w:rPr>
          <w:lang w:val="fr-CA"/>
        </w:rPr>
        <w:t>est généralement pas possible de distinguer les apports des sources individuelles ou groupes de sources d</w:t>
      </w:r>
      <w:r>
        <w:rPr>
          <w:lang w:val="fr-CA"/>
        </w:rPr>
        <w:t>’</w:t>
      </w:r>
      <w:r w:rsidRPr="00336568">
        <w:rPr>
          <w:lang w:val="fr-CA"/>
        </w:rPr>
        <w:t>émission</w:t>
      </w:r>
      <w:r w:rsidRPr="00F22925">
        <w:rPr>
          <w:lang w:val="fr-CA"/>
        </w:rPr>
        <w:t>.</w:t>
      </w:r>
      <w:r w:rsidRPr="00336568">
        <w:rPr>
          <w:lang w:val="fr-CA"/>
        </w:rPr>
        <w:t xml:space="preserve"> </w:t>
      </w:r>
    </w:p>
    <w:p w14:paraId="48C291D4" w14:textId="77777777" w:rsidR="00D01ECD" w:rsidRPr="00336568" w:rsidRDefault="00D01ECD" w:rsidP="00D01ECD">
      <w:pPr>
        <w:pStyle w:val="SingleTxtG"/>
        <w:spacing w:after="100"/>
        <w:rPr>
          <w:lang w:val="fr-CA"/>
        </w:rPr>
      </w:pPr>
      <w:r w:rsidRPr="00336568">
        <w:rPr>
          <w:lang w:val="fr-CA"/>
        </w:rPr>
        <w:t>12)</w:t>
      </w:r>
      <w:r w:rsidRPr="00336568">
        <w:rPr>
          <w:lang w:val="fr-CA"/>
        </w:rPr>
        <w:tab/>
      </w:r>
      <w:r w:rsidRPr="00336568">
        <w:rPr>
          <w:shd w:val="clear" w:color="auto" w:fill="FFFFFF"/>
          <w:lang w:val="fr-CA"/>
        </w:rPr>
        <w:t>Ainsi qu</w:t>
      </w:r>
      <w:r>
        <w:rPr>
          <w:shd w:val="clear" w:color="auto" w:fill="FFFFFF"/>
          <w:lang w:val="fr-CA"/>
        </w:rPr>
        <w:t>’</w:t>
      </w:r>
      <w:r w:rsidRPr="00336568">
        <w:rPr>
          <w:shd w:val="clear" w:color="auto" w:fill="FFFFFF"/>
          <w:lang w:val="fr-CA"/>
        </w:rPr>
        <w:t>il ressort du projet de directive 2 ci-après, sur le champ d</w:t>
      </w:r>
      <w:r>
        <w:rPr>
          <w:shd w:val="clear" w:color="auto" w:fill="FFFFFF"/>
          <w:lang w:val="fr-CA"/>
        </w:rPr>
        <w:t>’</w:t>
      </w:r>
      <w:r w:rsidRPr="00336568">
        <w:rPr>
          <w:shd w:val="clear" w:color="auto" w:fill="FFFFFF"/>
          <w:lang w:val="fr-CA"/>
        </w:rPr>
        <w:t>application, le présent projet de directives concerne la protection de l</w:t>
      </w:r>
      <w:r>
        <w:rPr>
          <w:shd w:val="clear" w:color="auto" w:fill="FFFFFF"/>
          <w:lang w:val="fr-CA"/>
        </w:rPr>
        <w:t>’</w:t>
      </w:r>
      <w:r w:rsidRPr="00336568">
        <w:rPr>
          <w:shd w:val="clear" w:color="auto" w:fill="FFFFFF"/>
          <w:lang w:val="fr-CA"/>
        </w:rPr>
        <w:t>atmosphère contre la pollution atmosphérique et la dégradation atmosphérique</w:t>
      </w:r>
      <w:r w:rsidRPr="00F22925">
        <w:rPr>
          <w:shd w:val="clear" w:color="auto" w:fill="FFFFFF"/>
          <w:lang w:val="fr-CA"/>
        </w:rPr>
        <w:t>.</w:t>
      </w:r>
      <w:r w:rsidRPr="00336568">
        <w:rPr>
          <w:lang w:val="fr-CA"/>
        </w:rPr>
        <w:t xml:space="preserve"> Comme l</w:t>
      </w:r>
      <w:r>
        <w:rPr>
          <w:lang w:val="fr-CA"/>
        </w:rPr>
        <w:t>’</w:t>
      </w:r>
      <w:r w:rsidRPr="00336568">
        <w:rPr>
          <w:lang w:val="fr-CA"/>
        </w:rPr>
        <w:t>alinéa </w:t>
      </w:r>
      <w:r w:rsidRPr="00336568">
        <w:rPr>
          <w:i/>
          <w:iCs/>
          <w:lang w:val="fr-CA"/>
        </w:rPr>
        <w:t>b</w:t>
      </w:r>
      <w:r w:rsidRPr="00336568">
        <w:rPr>
          <w:lang w:val="fr-CA"/>
        </w:rPr>
        <w:t xml:space="preserve">) </w:t>
      </w:r>
      <w:r>
        <w:rPr>
          <w:lang w:val="fr-CA"/>
        </w:rPr>
        <w:t xml:space="preserve">concerne exclusivement </w:t>
      </w:r>
      <w:r w:rsidRPr="00336568">
        <w:rPr>
          <w:lang w:val="fr-CA"/>
        </w:rPr>
        <w:t xml:space="preserve">la pollution atmosphérique, il a fallu envisager les autres problèmes </w:t>
      </w:r>
      <w:r>
        <w:rPr>
          <w:lang w:val="fr-CA"/>
        </w:rPr>
        <w:t>ailleurs</w:t>
      </w:r>
      <w:r w:rsidRPr="00F22925">
        <w:rPr>
          <w:lang w:val="fr-CA"/>
        </w:rPr>
        <w:t>.</w:t>
      </w:r>
      <w:r w:rsidRPr="00336568">
        <w:rPr>
          <w:lang w:val="fr-CA"/>
        </w:rPr>
        <w:t xml:space="preserve"> C</w:t>
      </w:r>
      <w:r>
        <w:rPr>
          <w:lang w:val="fr-CA"/>
        </w:rPr>
        <w:t>’</w:t>
      </w:r>
      <w:r w:rsidRPr="00336568">
        <w:rPr>
          <w:lang w:val="fr-CA"/>
        </w:rPr>
        <w:t>est pourquoi l</w:t>
      </w:r>
      <w:r>
        <w:rPr>
          <w:lang w:val="fr-CA"/>
        </w:rPr>
        <w:t>’</w:t>
      </w:r>
      <w:r w:rsidRPr="00336568">
        <w:rPr>
          <w:lang w:val="fr-CA"/>
        </w:rPr>
        <w:t>alinéa </w:t>
      </w:r>
      <w:r w:rsidRPr="00336568">
        <w:rPr>
          <w:i/>
          <w:iCs/>
          <w:lang w:val="fr-CA"/>
        </w:rPr>
        <w:t>c</w:t>
      </w:r>
      <w:r w:rsidRPr="00336568">
        <w:rPr>
          <w:lang w:val="fr-CA"/>
        </w:rPr>
        <w:t>) est consacré à la dégradation atmosphérique</w:t>
      </w:r>
      <w:r>
        <w:rPr>
          <w:lang w:val="fr-CA"/>
        </w:rPr>
        <w:t>,</w:t>
      </w:r>
      <w:r w:rsidRPr="00336568">
        <w:rPr>
          <w:lang w:val="fr-CA"/>
        </w:rPr>
        <w:t xml:space="preserve"> qui, telle qu</w:t>
      </w:r>
      <w:r>
        <w:rPr>
          <w:lang w:val="fr-CA"/>
        </w:rPr>
        <w:t>’</w:t>
      </w:r>
      <w:r w:rsidRPr="00336568">
        <w:rPr>
          <w:lang w:val="fr-CA"/>
        </w:rPr>
        <w:t>elle est définie, englobe les problèmes de l</w:t>
      </w:r>
      <w:r>
        <w:rPr>
          <w:lang w:val="fr-CA"/>
        </w:rPr>
        <w:t>’</w:t>
      </w:r>
      <w:r w:rsidRPr="00336568">
        <w:rPr>
          <w:lang w:val="fr-CA"/>
        </w:rPr>
        <w:t>appauvrissement de la couche d</w:t>
      </w:r>
      <w:r>
        <w:rPr>
          <w:lang w:val="fr-CA"/>
        </w:rPr>
        <w:t>’</w:t>
      </w:r>
      <w:r w:rsidRPr="00336568">
        <w:rPr>
          <w:lang w:val="fr-CA"/>
        </w:rPr>
        <w:t>ozone et des changements climatiques</w:t>
      </w:r>
      <w:r w:rsidRPr="00F22925">
        <w:rPr>
          <w:lang w:val="fr-CA"/>
        </w:rPr>
        <w:t>.</w:t>
      </w:r>
      <w:r w:rsidRPr="00336568">
        <w:rPr>
          <w:lang w:val="fr-CA"/>
        </w:rPr>
        <w:t xml:space="preserve"> La dégradation atmosphérique couvre l</w:t>
      </w:r>
      <w:r>
        <w:rPr>
          <w:lang w:val="fr-CA"/>
        </w:rPr>
        <w:t>’</w:t>
      </w:r>
      <w:r w:rsidRPr="00336568">
        <w:rPr>
          <w:lang w:val="fr-CA"/>
        </w:rPr>
        <w:t>altération par l</w:t>
      </w:r>
      <w:r>
        <w:rPr>
          <w:lang w:val="fr-CA"/>
        </w:rPr>
        <w:t>’</w:t>
      </w:r>
      <w:r w:rsidRPr="00336568">
        <w:rPr>
          <w:lang w:val="fr-CA"/>
        </w:rPr>
        <w:t>homme, directement ou indirectement, des conditions atmosphériques mondiales</w:t>
      </w:r>
      <w:r w:rsidRPr="00F22925">
        <w:rPr>
          <w:lang w:val="fr-CA"/>
        </w:rPr>
        <w:t>.</w:t>
      </w:r>
      <w:r w:rsidRPr="00336568">
        <w:rPr>
          <w:lang w:val="fr-CA"/>
        </w:rPr>
        <w:t xml:space="preserve"> Il </w:t>
      </w:r>
      <w:r w:rsidRPr="00336568">
        <w:rPr>
          <w:lang w:val="fr-CA"/>
        </w:rPr>
        <w:lastRenderedPageBreak/>
        <w:t>peut s</w:t>
      </w:r>
      <w:r>
        <w:rPr>
          <w:lang w:val="fr-CA"/>
        </w:rPr>
        <w:t>’</w:t>
      </w:r>
      <w:r w:rsidRPr="00336568">
        <w:rPr>
          <w:lang w:val="fr-CA"/>
        </w:rPr>
        <w:t>agir de modifications apportées à l</w:t>
      </w:r>
      <w:r>
        <w:rPr>
          <w:lang w:val="fr-CA"/>
        </w:rPr>
        <w:t>’</w:t>
      </w:r>
      <w:r w:rsidRPr="00336568">
        <w:rPr>
          <w:lang w:val="fr-CA"/>
        </w:rPr>
        <w:t>environnement physique ou aux biotes ou d</w:t>
      </w:r>
      <w:r>
        <w:rPr>
          <w:lang w:val="fr-CA"/>
        </w:rPr>
        <w:t>’</w:t>
      </w:r>
      <w:r w:rsidRPr="00336568">
        <w:rPr>
          <w:lang w:val="fr-CA"/>
        </w:rPr>
        <w:t>une altération de la composition de l</w:t>
      </w:r>
      <w:r>
        <w:rPr>
          <w:lang w:val="fr-CA"/>
        </w:rPr>
        <w:t>’</w:t>
      </w:r>
      <w:r w:rsidRPr="00336568">
        <w:rPr>
          <w:lang w:val="fr-CA"/>
        </w:rPr>
        <w:t>atmosphère mondiale</w:t>
      </w:r>
      <w:r w:rsidRPr="00F22925">
        <w:rPr>
          <w:lang w:val="fr-CA"/>
        </w:rPr>
        <w:t>.</w:t>
      </w:r>
    </w:p>
    <w:p w14:paraId="6B615059" w14:textId="77777777" w:rsidR="00D01ECD" w:rsidRPr="00126902" w:rsidRDefault="00D01ECD" w:rsidP="00D01ECD">
      <w:pPr>
        <w:pStyle w:val="SingleTxtG"/>
        <w:spacing w:after="100"/>
        <w:rPr>
          <w:lang w:val="fr-CA"/>
        </w:rPr>
      </w:pPr>
      <w:r w:rsidRPr="00336568">
        <w:rPr>
          <w:lang w:val="fr-CA"/>
        </w:rPr>
        <w:t>13)</w:t>
      </w:r>
      <w:r w:rsidRPr="00336568">
        <w:rPr>
          <w:lang w:val="fr-CA"/>
        </w:rPr>
        <w:tab/>
        <w:t>La Convention de Vienne de 1985 pour la protection de la couche d</w:t>
      </w:r>
      <w:r>
        <w:rPr>
          <w:lang w:val="fr-CA"/>
        </w:rPr>
        <w:t>’</w:t>
      </w:r>
      <w:r w:rsidRPr="00336568">
        <w:rPr>
          <w:lang w:val="fr-CA"/>
        </w:rPr>
        <w:t>ozone</w:t>
      </w:r>
      <w:r w:rsidRPr="00F22830">
        <w:rPr>
          <w:rStyle w:val="FootnoteReference"/>
        </w:rPr>
        <w:footnoteReference w:id="56"/>
      </w:r>
      <w:r w:rsidRPr="00336568">
        <w:rPr>
          <w:lang w:val="fr-CA"/>
        </w:rPr>
        <w:t xml:space="preserve"> dispose, au paragraphe 2 de l</w:t>
      </w:r>
      <w:r>
        <w:rPr>
          <w:lang w:val="fr-CA"/>
        </w:rPr>
        <w:t>’</w:t>
      </w:r>
      <w:r w:rsidRPr="00336568">
        <w:rPr>
          <w:lang w:val="fr-CA"/>
        </w:rPr>
        <w:t>article premier, qu</w:t>
      </w:r>
      <w:r>
        <w:rPr>
          <w:lang w:val="fr-CA"/>
        </w:rPr>
        <w:t>’</w:t>
      </w:r>
      <w:r w:rsidRPr="00336568">
        <w:rPr>
          <w:lang w:val="fr-CA"/>
        </w:rPr>
        <w:t>il faut entendre par « effets néfastes » « les modifications apportées à l</w:t>
      </w:r>
      <w:r>
        <w:rPr>
          <w:lang w:val="fr-CA"/>
        </w:rPr>
        <w:t>’</w:t>
      </w:r>
      <w:r w:rsidRPr="00336568">
        <w:rPr>
          <w:lang w:val="fr-CA"/>
        </w:rPr>
        <w:t>environnement physique ou aux biotes, y compris les changements climatiques, qui exercent des effets nocifs significatifs sur la santé humaine ou sur la composition, la résistance et la productivité des écosystèmes naturels ou aménagés, ou sur les matériaux utiles à l</w:t>
      </w:r>
      <w:r>
        <w:rPr>
          <w:lang w:val="fr-CA"/>
        </w:rPr>
        <w:t>’</w:t>
      </w:r>
      <w:r w:rsidRPr="00336568">
        <w:rPr>
          <w:lang w:val="fr-CA"/>
        </w:rPr>
        <w:t>humanité »</w:t>
      </w:r>
      <w:r w:rsidRPr="00F22925">
        <w:rPr>
          <w:lang w:val="fr-CA"/>
        </w:rPr>
        <w:t>.</w:t>
      </w:r>
      <w:r w:rsidRPr="00336568">
        <w:rPr>
          <w:color w:val="333333"/>
          <w:shd w:val="clear" w:color="auto" w:fill="FFFFFF"/>
          <w:lang w:val="fr-CA"/>
        </w:rPr>
        <w:t xml:space="preserve"> </w:t>
      </w:r>
      <w:r w:rsidRPr="00336568">
        <w:rPr>
          <w:lang w:val="fr-CA"/>
        </w:rPr>
        <w:t>Le paragraphe 2 de l</w:t>
      </w:r>
      <w:r>
        <w:rPr>
          <w:lang w:val="fr-CA"/>
        </w:rPr>
        <w:t>’</w:t>
      </w:r>
      <w:r w:rsidRPr="00336568">
        <w:rPr>
          <w:lang w:val="fr-CA"/>
        </w:rPr>
        <w:t>article premier de la Convention-cadre des Nations Unies sur les changements climatiques définit l</w:t>
      </w:r>
      <w:r>
        <w:rPr>
          <w:lang w:val="fr-CA"/>
        </w:rPr>
        <w:t>’</w:t>
      </w:r>
      <w:r w:rsidRPr="00336568">
        <w:rPr>
          <w:lang w:val="fr-CA"/>
        </w:rPr>
        <w:t>expression « changements climatiques » comme « des changements de climat qui sont attribués directement ou indirectement à une activité humaine altérant la composition de l</w:t>
      </w:r>
      <w:r>
        <w:rPr>
          <w:lang w:val="fr-CA"/>
        </w:rPr>
        <w:t>’</w:t>
      </w:r>
      <w:r w:rsidRPr="00336568">
        <w:rPr>
          <w:lang w:val="fr-CA"/>
        </w:rPr>
        <w:t>atmosphère mondiale et qui viennent s</w:t>
      </w:r>
      <w:r>
        <w:rPr>
          <w:lang w:val="fr-CA"/>
        </w:rPr>
        <w:t>’</w:t>
      </w:r>
      <w:r w:rsidRPr="00336568">
        <w:rPr>
          <w:lang w:val="fr-CA"/>
        </w:rPr>
        <w:t>ajouter à la variabilité naturelle du climat observée au cours de périodes comparables »</w:t>
      </w:r>
      <w:r w:rsidRPr="00F22925">
        <w:rPr>
          <w:lang w:val="fr-CA"/>
        </w:rPr>
        <w:t>.</w:t>
      </w:r>
    </w:p>
    <w:p w14:paraId="0F545A79" w14:textId="77777777" w:rsidR="00D01ECD" w:rsidRPr="00E164D9" w:rsidRDefault="00D01ECD" w:rsidP="00D01ECD">
      <w:pPr>
        <w:pStyle w:val="H23G"/>
        <w:ind w:left="1701" w:hanging="1701"/>
        <w:rPr>
          <w:lang w:val="fr-FR"/>
        </w:rPr>
      </w:pPr>
      <w:r>
        <w:rPr>
          <w:lang w:val="fr-FR"/>
        </w:rPr>
        <w:tab/>
      </w:r>
      <w:r>
        <w:rPr>
          <w:lang w:val="fr-FR"/>
        </w:rPr>
        <w:tab/>
      </w:r>
      <w:r>
        <w:rPr>
          <w:lang w:val="fr-FR"/>
        </w:rPr>
        <w:tab/>
        <w:t>Directive</w:t>
      </w:r>
      <w:r w:rsidRPr="00E164D9">
        <w:rPr>
          <w:lang w:val="fr-FR"/>
        </w:rPr>
        <w:t xml:space="preserve"> 2 </w:t>
      </w:r>
      <w:r w:rsidRPr="00E164D9">
        <w:rPr>
          <w:lang w:val="fr-FR"/>
        </w:rPr>
        <w:br/>
      </w:r>
      <w:r>
        <w:rPr>
          <w:lang w:val="fr-FR"/>
        </w:rPr>
        <w:t>Champ d’application</w:t>
      </w:r>
    </w:p>
    <w:p w14:paraId="321F9C6A" w14:textId="77777777" w:rsidR="00D01ECD" w:rsidRPr="009E2208" w:rsidRDefault="00D01ECD" w:rsidP="00D01ECD">
      <w:pPr>
        <w:pStyle w:val="SingleTxtG"/>
        <w:spacing w:after="100"/>
        <w:ind w:left="1701"/>
        <w:rPr>
          <w:lang w:val="fr-FR"/>
        </w:rPr>
      </w:pPr>
      <w:r w:rsidRPr="009E2208">
        <w:rPr>
          <w:lang w:val="fr-FR"/>
        </w:rPr>
        <w:t>1</w:t>
      </w:r>
      <w:r w:rsidRPr="00F22925">
        <w:rPr>
          <w:lang w:val="fr-FR"/>
        </w:rPr>
        <w:t>.</w:t>
      </w:r>
      <w:r w:rsidRPr="00336568">
        <w:rPr>
          <w:lang w:val="fr-CA"/>
        </w:rPr>
        <w:tab/>
      </w:r>
      <w:r w:rsidRPr="009E2208">
        <w:rPr>
          <w:lang w:val="fr-FR"/>
        </w:rPr>
        <w:t>Le présent projet de directives concerne la protection de l</w:t>
      </w:r>
      <w:r>
        <w:rPr>
          <w:lang w:val="fr-FR"/>
        </w:rPr>
        <w:t>’</w:t>
      </w:r>
      <w:r w:rsidRPr="009E2208">
        <w:rPr>
          <w:lang w:val="fr-FR"/>
        </w:rPr>
        <w:t>atmosphère contre la pollution atmosphérique et la dégradation atmosphérique</w:t>
      </w:r>
      <w:r w:rsidRPr="00F22925">
        <w:rPr>
          <w:lang w:val="fr-FR"/>
        </w:rPr>
        <w:t>.</w:t>
      </w:r>
    </w:p>
    <w:p w14:paraId="01C05ACA" w14:textId="77777777" w:rsidR="00D01ECD" w:rsidRPr="009E2208" w:rsidRDefault="00D01ECD" w:rsidP="00D01ECD">
      <w:pPr>
        <w:pStyle w:val="SingleTxtG"/>
        <w:spacing w:after="100"/>
        <w:ind w:left="1701"/>
        <w:rPr>
          <w:lang w:val="fr-FR"/>
        </w:rPr>
      </w:pPr>
      <w:r w:rsidRPr="009E2208">
        <w:rPr>
          <w:lang w:val="fr-FR"/>
        </w:rPr>
        <w:t>2</w:t>
      </w:r>
      <w:r w:rsidRPr="00F22925">
        <w:rPr>
          <w:lang w:val="fr-FR"/>
        </w:rPr>
        <w:t>.</w:t>
      </w:r>
      <w:r w:rsidRPr="00336568">
        <w:rPr>
          <w:lang w:val="fr-CA"/>
        </w:rPr>
        <w:tab/>
      </w:r>
      <w:r w:rsidRPr="009E2208">
        <w:rPr>
          <w:lang w:val="fr-FR"/>
        </w:rPr>
        <w:t>Le présent projet de directives ne traite pas et est sans préjudice des questions relatives au principe « pollueur-payeur », au principe de précaution et au principe des responsabilités communes mais différenciées</w:t>
      </w:r>
      <w:r w:rsidRPr="00F22925">
        <w:rPr>
          <w:lang w:val="fr-FR"/>
        </w:rPr>
        <w:t>.</w:t>
      </w:r>
    </w:p>
    <w:p w14:paraId="4B67A769" w14:textId="77777777" w:rsidR="00D01ECD" w:rsidRDefault="00D01ECD" w:rsidP="00D01ECD">
      <w:pPr>
        <w:pStyle w:val="SingleTxtG"/>
        <w:spacing w:after="100"/>
        <w:ind w:left="1701"/>
        <w:rPr>
          <w:lang w:val="fr-FR"/>
        </w:rPr>
      </w:pPr>
      <w:r w:rsidRPr="009E2208">
        <w:rPr>
          <w:lang w:val="fr-FR"/>
        </w:rPr>
        <w:t>3</w:t>
      </w:r>
      <w:r w:rsidRPr="00F22925">
        <w:rPr>
          <w:lang w:val="fr-FR"/>
        </w:rPr>
        <w:t>.</w:t>
      </w:r>
      <w:r w:rsidRPr="00336568">
        <w:rPr>
          <w:lang w:val="fr-CA"/>
        </w:rPr>
        <w:tab/>
      </w:r>
      <w:r w:rsidRPr="009E2208">
        <w:rPr>
          <w:lang w:val="fr-FR"/>
        </w:rPr>
        <w:t>Rien dans le présent projet de directives ne remet en cause le statut de l</w:t>
      </w:r>
      <w:r>
        <w:rPr>
          <w:lang w:val="fr-FR"/>
        </w:rPr>
        <w:t>’</w:t>
      </w:r>
      <w:r w:rsidRPr="009E2208">
        <w:rPr>
          <w:lang w:val="fr-FR"/>
        </w:rPr>
        <w:t>espace aérien en vertu du droit international ni les questions relatives à l</w:t>
      </w:r>
      <w:r>
        <w:rPr>
          <w:lang w:val="fr-FR"/>
        </w:rPr>
        <w:t>’</w:t>
      </w:r>
      <w:r w:rsidRPr="009E2208">
        <w:rPr>
          <w:lang w:val="fr-FR"/>
        </w:rPr>
        <w:t xml:space="preserve">espace </w:t>
      </w:r>
      <w:r>
        <w:rPr>
          <w:lang w:val="fr-FR"/>
        </w:rPr>
        <w:t>extra</w:t>
      </w:r>
      <w:r>
        <w:rPr>
          <w:lang w:val="fr-FR"/>
        </w:rPr>
        <w:noBreakHyphen/>
        <w:t>atmosphérique</w:t>
      </w:r>
      <w:r w:rsidRPr="009E2208">
        <w:rPr>
          <w:lang w:val="fr-FR"/>
        </w:rPr>
        <w:t>, y compris sa délimitation</w:t>
      </w:r>
      <w:r w:rsidRPr="00F22925">
        <w:rPr>
          <w:lang w:val="fr-FR"/>
        </w:rPr>
        <w:t>.</w:t>
      </w:r>
    </w:p>
    <w:p w14:paraId="628E518B" w14:textId="77777777" w:rsidR="00D01ECD" w:rsidRDefault="00D01ECD" w:rsidP="00D01ECD">
      <w:pPr>
        <w:pStyle w:val="H23G"/>
        <w:rPr>
          <w:lang w:val="fr-FR"/>
        </w:rPr>
      </w:pPr>
      <w:r>
        <w:rPr>
          <w:lang w:val="fr-FR"/>
        </w:rPr>
        <w:tab/>
      </w:r>
      <w:r>
        <w:rPr>
          <w:lang w:val="fr-FR"/>
        </w:rPr>
        <w:tab/>
        <w:t>Commentaire</w:t>
      </w:r>
    </w:p>
    <w:p w14:paraId="08DB2FA5" w14:textId="77777777" w:rsidR="00D01ECD" w:rsidRPr="00336568" w:rsidRDefault="00D01ECD" w:rsidP="00D01ECD">
      <w:pPr>
        <w:pStyle w:val="SingleTxtG"/>
        <w:rPr>
          <w:lang w:val="fr-CA"/>
        </w:rPr>
      </w:pPr>
      <w:r w:rsidRPr="00336568">
        <w:rPr>
          <w:lang w:val="fr-CA"/>
        </w:rPr>
        <w:t>1)</w:t>
      </w:r>
      <w:r w:rsidRPr="00336568">
        <w:rPr>
          <w:lang w:val="fr-CA"/>
        </w:rPr>
        <w:tab/>
        <w:t>Le projet de directive 2 délimite le champ d</w:t>
      </w:r>
      <w:r>
        <w:rPr>
          <w:lang w:val="fr-CA"/>
        </w:rPr>
        <w:t>’</w:t>
      </w:r>
      <w:r w:rsidRPr="00336568">
        <w:rPr>
          <w:lang w:val="fr-CA"/>
        </w:rPr>
        <w:t xml:space="preserve">application du projet de directives </w:t>
      </w:r>
      <w:r>
        <w:rPr>
          <w:lang w:val="fr-CA"/>
        </w:rPr>
        <w:t>sur</w:t>
      </w:r>
      <w:r w:rsidRPr="00336568">
        <w:rPr>
          <w:lang w:val="fr-CA"/>
        </w:rPr>
        <w:t xml:space="preserve"> la protection de l</w:t>
      </w:r>
      <w:r>
        <w:rPr>
          <w:lang w:val="fr-CA"/>
        </w:rPr>
        <w:t>’</w:t>
      </w:r>
      <w:r w:rsidRPr="00336568">
        <w:rPr>
          <w:lang w:val="fr-CA"/>
        </w:rPr>
        <w:t>atmosphère</w:t>
      </w:r>
      <w:r w:rsidRPr="00F22925">
        <w:rPr>
          <w:lang w:val="fr-CA"/>
        </w:rPr>
        <w:t>.</w:t>
      </w:r>
      <w:r w:rsidRPr="00336568">
        <w:rPr>
          <w:lang w:val="fr-CA"/>
        </w:rPr>
        <w:t xml:space="preserve"> Le paragraphe 1 dispose que le projet de directives porte sur la protection de l</w:t>
      </w:r>
      <w:r>
        <w:rPr>
          <w:lang w:val="fr-CA"/>
        </w:rPr>
        <w:t>’</w:t>
      </w:r>
      <w:r w:rsidRPr="00336568">
        <w:rPr>
          <w:lang w:val="fr-CA"/>
        </w:rPr>
        <w:t>atmosphère contre la pollution atmosphérique et la dégradation atmosphérique</w:t>
      </w:r>
      <w:r w:rsidRPr="00F22925">
        <w:rPr>
          <w:lang w:val="fr-CA"/>
        </w:rPr>
        <w:t>.</w:t>
      </w:r>
      <w:r w:rsidRPr="00336568">
        <w:rPr>
          <w:lang w:val="fr-CA"/>
        </w:rPr>
        <w:t xml:space="preserve"> Les paragraphes 2 et 3 contiennent des clauses sans préjudice</w:t>
      </w:r>
      <w:r w:rsidRPr="00F22925">
        <w:rPr>
          <w:lang w:val="fr-CA"/>
        </w:rPr>
        <w:t>.</w:t>
      </w:r>
    </w:p>
    <w:p w14:paraId="5BBF80DE" w14:textId="77777777" w:rsidR="00D01ECD" w:rsidRPr="00336568" w:rsidRDefault="00D01ECD" w:rsidP="00D01ECD">
      <w:pPr>
        <w:pStyle w:val="SingleTxtG"/>
        <w:spacing w:after="100"/>
        <w:rPr>
          <w:lang w:val="fr-CA"/>
        </w:rPr>
      </w:pPr>
      <w:r w:rsidRPr="00336568">
        <w:rPr>
          <w:lang w:val="fr-CA"/>
        </w:rPr>
        <w:t>2)</w:t>
      </w:r>
      <w:r w:rsidRPr="00336568">
        <w:rPr>
          <w:lang w:val="fr-CA"/>
        </w:rPr>
        <w:tab/>
        <w:t>Le paragraphe 1 envisage la question de la protection de l</w:t>
      </w:r>
      <w:r>
        <w:rPr>
          <w:lang w:val="fr-CA"/>
        </w:rPr>
        <w:t>’</w:t>
      </w:r>
      <w:r w:rsidRPr="00336568">
        <w:rPr>
          <w:lang w:val="fr-CA"/>
        </w:rPr>
        <w:t>atmosphère sous deux angles, celui de la pollution atmosphérique et celui de la dégradation atmosphérique</w:t>
      </w:r>
      <w:r w:rsidRPr="00F22925">
        <w:rPr>
          <w:lang w:val="fr-CA"/>
        </w:rPr>
        <w:t>.</w:t>
      </w:r>
      <w:r w:rsidRPr="00336568">
        <w:rPr>
          <w:lang w:val="fr-CA"/>
        </w:rPr>
        <w:t xml:space="preserve"> Le projet de directives ne concerne que les causes d</w:t>
      </w:r>
      <w:r>
        <w:rPr>
          <w:lang w:val="fr-CA"/>
        </w:rPr>
        <w:t>’</w:t>
      </w:r>
      <w:r w:rsidRPr="00336568">
        <w:rPr>
          <w:lang w:val="fr-CA"/>
        </w:rPr>
        <w:t>origine anthropique, à l</w:t>
      </w:r>
      <w:r>
        <w:rPr>
          <w:lang w:val="fr-CA"/>
        </w:rPr>
        <w:t>’</w:t>
      </w:r>
      <w:r w:rsidRPr="00336568">
        <w:rPr>
          <w:lang w:val="fr-CA"/>
        </w:rPr>
        <w:t>exclusion des causes d</w:t>
      </w:r>
      <w:r>
        <w:rPr>
          <w:lang w:val="fr-CA"/>
        </w:rPr>
        <w:t>’</w:t>
      </w:r>
      <w:r w:rsidRPr="00336568">
        <w:rPr>
          <w:lang w:val="fr-CA"/>
        </w:rPr>
        <w:t>origine naturelle comme les éruptions volcaniques et les collisions avec des météorites</w:t>
      </w:r>
      <w:r w:rsidRPr="00F22925">
        <w:rPr>
          <w:lang w:val="fr-CA"/>
        </w:rPr>
        <w:t>.</w:t>
      </w:r>
      <w:r w:rsidRPr="00336568">
        <w:rPr>
          <w:lang w:val="fr-CA"/>
        </w:rPr>
        <w:t xml:space="preserve"> L</w:t>
      </w:r>
      <w:r>
        <w:rPr>
          <w:lang w:val="fr-CA"/>
        </w:rPr>
        <w:t>’</w:t>
      </w:r>
      <w:r w:rsidRPr="00336568">
        <w:rPr>
          <w:lang w:val="fr-CA"/>
        </w:rPr>
        <w:t>accent mis sur la pollution transfrontière et la dégradation atmosphérique mondiale causées par l</w:t>
      </w:r>
      <w:r>
        <w:rPr>
          <w:lang w:val="fr-CA"/>
        </w:rPr>
        <w:t>’</w:t>
      </w:r>
      <w:r w:rsidRPr="00336568">
        <w:rPr>
          <w:lang w:val="fr-CA"/>
        </w:rPr>
        <w:t>activité humaine reflète les réalités actuelles</w:t>
      </w:r>
      <w:r w:rsidRPr="00F22830">
        <w:rPr>
          <w:rStyle w:val="FootnoteReference"/>
        </w:rPr>
        <w:footnoteReference w:id="57"/>
      </w:r>
      <w:r w:rsidRPr="00F22925">
        <w:rPr>
          <w:lang w:val="fr-CA"/>
        </w:rPr>
        <w:t>.</w:t>
      </w:r>
    </w:p>
    <w:p w14:paraId="5CBF99C4" w14:textId="77777777" w:rsidR="00D01ECD" w:rsidRPr="00336568" w:rsidRDefault="00D01ECD" w:rsidP="00D01ECD">
      <w:pPr>
        <w:pStyle w:val="SingleTxtG"/>
        <w:spacing w:after="100"/>
        <w:rPr>
          <w:lang w:val="fr-CA"/>
        </w:rPr>
      </w:pPr>
      <w:r w:rsidRPr="00336568">
        <w:rPr>
          <w:lang w:val="fr-CA"/>
        </w:rPr>
        <w:t>3)</w:t>
      </w:r>
      <w:r w:rsidRPr="00336568">
        <w:rPr>
          <w:lang w:val="fr-CA"/>
        </w:rPr>
        <w:tab/>
        <w:t xml:space="preserve">Dans Action 21, il est dit que la </w:t>
      </w:r>
      <w:r>
        <w:rPr>
          <w:szCs w:val="24"/>
          <w:lang w:val="fr-FR"/>
        </w:rPr>
        <w:t>pollution atmosphérique transfrontière a des incidences nocives sur la santé des êtres humains et d’autres effets préjudiciables sur l’environnement, tels que la destruction d’arbres et de forêts et l’acidification des masses d’eau</w:t>
      </w:r>
      <w:r w:rsidRPr="00F22830">
        <w:rPr>
          <w:rStyle w:val="FootnoteReference"/>
        </w:rPr>
        <w:footnoteReference w:id="58"/>
      </w:r>
      <w:r w:rsidRPr="00F22925">
        <w:rPr>
          <w:szCs w:val="24"/>
          <w:lang w:val="fr-FR"/>
        </w:rPr>
        <w:t>.</w:t>
      </w:r>
      <w:r>
        <w:rPr>
          <w:szCs w:val="24"/>
          <w:lang w:val="fr-FR"/>
        </w:rPr>
        <w:t xml:space="preserve"> </w:t>
      </w:r>
      <w:r w:rsidRPr="00336568">
        <w:rPr>
          <w:lang w:val="fr-CA"/>
        </w:rPr>
        <w:t>En outre, d</w:t>
      </w:r>
      <w:r>
        <w:rPr>
          <w:lang w:val="fr-CA"/>
        </w:rPr>
        <w:t>’</w:t>
      </w:r>
      <w:r w:rsidRPr="00336568">
        <w:rPr>
          <w:lang w:val="fr-CA"/>
        </w:rPr>
        <w:t>après le GIEC, il est établi par la science, avec un degré de certitude de 95 %, que l</w:t>
      </w:r>
      <w:r>
        <w:rPr>
          <w:lang w:val="fr-CA"/>
        </w:rPr>
        <w:t>’</w:t>
      </w:r>
      <w:r w:rsidRPr="00336568">
        <w:rPr>
          <w:lang w:val="fr-CA"/>
        </w:rPr>
        <w:t xml:space="preserve">activité humaine est la cause principale du réchauffement observé depuis </w:t>
      </w:r>
      <w:r w:rsidRPr="00336568">
        <w:rPr>
          <w:lang w:val="fr-CA"/>
        </w:rPr>
        <w:lastRenderedPageBreak/>
        <w:t>le milieu du XX</w:t>
      </w:r>
      <w:r w:rsidRPr="00336568">
        <w:rPr>
          <w:vertAlign w:val="superscript"/>
          <w:lang w:val="fr-CA"/>
        </w:rPr>
        <w:t>e</w:t>
      </w:r>
      <w:r w:rsidRPr="00336568">
        <w:rPr>
          <w:lang w:val="fr-CA"/>
        </w:rPr>
        <w:t> siècle</w:t>
      </w:r>
      <w:r w:rsidRPr="00F22925">
        <w:rPr>
          <w:lang w:val="fr-CA"/>
        </w:rPr>
        <w:t>.</w:t>
      </w:r>
      <w:r w:rsidRPr="00336568">
        <w:rPr>
          <w:lang w:val="fr-CA"/>
        </w:rPr>
        <w:t xml:space="preserve"> Le Groupe d</w:t>
      </w:r>
      <w:r>
        <w:rPr>
          <w:lang w:val="fr-CA"/>
        </w:rPr>
        <w:t>’</w:t>
      </w:r>
      <w:r w:rsidRPr="00336568">
        <w:rPr>
          <w:lang w:val="fr-CA"/>
        </w:rPr>
        <w:t>experts a constaté que l</w:t>
      </w:r>
      <w:r>
        <w:rPr>
          <w:lang w:val="fr-CA"/>
        </w:rPr>
        <w:t>’</w:t>
      </w:r>
      <w:r w:rsidRPr="00336568">
        <w:rPr>
          <w:lang w:val="fr-CA"/>
        </w:rPr>
        <w:t xml:space="preserve">activité humaine </w:t>
      </w:r>
      <w:proofErr w:type="gramStart"/>
      <w:r w:rsidRPr="00336568">
        <w:rPr>
          <w:lang w:val="fr-CA"/>
        </w:rPr>
        <w:t>avait</w:t>
      </w:r>
      <w:proofErr w:type="gramEnd"/>
      <w:r w:rsidRPr="00336568">
        <w:rPr>
          <w:lang w:val="fr-CA"/>
        </w:rPr>
        <w:t xml:space="preserve"> clairement une influence sur le système climatique, influence qui se manifeste notamment par le réchauffement de l</w:t>
      </w:r>
      <w:r>
        <w:rPr>
          <w:lang w:val="fr-CA"/>
        </w:rPr>
        <w:t>’</w:t>
      </w:r>
      <w:r w:rsidRPr="00336568">
        <w:rPr>
          <w:lang w:val="fr-CA"/>
        </w:rPr>
        <w:t>atmosphère et des océans, les modifications du cycle de l</w:t>
      </w:r>
      <w:r>
        <w:rPr>
          <w:lang w:val="fr-CA"/>
        </w:rPr>
        <w:t>’</w:t>
      </w:r>
      <w:r w:rsidRPr="00336568">
        <w:rPr>
          <w:lang w:val="fr-CA"/>
        </w:rPr>
        <w:t>eau au niveau mondial, la réduction du manteau neigeux et du stock de glace, l</w:t>
      </w:r>
      <w:r>
        <w:rPr>
          <w:lang w:val="fr-CA"/>
        </w:rPr>
        <w:t>’</w:t>
      </w:r>
      <w:r w:rsidRPr="00336568">
        <w:rPr>
          <w:lang w:val="fr-CA"/>
        </w:rPr>
        <w:t>élévation du niveau moyen des océans et des mers de la planète, et les modifications de certains phénomènes climatiques extrêmes</w:t>
      </w:r>
      <w:r w:rsidRPr="00F22830">
        <w:rPr>
          <w:rStyle w:val="FootnoteReference"/>
        </w:rPr>
        <w:footnoteReference w:id="59"/>
      </w:r>
      <w:r w:rsidRPr="00F22925">
        <w:rPr>
          <w:lang w:val="fr-CA"/>
        </w:rPr>
        <w:t>.</w:t>
      </w:r>
      <w:r w:rsidRPr="00336568">
        <w:rPr>
          <w:lang w:val="fr-CA"/>
        </w:rPr>
        <w:t xml:space="preserve"> Le Groupe d</w:t>
      </w:r>
      <w:r>
        <w:rPr>
          <w:lang w:val="fr-CA"/>
        </w:rPr>
        <w:t>’</w:t>
      </w:r>
      <w:r w:rsidRPr="00336568">
        <w:rPr>
          <w:lang w:val="fr-CA"/>
        </w:rPr>
        <w:t>experts a également constaté qu</w:t>
      </w:r>
      <w:r>
        <w:rPr>
          <w:lang w:val="fr-CA"/>
        </w:rPr>
        <w:t>’</w:t>
      </w:r>
      <w:r w:rsidRPr="00336568">
        <w:rPr>
          <w:lang w:val="fr-CA"/>
        </w:rPr>
        <w:t>il était extrêmement vraisemblable que plus de la moitié de l</w:t>
      </w:r>
      <w:r>
        <w:rPr>
          <w:lang w:val="fr-CA"/>
        </w:rPr>
        <w:t>’</w:t>
      </w:r>
      <w:r w:rsidRPr="00336568">
        <w:rPr>
          <w:lang w:val="fr-CA"/>
        </w:rPr>
        <w:t>élévation de la température moyenne observée à la surface du globe de 1951 à 2010 soit imputable à la fois à l</w:t>
      </w:r>
      <w:r>
        <w:rPr>
          <w:lang w:val="fr-CA"/>
        </w:rPr>
        <w:t>’</w:t>
      </w:r>
      <w:r w:rsidRPr="00336568">
        <w:rPr>
          <w:lang w:val="fr-CA"/>
        </w:rPr>
        <w:t>augmentation des concentrations de gaz à effet de serre due à l</w:t>
      </w:r>
      <w:r>
        <w:rPr>
          <w:lang w:val="fr-CA"/>
        </w:rPr>
        <w:t>’</w:t>
      </w:r>
      <w:r w:rsidRPr="00336568">
        <w:rPr>
          <w:lang w:val="fr-CA"/>
        </w:rPr>
        <w:t>homme et à d</w:t>
      </w:r>
      <w:r>
        <w:rPr>
          <w:lang w:val="fr-CA"/>
        </w:rPr>
        <w:t>’</w:t>
      </w:r>
      <w:r w:rsidRPr="00336568">
        <w:rPr>
          <w:lang w:val="fr-CA"/>
        </w:rPr>
        <w:t>autres facteurs d</w:t>
      </w:r>
      <w:r>
        <w:rPr>
          <w:lang w:val="fr-CA"/>
        </w:rPr>
        <w:t>’</w:t>
      </w:r>
      <w:r w:rsidRPr="00336568">
        <w:rPr>
          <w:lang w:val="fr-CA"/>
        </w:rPr>
        <w:t>origine anthropique</w:t>
      </w:r>
      <w:r w:rsidRPr="00F22830">
        <w:rPr>
          <w:rStyle w:val="FootnoteReference"/>
        </w:rPr>
        <w:footnoteReference w:id="60"/>
      </w:r>
      <w:r w:rsidRPr="00F22925">
        <w:rPr>
          <w:lang w:val="fr-CA"/>
        </w:rPr>
        <w:t>.</w:t>
      </w:r>
    </w:p>
    <w:p w14:paraId="3D7ADB3B" w14:textId="77777777" w:rsidR="00D01ECD" w:rsidRPr="00336568" w:rsidRDefault="00D01ECD" w:rsidP="00D01ECD">
      <w:pPr>
        <w:pStyle w:val="SingleTxtG"/>
        <w:rPr>
          <w:lang w:val="fr-CA"/>
        </w:rPr>
      </w:pPr>
      <w:r w:rsidRPr="00336568">
        <w:rPr>
          <w:lang w:val="fr-CA"/>
        </w:rPr>
        <w:t>4)</w:t>
      </w:r>
      <w:r w:rsidRPr="00336568">
        <w:rPr>
          <w:lang w:val="fr-CA"/>
        </w:rPr>
        <w:tab/>
        <w:t xml:space="preserve">Les directives ne traitent pas de la pollution </w:t>
      </w:r>
      <w:r>
        <w:rPr>
          <w:lang w:val="fr-CA"/>
        </w:rPr>
        <w:t>nationale</w:t>
      </w:r>
      <w:r w:rsidRPr="00336568">
        <w:rPr>
          <w:lang w:val="fr-CA"/>
        </w:rPr>
        <w:t xml:space="preserve"> ou local</w:t>
      </w:r>
      <w:r>
        <w:rPr>
          <w:lang w:val="fr-CA"/>
        </w:rPr>
        <w:t>e en tant que telle</w:t>
      </w:r>
      <w:r w:rsidRPr="00F22925">
        <w:rPr>
          <w:lang w:val="fr-CA"/>
        </w:rPr>
        <w:t>.</w:t>
      </w:r>
      <w:r w:rsidRPr="00336568">
        <w:rPr>
          <w:lang w:val="fr-CA"/>
        </w:rPr>
        <w:t xml:space="preserve"> On notera toutefois que, en ce qui concerne la protection atmosphérique, ce qui se produit localement peut parfois avoir des incidences aux niveaux transfrontière et mondial</w:t>
      </w:r>
      <w:r w:rsidRPr="00F22925">
        <w:rPr>
          <w:lang w:val="fr-CA"/>
        </w:rPr>
        <w:t>.</w:t>
      </w:r>
      <w:r w:rsidRPr="00336568">
        <w:rPr>
          <w:lang w:val="fr-CA"/>
        </w:rPr>
        <w:t xml:space="preserve"> Les mesures prises par l</w:t>
      </w:r>
      <w:r>
        <w:rPr>
          <w:lang w:val="fr-CA"/>
        </w:rPr>
        <w:t>’</w:t>
      </w:r>
      <w:r w:rsidRPr="00336568">
        <w:rPr>
          <w:lang w:val="fr-CA"/>
        </w:rPr>
        <w:t>homme, individuellement ou collectivement, pour améliorer la situation peuvent avoir à tenir compte de l</w:t>
      </w:r>
      <w:r>
        <w:rPr>
          <w:lang w:val="fr-CA"/>
        </w:rPr>
        <w:t>’</w:t>
      </w:r>
      <w:r w:rsidRPr="00336568">
        <w:rPr>
          <w:lang w:val="fr-CA"/>
        </w:rPr>
        <w:t>ensemble de l</w:t>
      </w:r>
      <w:r>
        <w:rPr>
          <w:lang w:val="fr-CA"/>
        </w:rPr>
        <w:t>’</w:t>
      </w:r>
      <w:r w:rsidRPr="00336568">
        <w:rPr>
          <w:lang w:val="fr-CA"/>
        </w:rPr>
        <w:t>atmosphère, de l</w:t>
      </w:r>
      <w:r>
        <w:rPr>
          <w:lang w:val="fr-CA"/>
        </w:rPr>
        <w:t>’</w:t>
      </w:r>
      <w:r w:rsidRPr="00336568">
        <w:rPr>
          <w:lang w:val="fr-CA"/>
        </w:rPr>
        <w:t>hydrosphère, de la biosphère et de la géosphère et de leurs interactions</w:t>
      </w:r>
      <w:r w:rsidRPr="00F22925">
        <w:rPr>
          <w:lang w:val="fr-CA"/>
        </w:rPr>
        <w:t>.</w:t>
      </w:r>
    </w:p>
    <w:p w14:paraId="2D3936E8" w14:textId="77777777" w:rsidR="00D01ECD" w:rsidRPr="00336568" w:rsidRDefault="00D01ECD" w:rsidP="00D01ECD">
      <w:pPr>
        <w:pStyle w:val="SingleTxtG"/>
        <w:rPr>
          <w:lang w:val="fr-CA"/>
        </w:rPr>
      </w:pPr>
      <w:r w:rsidRPr="00336568">
        <w:rPr>
          <w:lang w:val="fr-CA"/>
        </w:rPr>
        <w:t>5)</w:t>
      </w:r>
      <w:r w:rsidRPr="00336568">
        <w:rPr>
          <w:lang w:val="fr-CA"/>
        </w:rPr>
        <w:tab/>
        <w:t>Le dioxyde de soufre et les oxydes d</w:t>
      </w:r>
      <w:r>
        <w:rPr>
          <w:lang w:val="fr-CA"/>
        </w:rPr>
        <w:t>’</w:t>
      </w:r>
      <w:r w:rsidRPr="00336568">
        <w:rPr>
          <w:lang w:val="fr-CA"/>
        </w:rPr>
        <w:t>azote sont les principales sources de pollution atmosphérique transfrontière</w:t>
      </w:r>
      <w:r w:rsidRPr="00F22830">
        <w:rPr>
          <w:rStyle w:val="FootnoteReference"/>
        </w:rPr>
        <w:footnoteReference w:id="61"/>
      </w:r>
      <w:r w:rsidRPr="00336568">
        <w:rPr>
          <w:lang w:val="fr-CA"/>
        </w:rPr>
        <w:t>, et les changements climatiques et l</w:t>
      </w:r>
      <w:r>
        <w:rPr>
          <w:lang w:val="fr-CA"/>
        </w:rPr>
        <w:t>’</w:t>
      </w:r>
      <w:r w:rsidRPr="00336568">
        <w:rPr>
          <w:lang w:val="fr-CA"/>
        </w:rPr>
        <w:t>appauvrissement de la couche d</w:t>
      </w:r>
      <w:r>
        <w:rPr>
          <w:lang w:val="fr-CA"/>
        </w:rPr>
        <w:t>’</w:t>
      </w:r>
      <w:r w:rsidRPr="00336568">
        <w:rPr>
          <w:lang w:val="fr-CA"/>
        </w:rPr>
        <w:t>ozone sont les deux principaux problèmes conduisant à la dégradation atmosphérique</w:t>
      </w:r>
      <w:r w:rsidRPr="00F22830">
        <w:rPr>
          <w:rStyle w:val="FootnoteReference"/>
        </w:rPr>
        <w:footnoteReference w:id="62"/>
      </w:r>
      <w:r w:rsidRPr="00F22925">
        <w:rPr>
          <w:lang w:val="fr-CA"/>
        </w:rPr>
        <w:t>.</w:t>
      </w:r>
      <w:r w:rsidRPr="00336568">
        <w:rPr>
          <w:lang w:val="fr-CA"/>
        </w:rPr>
        <w:t xml:space="preserve"> Certaines substances qui ont pour effet d</w:t>
      </w:r>
      <w:r>
        <w:rPr>
          <w:lang w:val="fr-CA"/>
        </w:rPr>
        <w:t>’</w:t>
      </w:r>
      <w:r w:rsidRPr="00336568">
        <w:rPr>
          <w:lang w:val="fr-CA"/>
        </w:rPr>
        <w:t>appauvrir la couche d</w:t>
      </w:r>
      <w:r>
        <w:rPr>
          <w:lang w:val="fr-CA"/>
        </w:rPr>
        <w:t>’</w:t>
      </w:r>
      <w:r w:rsidRPr="00336568">
        <w:rPr>
          <w:lang w:val="fr-CA"/>
        </w:rPr>
        <w:t>ozone contribuent aussi au réchauffement de la planète</w:t>
      </w:r>
      <w:r w:rsidRPr="00F22830">
        <w:rPr>
          <w:rStyle w:val="FootnoteReference"/>
        </w:rPr>
        <w:footnoteReference w:id="63"/>
      </w:r>
      <w:r w:rsidRPr="00F22925">
        <w:rPr>
          <w:lang w:val="fr-CA"/>
        </w:rPr>
        <w:t>.</w:t>
      </w:r>
    </w:p>
    <w:p w14:paraId="06FC3F45" w14:textId="77777777" w:rsidR="00D01ECD" w:rsidRPr="00336568" w:rsidRDefault="00D01ECD" w:rsidP="00D01ECD">
      <w:pPr>
        <w:pStyle w:val="SingleTxtG"/>
        <w:rPr>
          <w:lang w:val="fr-CA"/>
        </w:rPr>
      </w:pPr>
      <w:r w:rsidRPr="00336568">
        <w:rPr>
          <w:lang w:val="fr-CA"/>
        </w:rPr>
        <w:t>6)</w:t>
      </w:r>
      <w:r w:rsidRPr="00336568">
        <w:rPr>
          <w:lang w:val="fr-CA"/>
        </w:rPr>
        <w:tab/>
        <w:t>Le paragraphe 2 précise ce qui n</w:t>
      </w:r>
      <w:r>
        <w:rPr>
          <w:lang w:val="fr-CA"/>
        </w:rPr>
        <w:t>’</w:t>
      </w:r>
      <w:r w:rsidRPr="00336568">
        <w:rPr>
          <w:lang w:val="fr-CA"/>
        </w:rPr>
        <w:t xml:space="preserve">est pas couvert par </w:t>
      </w:r>
      <w:r>
        <w:rPr>
          <w:lang w:val="fr-CA"/>
        </w:rPr>
        <w:t>le</w:t>
      </w:r>
      <w:r w:rsidRPr="00336568">
        <w:rPr>
          <w:lang w:val="fr-CA"/>
        </w:rPr>
        <w:t xml:space="preserve"> présent</w:t>
      </w:r>
      <w:r>
        <w:rPr>
          <w:lang w:val="fr-CA"/>
        </w:rPr>
        <w:t xml:space="preserve"> projet de</w:t>
      </w:r>
      <w:r w:rsidRPr="00336568">
        <w:rPr>
          <w:lang w:val="fr-CA"/>
        </w:rPr>
        <w:t xml:space="preserve"> directives</w:t>
      </w:r>
      <w:r w:rsidRPr="00F22925">
        <w:rPr>
          <w:lang w:val="fr-CA"/>
        </w:rPr>
        <w:t>.</w:t>
      </w:r>
      <w:r w:rsidRPr="00336568">
        <w:rPr>
          <w:lang w:val="fr-CA"/>
        </w:rPr>
        <w:t xml:space="preserve"> Il reflète les conditions fixées par la Commission en 2013 et doit être lu conjointement avec le huitième alinéa du préambule</w:t>
      </w:r>
      <w:r w:rsidRPr="00F22925">
        <w:rPr>
          <w:lang w:val="fr-CA"/>
        </w:rPr>
        <w:t>.</w:t>
      </w:r>
      <w:r w:rsidRPr="00336568">
        <w:rPr>
          <w:lang w:val="fr-CA"/>
        </w:rPr>
        <w:t xml:space="preserve"> </w:t>
      </w:r>
      <w:r>
        <w:rPr>
          <w:lang w:val="fr-CA"/>
        </w:rPr>
        <w:t>Dans un souci de clarté, le texte des conditions, dans lequel il est dit</w:t>
      </w:r>
      <w:r w:rsidRPr="00336568">
        <w:rPr>
          <w:lang w:val="fr-CA"/>
        </w:rPr>
        <w:t xml:space="preserve"> les travaux « ne concerneraient pas [certaines questions] …, mais seraient aussi sans préjudice de ces questions », </w:t>
      </w:r>
      <w:r>
        <w:rPr>
          <w:lang w:val="fr-CA"/>
        </w:rPr>
        <w:t xml:space="preserve">a été remanié et </w:t>
      </w:r>
      <w:r w:rsidRPr="00336568">
        <w:rPr>
          <w:lang w:val="fr-CA"/>
        </w:rPr>
        <w:t xml:space="preserve">les deux membres de phrase </w:t>
      </w:r>
      <w:r>
        <w:rPr>
          <w:lang w:val="fr-CA"/>
        </w:rPr>
        <w:t xml:space="preserve">ont été reliés </w:t>
      </w:r>
      <w:r w:rsidRPr="00336568">
        <w:rPr>
          <w:lang w:val="fr-CA"/>
        </w:rPr>
        <w:t>par la conjonction « et » au lieu de la conjonction « mais »</w:t>
      </w:r>
      <w:r w:rsidRPr="00F22925">
        <w:rPr>
          <w:lang w:val="fr-CA"/>
        </w:rPr>
        <w:t>.</w:t>
      </w:r>
      <w:r w:rsidRPr="00336568">
        <w:rPr>
          <w:lang w:val="fr-CA"/>
        </w:rPr>
        <w:t xml:space="preserve"> Le paragraphe 2 explique que les questions </w:t>
      </w:r>
      <w:r w:rsidRPr="009E2208">
        <w:rPr>
          <w:lang w:val="fr-FR"/>
        </w:rPr>
        <w:t>relatives au principe « pollueur-payeur », au principe de précaution et au principe des responsabilités communes mais différenciées</w:t>
      </w:r>
      <w:r>
        <w:rPr>
          <w:lang w:val="fr-FR"/>
        </w:rPr>
        <w:t xml:space="preserve"> sont exclues du présent projet de directives</w:t>
      </w:r>
      <w:r w:rsidRPr="00F22925">
        <w:rPr>
          <w:lang w:val="fr-FR"/>
        </w:rPr>
        <w:t>.</w:t>
      </w:r>
      <w:r>
        <w:rPr>
          <w:lang w:val="fr-FR"/>
        </w:rPr>
        <w:t xml:space="preserve"> Il convient de noter que le fait de ne pas traiter ces principes ne signifie en aucun cas qu’ils sont dénués de pertinence sur le plan juridique</w:t>
      </w:r>
      <w:r w:rsidRPr="00F22925">
        <w:rPr>
          <w:lang w:val="fr-FR"/>
        </w:rPr>
        <w:t>.</w:t>
      </w:r>
      <w:r>
        <w:rPr>
          <w:lang w:val="fr-FR"/>
        </w:rPr>
        <w:t xml:space="preserve"> Les conditions fixées en 2013 excluaient aussi de la portée du sujet les questions relatives à </w:t>
      </w:r>
      <w:r w:rsidRPr="00336568">
        <w:rPr>
          <w:lang w:val="fr-CA"/>
        </w:rPr>
        <w:t>la responsabilité de l</w:t>
      </w:r>
      <w:r>
        <w:rPr>
          <w:lang w:val="fr-CA"/>
        </w:rPr>
        <w:t>’</w:t>
      </w:r>
      <w:r w:rsidRPr="00336568">
        <w:rPr>
          <w:lang w:val="fr-CA"/>
        </w:rPr>
        <w:t>État et de ses ressortissants et au transfert de fonds et de technologie, y compris des droits de propriété intellectuelle, vers les pays en développement</w:t>
      </w:r>
      <w:r w:rsidRPr="00F22925">
        <w:rPr>
          <w:lang w:val="fr-CA"/>
        </w:rPr>
        <w:t>.</w:t>
      </w:r>
    </w:p>
    <w:p w14:paraId="1613FD81" w14:textId="77777777" w:rsidR="00D01ECD" w:rsidRPr="00336568" w:rsidRDefault="00D01ECD" w:rsidP="00D01ECD">
      <w:pPr>
        <w:pStyle w:val="SingleTxtG"/>
        <w:rPr>
          <w:lang w:val="fr-CA"/>
        </w:rPr>
      </w:pPr>
      <w:r w:rsidRPr="00336568">
        <w:rPr>
          <w:lang w:val="fr-CA"/>
        </w:rPr>
        <w:t>7)</w:t>
      </w:r>
      <w:r w:rsidRPr="00336568">
        <w:rPr>
          <w:lang w:val="fr-CA"/>
        </w:rPr>
        <w:tab/>
        <w:t xml:space="preserve">Selon les conditions fixées en 2013, </w:t>
      </w:r>
      <w:r>
        <w:rPr>
          <w:lang w:val="fr-CA"/>
        </w:rPr>
        <w:t xml:space="preserve">« [d]ans le cadre de ses travaux sur ce sujet, la Commission </w:t>
      </w:r>
      <w:r w:rsidRPr="00336568">
        <w:rPr>
          <w:lang w:val="fr-CA"/>
        </w:rPr>
        <w:t>ne traiterait pas non plus de questions relatives à certaines substances qui font l</w:t>
      </w:r>
      <w:r>
        <w:rPr>
          <w:lang w:val="fr-CA"/>
        </w:rPr>
        <w:t>’</w:t>
      </w:r>
      <w:r w:rsidRPr="00336568">
        <w:rPr>
          <w:lang w:val="fr-CA"/>
        </w:rPr>
        <w:t>objet de négociations interétatiques, comme le noir de carbone ou l</w:t>
      </w:r>
      <w:r>
        <w:rPr>
          <w:lang w:val="fr-CA"/>
        </w:rPr>
        <w:t>’</w:t>
      </w:r>
      <w:r w:rsidRPr="00336568">
        <w:rPr>
          <w:lang w:val="fr-CA"/>
        </w:rPr>
        <w:t>ozone troposphérique, et à d</w:t>
      </w:r>
      <w:r>
        <w:rPr>
          <w:lang w:val="fr-CA"/>
        </w:rPr>
        <w:t>’</w:t>
      </w:r>
      <w:r w:rsidRPr="00336568">
        <w:rPr>
          <w:lang w:val="fr-CA"/>
        </w:rPr>
        <w:t>autres substances à double impact »</w:t>
      </w:r>
      <w:r w:rsidRPr="00F22925">
        <w:rPr>
          <w:lang w:val="fr-CA"/>
        </w:rPr>
        <w:t>.</w:t>
      </w:r>
      <w:r w:rsidRPr="00336568">
        <w:rPr>
          <w:lang w:val="fr-CA"/>
        </w:rPr>
        <w:t xml:space="preserve"> Cette exclusion n</w:t>
      </w:r>
      <w:r>
        <w:rPr>
          <w:lang w:val="fr-CA"/>
        </w:rPr>
        <w:t>’</w:t>
      </w:r>
      <w:r w:rsidRPr="00336568">
        <w:rPr>
          <w:lang w:val="fr-CA"/>
        </w:rPr>
        <w:t xml:space="preserve">est pas non plus mentionnée dans le texte </w:t>
      </w:r>
      <w:r>
        <w:rPr>
          <w:lang w:val="fr-CA"/>
        </w:rPr>
        <w:t>du projet de</w:t>
      </w:r>
      <w:r w:rsidRPr="00336568">
        <w:rPr>
          <w:lang w:val="fr-CA"/>
        </w:rPr>
        <w:t xml:space="preserve"> directive</w:t>
      </w:r>
      <w:r w:rsidRPr="00F22925">
        <w:rPr>
          <w:lang w:val="fr-CA"/>
        </w:rPr>
        <w:t>.</w:t>
      </w:r>
    </w:p>
    <w:p w14:paraId="17F103A0" w14:textId="77777777" w:rsidR="00D01ECD" w:rsidRPr="00336568" w:rsidRDefault="00D01ECD" w:rsidP="00D01ECD">
      <w:pPr>
        <w:pStyle w:val="SingleTxtG"/>
        <w:rPr>
          <w:lang w:val="fr-CA"/>
        </w:rPr>
      </w:pPr>
      <w:r w:rsidRPr="00336568">
        <w:rPr>
          <w:lang w:val="fr-CA"/>
        </w:rPr>
        <w:lastRenderedPageBreak/>
        <w:t>8)</w:t>
      </w:r>
      <w:r w:rsidRPr="00336568">
        <w:rPr>
          <w:lang w:val="fr-CA"/>
        </w:rPr>
        <w:tab/>
        <w:t>Le paragraphe 3 est une clause de sauvegarde qui précise que le projet de directives ne remet pas en cause le statut de l</w:t>
      </w:r>
      <w:r>
        <w:rPr>
          <w:lang w:val="fr-CA"/>
        </w:rPr>
        <w:t>’</w:t>
      </w:r>
      <w:r w:rsidRPr="00336568">
        <w:rPr>
          <w:lang w:val="fr-CA"/>
        </w:rPr>
        <w:t>espace aérien en vertu du droit international</w:t>
      </w:r>
      <w:r w:rsidRPr="00F22925">
        <w:rPr>
          <w:lang w:val="fr-CA"/>
        </w:rPr>
        <w:t>.</w:t>
      </w:r>
      <w:r w:rsidRPr="00336568">
        <w:rPr>
          <w:lang w:val="fr-CA"/>
        </w:rPr>
        <w:t xml:space="preserve"> L</w:t>
      </w:r>
      <w:r>
        <w:rPr>
          <w:lang w:val="fr-CA"/>
        </w:rPr>
        <w:t>’</w:t>
      </w:r>
      <w:r w:rsidRPr="00336568">
        <w:rPr>
          <w:lang w:val="fr-CA"/>
        </w:rPr>
        <w:t>atmosphère et l</w:t>
      </w:r>
      <w:r>
        <w:rPr>
          <w:lang w:val="fr-CA"/>
        </w:rPr>
        <w:t>’</w:t>
      </w:r>
      <w:r w:rsidRPr="00336568">
        <w:rPr>
          <w:lang w:val="fr-CA"/>
        </w:rPr>
        <w:t>espace aérien sont deux notions différentes qu</w:t>
      </w:r>
      <w:r>
        <w:rPr>
          <w:lang w:val="fr-CA"/>
        </w:rPr>
        <w:t>’</w:t>
      </w:r>
      <w:r w:rsidRPr="00336568">
        <w:rPr>
          <w:lang w:val="fr-CA"/>
        </w:rPr>
        <w:t>il convient de distinguer</w:t>
      </w:r>
      <w:r w:rsidRPr="00F22925">
        <w:rPr>
          <w:lang w:val="fr-CA"/>
        </w:rPr>
        <w:t>.</w:t>
      </w:r>
      <w:r w:rsidRPr="00336568">
        <w:rPr>
          <w:lang w:val="fr-CA"/>
        </w:rPr>
        <w:t xml:space="preserve"> Les</w:t>
      </w:r>
      <w:r>
        <w:rPr>
          <w:lang w:val="fr-CA"/>
        </w:rPr>
        <w:t xml:space="preserve"> </w:t>
      </w:r>
      <w:r w:rsidRPr="00336568">
        <w:rPr>
          <w:lang w:val="fr-CA"/>
        </w:rPr>
        <w:t>régimes dont relèvent l</w:t>
      </w:r>
      <w:r>
        <w:rPr>
          <w:lang w:val="fr-CA"/>
        </w:rPr>
        <w:t>’</w:t>
      </w:r>
      <w:r w:rsidRPr="00336568">
        <w:rPr>
          <w:lang w:val="fr-CA"/>
        </w:rPr>
        <w:t>atmosphère et l</w:t>
      </w:r>
      <w:r>
        <w:rPr>
          <w:lang w:val="fr-CA"/>
        </w:rPr>
        <w:t>’</w:t>
      </w:r>
      <w:r w:rsidRPr="00336568">
        <w:rPr>
          <w:lang w:val="fr-CA"/>
        </w:rPr>
        <w:t>espace extra</w:t>
      </w:r>
      <w:r w:rsidRPr="00336568">
        <w:rPr>
          <w:lang w:val="fr-CA"/>
        </w:rPr>
        <w:noBreakHyphen/>
        <w:t>atmosphérique sont également distincts</w:t>
      </w:r>
      <w:r w:rsidRPr="00F22925">
        <w:rPr>
          <w:lang w:val="fr-CA"/>
        </w:rPr>
        <w:t>.</w:t>
      </w:r>
      <w:r w:rsidRPr="00336568">
        <w:rPr>
          <w:lang w:val="fr-CA"/>
        </w:rPr>
        <w:t xml:space="preserve"> En conséquence, le projet de directives ne remet pas en cause le statut juridique de l</w:t>
      </w:r>
      <w:r>
        <w:rPr>
          <w:lang w:val="fr-CA"/>
        </w:rPr>
        <w:t>’</w:t>
      </w:r>
      <w:r w:rsidRPr="00336568">
        <w:rPr>
          <w:lang w:val="fr-CA"/>
        </w:rPr>
        <w:t>espace aérien et ne traite pas des questions relatives à l</w:t>
      </w:r>
      <w:r>
        <w:rPr>
          <w:lang w:val="fr-CA"/>
        </w:rPr>
        <w:t>’</w:t>
      </w:r>
      <w:r w:rsidRPr="00336568">
        <w:rPr>
          <w:lang w:val="fr-CA"/>
        </w:rPr>
        <w:t>espace extra</w:t>
      </w:r>
      <w:r w:rsidRPr="00336568">
        <w:rPr>
          <w:lang w:val="fr-CA"/>
        </w:rPr>
        <w:noBreakHyphen/>
        <w:t>atmosphérique</w:t>
      </w:r>
      <w:r w:rsidRPr="00F22925">
        <w:rPr>
          <w:lang w:val="fr-CA"/>
        </w:rPr>
        <w:t>.</w:t>
      </w:r>
    </w:p>
    <w:p w14:paraId="1424C8BA" w14:textId="77777777" w:rsidR="00D01ECD" w:rsidRPr="00336568" w:rsidRDefault="00D01ECD" w:rsidP="00D01ECD">
      <w:pPr>
        <w:pStyle w:val="SingleTxtG"/>
        <w:rPr>
          <w:lang w:val="fr-CA"/>
        </w:rPr>
      </w:pPr>
      <w:r w:rsidRPr="00336568">
        <w:rPr>
          <w:lang w:val="fr-CA"/>
        </w:rPr>
        <w:t>9)</w:t>
      </w:r>
      <w:r w:rsidRPr="00336568">
        <w:rPr>
          <w:lang w:val="fr-CA"/>
        </w:rPr>
        <w:tab/>
        <w:t>L</w:t>
      </w:r>
      <w:r>
        <w:rPr>
          <w:lang w:val="fr-CA"/>
        </w:rPr>
        <w:t>’</w:t>
      </w:r>
      <w:r w:rsidRPr="00336568">
        <w:rPr>
          <w:lang w:val="fr-CA"/>
        </w:rPr>
        <w:t>atmosphère, enveloppe gazeuse qui entoure la Terre, a un caractère dynamique et fluctuant, les gaz se déplaçant constamment sans considération de frontière territoriale</w:t>
      </w:r>
      <w:r w:rsidRPr="00F22830">
        <w:rPr>
          <w:rStyle w:val="FootnoteReference"/>
        </w:rPr>
        <w:footnoteReference w:id="64"/>
      </w:r>
      <w:r w:rsidRPr="00F22925">
        <w:rPr>
          <w:lang w:val="fr-CA"/>
        </w:rPr>
        <w:t>.</w:t>
      </w:r>
      <w:r w:rsidRPr="00336568">
        <w:rPr>
          <w:lang w:val="fr-CA"/>
        </w:rPr>
        <w:t xml:space="preserve"> Elle est invisible, intangible et indivisible</w:t>
      </w:r>
      <w:r w:rsidRPr="00F22925">
        <w:rPr>
          <w:lang w:val="fr-CA"/>
        </w:rPr>
        <w:t>.</w:t>
      </w:r>
      <w:r w:rsidRPr="00336568">
        <w:rPr>
          <w:lang w:val="fr-CA"/>
        </w:rPr>
        <w:t xml:space="preserve"> L</w:t>
      </w:r>
      <w:r>
        <w:rPr>
          <w:lang w:val="fr-CA"/>
        </w:rPr>
        <w:t>’</w:t>
      </w:r>
      <w:r w:rsidRPr="00336568">
        <w:rPr>
          <w:lang w:val="fr-CA"/>
        </w:rPr>
        <w:t xml:space="preserve">espace aérien, </w:t>
      </w:r>
      <w:proofErr w:type="gramStart"/>
      <w:r w:rsidRPr="00336568">
        <w:rPr>
          <w:lang w:val="fr-CA"/>
        </w:rPr>
        <w:t>par contre</w:t>
      </w:r>
      <w:proofErr w:type="gramEnd"/>
      <w:r w:rsidRPr="00336568">
        <w:rPr>
          <w:lang w:val="fr-CA"/>
        </w:rPr>
        <w:t>, est une étendue spatiale statique sur laquelle l</w:t>
      </w:r>
      <w:r>
        <w:rPr>
          <w:lang w:val="fr-CA"/>
        </w:rPr>
        <w:t>’</w:t>
      </w:r>
      <w:r w:rsidRPr="00336568">
        <w:rPr>
          <w:lang w:val="fr-CA"/>
        </w:rPr>
        <w:t>État, dans les limites de son territoire, exerce une « souveraineté complète et exclusive »</w:t>
      </w:r>
      <w:r w:rsidRPr="00F22925">
        <w:rPr>
          <w:lang w:val="fr-CA"/>
        </w:rPr>
        <w:t>.</w:t>
      </w:r>
      <w:r w:rsidRPr="00336568">
        <w:rPr>
          <w:lang w:val="fr-CA"/>
        </w:rPr>
        <w:t xml:space="preserve"> Ainsi, l</w:t>
      </w:r>
      <w:r>
        <w:rPr>
          <w:lang w:val="fr-CA"/>
        </w:rPr>
        <w:t>’</w:t>
      </w:r>
      <w:r w:rsidRPr="00336568">
        <w:rPr>
          <w:lang w:val="fr-CA"/>
        </w:rPr>
        <w:t>article premier de la Convention relative à l</w:t>
      </w:r>
      <w:r>
        <w:rPr>
          <w:lang w:val="fr-CA"/>
        </w:rPr>
        <w:t>’</w:t>
      </w:r>
      <w:r w:rsidRPr="00336568">
        <w:rPr>
          <w:lang w:val="fr-CA"/>
        </w:rPr>
        <w:t>aviation civile internationale dispose que « chaque État a la souveraineté complète et exclusive sur l</w:t>
      </w:r>
      <w:r>
        <w:rPr>
          <w:lang w:val="fr-CA"/>
        </w:rPr>
        <w:t>’</w:t>
      </w:r>
      <w:r w:rsidRPr="00336568">
        <w:rPr>
          <w:lang w:val="fr-CA"/>
        </w:rPr>
        <w:t>espace aérien au</w:t>
      </w:r>
      <w:r w:rsidRPr="00336568">
        <w:rPr>
          <w:lang w:val="fr-CA"/>
        </w:rPr>
        <w:noBreakHyphen/>
        <w:t>dessus de son territoire</w:t>
      </w:r>
      <w:r w:rsidRPr="00F22830">
        <w:rPr>
          <w:rStyle w:val="FootnoteReference"/>
        </w:rPr>
        <w:footnoteReference w:id="65"/>
      </w:r>
      <w:r w:rsidRPr="00336568">
        <w:rPr>
          <w:lang w:val="fr-CA"/>
        </w:rPr>
        <w:t> »</w:t>
      </w:r>
      <w:r w:rsidRPr="00F22925">
        <w:rPr>
          <w:lang w:val="fr-CA"/>
        </w:rPr>
        <w:t>.</w:t>
      </w:r>
      <w:r w:rsidRPr="00336568">
        <w:rPr>
          <w:lang w:val="fr-CA"/>
        </w:rPr>
        <w:t xml:space="preserve"> Selon l</w:t>
      </w:r>
      <w:r>
        <w:rPr>
          <w:lang w:val="fr-CA"/>
        </w:rPr>
        <w:t>’</w:t>
      </w:r>
      <w:r w:rsidRPr="00336568">
        <w:rPr>
          <w:lang w:val="fr-CA"/>
        </w:rPr>
        <w:t>article 2 de la même Convention, il faut entendre par territoire d</w:t>
      </w:r>
      <w:r>
        <w:rPr>
          <w:lang w:val="fr-CA"/>
        </w:rPr>
        <w:t>’</w:t>
      </w:r>
      <w:r w:rsidRPr="00336568">
        <w:rPr>
          <w:lang w:val="fr-CA"/>
        </w:rPr>
        <w:t>un État les régions terrestres et les eaux territoriales y adjacentes qui se trouvent sous la souveraineté, la suzeraineté, la protection ou le mandat dudit État</w:t>
      </w:r>
      <w:r w:rsidRPr="00F22925">
        <w:rPr>
          <w:lang w:val="fr-CA"/>
        </w:rPr>
        <w:t>.</w:t>
      </w:r>
      <w:r w:rsidRPr="00336568">
        <w:rPr>
          <w:lang w:val="fr-CA"/>
        </w:rPr>
        <w:t xml:space="preserve"> De même que la haute mer, l</w:t>
      </w:r>
      <w:r>
        <w:rPr>
          <w:lang w:val="fr-CA"/>
        </w:rPr>
        <w:t>’</w:t>
      </w:r>
      <w:r w:rsidRPr="00336568">
        <w:rPr>
          <w:lang w:val="fr-CA"/>
        </w:rPr>
        <w:t>espace aérien situé au</w:t>
      </w:r>
      <w:r w:rsidRPr="00336568">
        <w:rPr>
          <w:lang w:val="fr-CA"/>
        </w:rPr>
        <w:noBreakHyphen/>
        <w:t>delà</w:t>
      </w:r>
      <w:r>
        <w:rPr>
          <w:lang w:val="fr-CA"/>
        </w:rPr>
        <w:t xml:space="preserve"> de la mer </w:t>
      </w:r>
      <w:r w:rsidRPr="00336568">
        <w:rPr>
          <w:lang w:val="fr-CA"/>
        </w:rPr>
        <w:t>territoriale ne relève plus de la souveraineté d</w:t>
      </w:r>
      <w:r>
        <w:rPr>
          <w:lang w:val="fr-CA"/>
        </w:rPr>
        <w:t>’</w:t>
      </w:r>
      <w:r w:rsidRPr="00336568">
        <w:rPr>
          <w:lang w:val="fr-CA"/>
        </w:rPr>
        <w:t>aucun État et peut être librement utilisé par tous les États</w:t>
      </w:r>
      <w:r w:rsidRPr="00F22925">
        <w:rPr>
          <w:lang w:val="fr-CA"/>
        </w:rPr>
        <w:t>.</w:t>
      </w:r>
    </w:p>
    <w:p w14:paraId="62353281" w14:textId="77777777" w:rsidR="00D01ECD" w:rsidRPr="00336568" w:rsidRDefault="00D01ECD" w:rsidP="00D01ECD">
      <w:pPr>
        <w:pStyle w:val="SingleTxtG"/>
        <w:rPr>
          <w:lang w:val="fr-CA"/>
        </w:rPr>
      </w:pPr>
      <w:r w:rsidRPr="00336568">
        <w:rPr>
          <w:lang w:val="fr-CA"/>
        </w:rPr>
        <w:t>10)</w:t>
      </w:r>
      <w:r w:rsidRPr="00336568">
        <w:rPr>
          <w:lang w:val="fr-CA"/>
        </w:rPr>
        <w:tab/>
        <w:t>L</w:t>
      </w:r>
      <w:r>
        <w:rPr>
          <w:lang w:val="fr-CA"/>
        </w:rPr>
        <w:t>’</w:t>
      </w:r>
      <w:r w:rsidRPr="00336568">
        <w:rPr>
          <w:lang w:val="fr-CA"/>
        </w:rPr>
        <w:t>atmosphère se divise en différentes couches délimitées par leurs propriétés thermiques</w:t>
      </w:r>
      <w:r w:rsidRPr="00F22925">
        <w:rPr>
          <w:lang w:val="fr-CA"/>
        </w:rPr>
        <w:t>.</w:t>
      </w:r>
      <w:r w:rsidRPr="00336568">
        <w:rPr>
          <w:lang w:val="fr-CA"/>
        </w:rPr>
        <w:t xml:space="preserve"> Il n</w:t>
      </w:r>
      <w:r>
        <w:rPr>
          <w:lang w:val="fr-CA"/>
        </w:rPr>
        <w:t>’</w:t>
      </w:r>
      <w:r w:rsidRPr="00336568">
        <w:rPr>
          <w:lang w:val="fr-CA"/>
        </w:rPr>
        <w:t>existe pas de frontière précise entre l</w:t>
      </w:r>
      <w:r>
        <w:rPr>
          <w:lang w:val="fr-CA"/>
        </w:rPr>
        <w:t>’</w:t>
      </w:r>
      <w:r w:rsidRPr="00336568">
        <w:rPr>
          <w:lang w:val="fr-CA"/>
        </w:rPr>
        <w:t>atmosphère et l</w:t>
      </w:r>
      <w:r>
        <w:rPr>
          <w:lang w:val="fr-CA"/>
        </w:rPr>
        <w:t>’</w:t>
      </w:r>
      <w:r w:rsidRPr="00336568">
        <w:rPr>
          <w:lang w:val="fr-CA"/>
        </w:rPr>
        <w:t>espace extra</w:t>
      </w:r>
      <w:r w:rsidRPr="00336568">
        <w:rPr>
          <w:lang w:val="fr-CA"/>
        </w:rPr>
        <w:noBreakHyphen/>
        <w:t>atmosphérique</w:t>
      </w:r>
      <w:r w:rsidRPr="00F22925">
        <w:rPr>
          <w:lang w:val="fr-CA"/>
        </w:rPr>
        <w:t>.</w:t>
      </w:r>
      <w:r w:rsidRPr="00336568">
        <w:rPr>
          <w:lang w:val="fr-CA"/>
        </w:rPr>
        <w:t xml:space="preserve"> Au-delà de 100 kilomètres, la masse de l</w:t>
      </w:r>
      <w:r>
        <w:rPr>
          <w:lang w:val="fr-CA"/>
        </w:rPr>
        <w:t>’</w:t>
      </w:r>
      <w:r w:rsidRPr="00336568">
        <w:rPr>
          <w:lang w:val="fr-CA"/>
        </w:rPr>
        <w:t>atmosphère se fond progressivement dans le vide spatial</w:t>
      </w:r>
      <w:r w:rsidRPr="00F22830">
        <w:rPr>
          <w:rStyle w:val="FootnoteReference"/>
        </w:rPr>
        <w:footnoteReference w:id="66"/>
      </w:r>
      <w:r w:rsidRPr="00F22925">
        <w:rPr>
          <w:lang w:val="fr-CA"/>
        </w:rPr>
        <w:t>.</w:t>
      </w:r>
      <w:r w:rsidRPr="00336568">
        <w:rPr>
          <w:lang w:val="fr-CA"/>
        </w:rPr>
        <w:t xml:space="preserve"> Le Traité sur les principes régissant les activités des États en matière d</w:t>
      </w:r>
      <w:r>
        <w:rPr>
          <w:lang w:val="fr-CA"/>
        </w:rPr>
        <w:t>’</w:t>
      </w:r>
      <w:r w:rsidRPr="00336568">
        <w:rPr>
          <w:lang w:val="fr-CA"/>
        </w:rPr>
        <w:t>exploration et d</w:t>
      </w:r>
      <w:r>
        <w:rPr>
          <w:lang w:val="fr-CA"/>
        </w:rPr>
        <w:t>’</w:t>
      </w:r>
      <w:r w:rsidRPr="00336568">
        <w:rPr>
          <w:lang w:val="fr-CA"/>
        </w:rPr>
        <w:t>utilisation de l</w:t>
      </w:r>
      <w:r>
        <w:rPr>
          <w:lang w:val="fr-CA"/>
        </w:rPr>
        <w:t>’</w:t>
      </w:r>
      <w:r w:rsidRPr="00336568">
        <w:rPr>
          <w:lang w:val="fr-CA"/>
        </w:rPr>
        <w:t>espace extra</w:t>
      </w:r>
      <w:r w:rsidRPr="00336568">
        <w:rPr>
          <w:lang w:val="fr-CA"/>
        </w:rPr>
        <w:noBreakHyphen/>
        <w:t>atmosphérique, y compris la Lune et les autres corps célestes ne définit pas l</w:t>
      </w:r>
      <w:r>
        <w:rPr>
          <w:lang w:val="fr-CA"/>
        </w:rPr>
        <w:t>’</w:t>
      </w:r>
      <w:r w:rsidRPr="00336568">
        <w:rPr>
          <w:lang w:val="fr-CA"/>
        </w:rPr>
        <w:t>expression « espace extra</w:t>
      </w:r>
      <w:r w:rsidRPr="00336568">
        <w:rPr>
          <w:lang w:val="fr-CA"/>
        </w:rPr>
        <w:noBreakHyphen/>
        <w:t>atmosphérique »</w:t>
      </w:r>
      <w:r w:rsidRPr="00F22830">
        <w:rPr>
          <w:rStyle w:val="FootnoteReference"/>
        </w:rPr>
        <w:footnoteReference w:id="67"/>
      </w:r>
      <w:r w:rsidRPr="00F22925">
        <w:rPr>
          <w:lang w:val="fr-CA"/>
        </w:rPr>
        <w:t>.</w:t>
      </w:r>
      <w:r w:rsidRPr="00336568">
        <w:rPr>
          <w:lang w:val="fr-CA"/>
        </w:rPr>
        <w:t xml:space="preserve"> Le Sous-Comité juridique du Comité des utilisations pacifiques de l</w:t>
      </w:r>
      <w:r>
        <w:rPr>
          <w:lang w:val="fr-CA"/>
        </w:rPr>
        <w:t>’</w:t>
      </w:r>
      <w:r w:rsidRPr="00336568">
        <w:rPr>
          <w:lang w:val="fr-CA"/>
        </w:rPr>
        <w:t>espace extra</w:t>
      </w:r>
      <w:r w:rsidRPr="00336568">
        <w:rPr>
          <w:lang w:val="fr-CA"/>
        </w:rPr>
        <w:noBreakHyphen/>
        <w:t>atmosphérique se penche sur le sujet depuis 1959, et a envisagé les questions de délimitation à la fois sous l</w:t>
      </w:r>
      <w:r>
        <w:rPr>
          <w:lang w:val="fr-CA"/>
        </w:rPr>
        <w:t>’</w:t>
      </w:r>
      <w:r w:rsidRPr="00336568">
        <w:rPr>
          <w:lang w:val="fr-CA"/>
        </w:rPr>
        <w:t>angle spatial et sous l</w:t>
      </w:r>
      <w:r>
        <w:rPr>
          <w:lang w:val="fr-CA"/>
        </w:rPr>
        <w:t>’</w:t>
      </w:r>
      <w:r w:rsidRPr="00336568">
        <w:rPr>
          <w:lang w:val="fr-CA"/>
        </w:rPr>
        <w:t>angle fonctionnel</w:t>
      </w:r>
      <w:r w:rsidRPr="00F22830">
        <w:rPr>
          <w:rStyle w:val="FootnoteReference"/>
        </w:rPr>
        <w:footnoteReference w:id="68"/>
      </w:r>
      <w:r w:rsidRPr="00F22925">
        <w:rPr>
          <w:lang w:val="fr-CA"/>
        </w:rPr>
        <w:t>.</w:t>
      </w:r>
    </w:p>
    <w:p w14:paraId="2DDF5BC7" w14:textId="77777777" w:rsidR="00D01ECD" w:rsidRPr="00E164D9" w:rsidRDefault="00D01ECD" w:rsidP="00D01ECD">
      <w:pPr>
        <w:pStyle w:val="H23G"/>
        <w:ind w:left="1701" w:hanging="1701"/>
        <w:rPr>
          <w:lang w:val="fr-FR"/>
        </w:rPr>
      </w:pPr>
      <w:r>
        <w:rPr>
          <w:lang w:val="fr-FR"/>
        </w:rPr>
        <w:tab/>
      </w:r>
      <w:r>
        <w:rPr>
          <w:lang w:val="fr-FR"/>
        </w:rPr>
        <w:tab/>
      </w:r>
      <w:r>
        <w:rPr>
          <w:lang w:val="fr-FR"/>
        </w:rPr>
        <w:tab/>
        <w:t>Directive</w:t>
      </w:r>
      <w:r w:rsidRPr="00E164D9">
        <w:rPr>
          <w:lang w:val="fr-FR"/>
        </w:rPr>
        <w:t xml:space="preserve"> 3 </w:t>
      </w:r>
      <w:r w:rsidRPr="00E164D9">
        <w:rPr>
          <w:lang w:val="fr-FR"/>
        </w:rPr>
        <w:br/>
      </w:r>
      <w:r>
        <w:rPr>
          <w:lang w:val="fr-FR"/>
        </w:rPr>
        <w:t>Obligation de protéger l’atmosphère</w:t>
      </w:r>
    </w:p>
    <w:p w14:paraId="6CD09DC2" w14:textId="77777777" w:rsidR="00D01ECD" w:rsidRPr="009E2208" w:rsidRDefault="00D01ECD" w:rsidP="00D01ECD">
      <w:pPr>
        <w:pStyle w:val="SingleTxtG"/>
        <w:ind w:left="1701" w:firstLine="567"/>
        <w:rPr>
          <w:lang w:val="fr-FR"/>
        </w:rPr>
      </w:pPr>
      <w:r w:rsidRPr="009E2208">
        <w:rPr>
          <w:lang w:val="fr-FR"/>
        </w:rPr>
        <w:t>Les États ont l</w:t>
      </w:r>
      <w:r>
        <w:rPr>
          <w:lang w:val="fr-FR"/>
        </w:rPr>
        <w:t>’</w:t>
      </w:r>
      <w:r w:rsidRPr="009E2208">
        <w:rPr>
          <w:lang w:val="fr-FR"/>
        </w:rPr>
        <w:t>obligation de protéger l</w:t>
      </w:r>
      <w:r>
        <w:rPr>
          <w:lang w:val="fr-FR"/>
        </w:rPr>
        <w:t>’</w:t>
      </w:r>
      <w:r w:rsidRPr="009E2208">
        <w:rPr>
          <w:lang w:val="fr-FR"/>
        </w:rPr>
        <w:t>atmosphère en faisant preuve de la diligence requise dans l</w:t>
      </w:r>
      <w:r>
        <w:rPr>
          <w:lang w:val="fr-FR"/>
        </w:rPr>
        <w:t>’</w:t>
      </w:r>
      <w:r w:rsidRPr="009E2208">
        <w:rPr>
          <w:lang w:val="fr-FR"/>
        </w:rPr>
        <w:t>adoption de mesures appropriées, conformément aux règles de droit international applicables, en vue de prévenir, réduire ou maîtriser la pollution atmosphérique et la dégradation atmosphérique</w:t>
      </w:r>
      <w:r w:rsidRPr="00F22925">
        <w:rPr>
          <w:lang w:val="fr-FR"/>
        </w:rPr>
        <w:t>.</w:t>
      </w:r>
      <w:r w:rsidRPr="009E2208">
        <w:rPr>
          <w:lang w:val="fr-FR"/>
        </w:rPr>
        <w:t xml:space="preserve"> </w:t>
      </w:r>
    </w:p>
    <w:p w14:paraId="1A410BB9" w14:textId="77777777" w:rsidR="00D01ECD" w:rsidRPr="00336568" w:rsidRDefault="00D01ECD" w:rsidP="00D01ECD">
      <w:pPr>
        <w:pStyle w:val="H23G"/>
        <w:rPr>
          <w:lang w:val="fr-CA"/>
        </w:rPr>
      </w:pPr>
      <w:r w:rsidRPr="00336568">
        <w:rPr>
          <w:lang w:val="fr-CA"/>
        </w:rPr>
        <w:tab/>
      </w:r>
      <w:r w:rsidRPr="00336568">
        <w:rPr>
          <w:lang w:val="fr-CA"/>
        </w:rPr>
        <w:tab/>
        <w:t>Commentaire</w:t>
      </w:r>
    </w:p>
    <w:p w14:paraId="4C6B6F94" w14:textId="77777777" w:rsidR="00D01ECD" w:rsidRPr="00336568" w:rsidRDefault="00D01ECD" w:rsidP="00D01ECD">
      <w:pPr>
        <w:pStyle w:val="SingleTxtG"/>
        <w:rPr>
          <w:lang w:val="fr-CA"/>
        </w:rPr>
      </w:pPr>
      <w:r w:rsidRPr="00336568">
        <w:rPr>
          <w:lang w:val="fr-CA"/>
        </w:rPr>
        <w:t>1)</w:t>
      </w:r>
      <w:r w:rsidRPr="00336568">
        <w:rPr>
          <w:lang w:val="fr-CA"/>
        </w:rPr>
        <w:tab/>
        <w:t xml:space="preserve">Le projet de directive 3, qui </w:t>
      </w:r>
      <w:r>
        <w:rPr>
          <w:lang w:val="fr-CA"/>
        </w:rPr>
        <w:t>réaffirme</w:t>
      </w:r>
      <w:r w:rsidRPr="00336568">
        <w:rPr>
          <w:lang w:val="fr-CA"/>
        </w:rPr>
        <w:t xml:space="preserve"> l</w:t>
      </w:r>
      <w:r>
        <w:rPr>
          <w:lang w:val="fr-CA"/>
        </w:rPr>
        <w:t>’</w:t>
      </w:r>
      <w:r w:rsidRPr="00336568">
        <w:rPr>
          <w:lang w:val="fr-CA"/>
        </w:rPr>
        <w:t>obligation de protéger l</w:t>
      </w:r>
      <w:r>
        <w:rPr>
          <w:lang w:val="fr-CA"/>
        </w:rPr>
        <w:t>’</w:t>
      </w:r>
      <w:r w:rsidRPr="00336568">
        <w:rPr>
          <w:lang w:val="fr-CA"/>
        </w:rPr>
        <w:t xml:space="preserve">atmosphère, est au cœur </w:t>
      </w:r>
      <w:r>
        <w:rPr>
          <w:lang w:val="fr-CA"/>
        </w:rPr>
        <w:t>du</w:t>
      </w:r>
      <w:r w:rsidRPr="00336568">
        <w:rPr>
          <w:lang w:val="fr-CA"/>
        </w:rPr>
        <w:t xml:space="preserve"> projet de directive</w:t>
      </w:r>
      <w:r>
        <w:rPr>
          <w:lang w:val="fr-CA"/>
        </w:rPr>
        <w:t>s</w:t>
      </w:r>
      <w:r w:rsidRPr="00F22925">
        <w:rPr>
          <w:lang w:val="fr-CA"/>
        </w:rPr>
        <w:t>.</w:t>
      </w:r>
      <w:r w:rsidRPr="00336568">
        <w:rPr>
          <w:lang w:val="fr-CA"/>
        </w:rPr>
        <w:t xml:space="preserve"> On retiendra en particulier qu</w:t>
      </w:r>
      <w:r>
        <w:rPr>
          <w:lang w:val="fr-CA"/>
        </w:rPr>
        <w:t>’</w:t>
      </w:r>
      <w:r w:rsidRPr="00336568">
        <w:rPr>
          <w:lang w:val="fr-CA"/>
        </w:rPr>
        <w:t xml:space="preserve">il en découle les projets de </w:t>
      </w:r>
      <w:r w:rsidRPr="00336568">
        <w:rPr>
          <w:lang w:val="fr-CA"/>
        </w:rPr>
        <w:lastRenderedPageBreak/>
        <w:t>directive 4, 5 et 6, qui visent à appliquer divers principes du droit international de l</w:t>
      </w:r>
      <w:r>
        <w:rPr>
          <w:lang w:val="fr-CA"/>
        </w:rPr>
        <w:t>’</w:t>
      </w:r>
      <w:r w:rsidRPr="00336568">
        <w:rPr>
          <w:lang w:val="fr-CA"/>
        </w:rPr>
        <w:t>environnement au contexte particulier de la protection de l</w:t>
      </w:r>
      <w:r>
        <w:rPr>
          <w:lang w:val="fr-CA"/>
        </w:rPr>
        <w:t>’</w:t>
      </w:r>
      <w:r w:rsidRPr="00336568">
        <w:rPr>
          <w:lang w:val="fr-CA"/>
        </w:rPr>
        <w:t>atmosphère</w:t>
      </w:r>
      <w:r w:rsidRPr="00F22925">
        <w:rPr>
          <w:lang w:val="fr-CA"/>
        </w:rPr>
        <w:t>.</w:t>
      </w:r>
    </w:p>
    <w:p w14:paraId="50A46385" w14:textId="77777777" w:rsidR="00D01ECD" w:rsidRPr="00336568" w:rsidRDefault="00D01ECD" w:rsidP="00D01ECD">
      <w:pPr>
        <w:pStyle w:val="SingleTxtG"/>
        <w:rPr>
          <w:lang w:val="fr-CA"/>
        </w:rPr>
      </w:pPr>
      <w:r w:rsidRPr="00336568">
        <w:rPr>
          <w:lang w:val="fr-CA"/>
        </w:rPr>
        <w:t>2)</w:t>
      </w:r>
      <w:r w:rsidRPr="00336568">
        <w:rPr>
          <w:lang w:val="fr-CA"/>
        </w:rPr>
        <w:tab/>
        <w:t xml:space="preserve">Le projet de directive </w:t>
      </w:r>
      <w:r>
        <w:rPr>
          <w:lang w:val="fr-CA"/>
        </w:rPr>
        <w:t>concerne à la fois</w:t>
      </w:r>
      <w:r w:rsidRPr="00336568">
        <w:rPr>
          <w:lang w:val="fr-CA"/>
        </w:rPr>
        <w:t xml:space="preserve"> les situations transfrontières </w:t>
      </w:r>
      <w:r>
        <w:rPr>
          <w:lang w:val="fr-CA"/>
        </w:rPr>
        <w:t xml:space="preserve">et les situations </w:t>
      </w:r>
      <w:r w:rsidRPr="00336568">
        <w:rPr>
          <w:lang w:val="fr-CA"/>
        </w:rPr>
        <w:t>mondiales</w:t>
      </w:r>
      <w:r w:rsidRPr="00F22925">
        <w:rPr>
          <w:lang w:val="fr-CA"/>
        </w:rPr>
        <w:t>.</w:t>
      </w:r>
      <w:r w:rsidRPr="00336568">
        <w:rPr>
          <w:lang w:val="fr-CA"/>
        </w:rPr>
        <w:t xml:space="preserve"> On</w:t>
      </w:r>
      <w:r>
        <w:rPr>
          <w:lang w:val="fr-CA"/>
        </w:rPr>
        <w:t xml:space="preserve"> </w:t>
      </w:r>
      <w:r w:rsidRPr="00336568">
        <w:rPr>
          <w:lang w:val="fr-CA"/>
        </w:rPr>
        <w:t>se souviendra que le projet de directive 1 contient un élément transfrontière de par la définition qu</w:t>
      </w:r>
      <w:r>
        <w:rPr>
          <w:lang w:val="fr-CA"/>
        </w:rPr>
        <w:t>’</w:t>
      </w:r>
      <w:r w:rsidRPr="00336568">
        <w:rPr>
          <w:lang w:val="fr-CA"/>
        </w:rPr>
        <w:t>il donne de la pollution atmosphérique (émission ou rejet dans l</w:t>
      </w:r>
      <w:r>
        <w:rPr>
          <w:lang w:val="fr-CA"/>
        </w:rPr>
        <w:t>’</w:t>
      </w:r>
      <w:r w:rsidRPr="00336568">
        <w:rPr>
          <w:lang w:val="fr-CA"/>
        </w:rPr>
        <w:t>atmosphère par l</w:t>
      </w:r>
      <w:r>
        <w:rPr>
          <w:lang w:val="fr-CA"/>
        </w:rPr>
        <w:t>’</w:t>
      </w:r>
      <w:r w:rsidRPr="00336568">
        <w:rPr>
          <w:lang w:val="fr-CA"/>
        </w:rPr>
        <w:t>homme, directement ou indirectement, de substances ou d</w:t>
      </w:r>
      <w:r>
        <w:rPr>
          <w:lang w:val="fr-CA"/>
        </w:rPr>
        <w:t>’</w:t>
      </w:r>
      <w:r w:rsidRPr="00336568">
        <w:rPr>
          <w:lang w:val="fr-CA"/>
        </w:rPr>
        <w:t>énergie contribuant à des effets nocifs significatifs qui « s</w:t>
      </w:r>
      <w:r>
        <w:rPr>
          <w:lang w:val="fr-CA"/>
        </w:rPr>
        <w:t>’</w:t>
      </w:r>
      <w:r w:rsidRPr="00336568">
        <w:rPr>
          <w:lang w:val="fr-CA"/>
        </w:rPr>
        <w:t>étendent au-delà de l</w:t>
      </w:r>
      <w:r>
        <w:rPr>
          <w:lang w:val="fr-CA"/>
        </w:rPr>
        <w:t>’</w:t>
      </w:r>
      <w:r w:rsidRPr="00336568">
        <w:rPr>
          <w:lang w:val="fr-CA"/>
        </w:rPr>
        <w:t>État d</w:t>
      </w:r>
      <w:r>
        <w:rPr>
          <w:lang w:val="fr-CA"/>
        </w:rPr>
        <w:t>’</w:t>
      </w:r>
      <w:r w:rsidRPr="00336568">
        <w:rPr>
          <w:lang w:val="fr-CA"/>
        </w:rPr>
        <w:t>origine » et qui sont de nature à mettre en danger la vie et la santé de l</w:t>
      </w:r>
      <w:r>
        <w:rPr>
          <w:lang w:val="fr-CA"/>
        </w:rPr>
        <w:t>’</w:t>
      </w:r>
      <w:r w:rsidRPr="00336568">
        <w:rPr>
          <w:lang w:val="fr-CA"/>
        </w:rPr>
        <w:t>homme et l</w:t>
      </w:r>
      <w:r>
        <w:rPr>
          <w:lang w:val="fr-CA"/>
        </w:rPr>
        <w:t>’</w:t>
      </w:r>
      <w:r w:rsidRPr="00336568">
        <w:rPr>
          <w:lang w:val="fr-CA"/>
        </w:rPr>
        <w:t>environnement naturel de la Terre) et a une dimension mondiale de par sa définition de la dégradation atmosphérique (toute altération par l</w:t>
      </w:r>
      <w:r>
        <w:rPr>
          <w:lang w:val="fr-CA"/>
        </w:rPr>
        <w:t>’</w:t>
      </w:r>
      <w:r w:rsidRPr="00336568">
        <w:rPr>
          <w:lang w:val="fr-CA"/>
        </w:rPr>
        <w:t>homme, directement ou indirectement, des conditions atmosphériques, qui a des effets nocifs significatifs de nature à mettre en danger la vie et la santé de l</w:t>
      </w:r>
      <w:r>
        <w:rPr>
          <w:lang w:val="fr-CA"/>
        </w:rPr>
        <w:t>’</w:t>
      </w:r>
      <w:r w:rsidRPr="00336568">
        <w:rPr>
          <w:lang w:val="fr-CA"/>
        </w:rPr>
        <w:t>homme et l</w:t>
      </w:r>
      <w:r>
        <w:rPr>
          <w:lang w:val="fr-CA"/>
        </w:rPr>
        <w:t>’</w:t>
      </w:r>
      <w:r w:rsidRPr="00336568">
        <w:rPr>
          <w:lang w:val="fr-CA"/>
        </w:rPr>
        <w:t>environnement naturel de la Terre)</w:t>
      </w:r>
      <w:r w:rsidRPr="00F22925">
        <w:rPr>
          <w:lang w:val="fr-CA"/>
        </w:rPr>
        <w:t>.</w:t>
      </w:r>
    </w:p>
    <w:p w14:paraId="4D8ACE97" w14:textId="77777777" w:rsidR="00D01ECD" w:rsidRPr="00336568" w:rsidRDefault="00D01ECD" w:rsidP="00D01ECD">
      <w:pPr>
        <w:pStyle w:val="SingleTxtG"/>
        <w:rPr>
          <w:lang w:val="fr-CA"/>
        </w:rPr>
      </w:pPr>
      <w:r w:rsidRPr="00336568">
        <w:rPr>
          <w:lang w:val="fr-CA"/>
        </w:rPr>
        <w:t>3)</w:t>
      </w:r>
      <w:r w:rsidRPr="00336568">
        <w:rPr>
          <w:lang w:val="fr-CA"/>
        </w:rPr>
        <w:tab/>
        <w:t>Le projet de directive circonscrit l</w:t>
      </w:r>
      <w:r>
        <w:rPr>
          <w:lang w:val="fr-CA"/>
        </w:rPr>
        <w:t>’</w:t>
      </w:r>
      <w:r w:rsidRPr="00336568">
        <w:rPr>
          <w:lang w:val="fr-CA"/>
        </w:rPr>
        <w:t>obligation de protéger l</w:t>
      </w:r>
      <w:r>
        <w:rPr>
          <w:lang w:val="fr-CA"/>
        </w:rPr>
        <w:t>’</w:t>
      </w:r>
      <w:r w:rsidRPr="00336568">
        <w:rPr>
          <w:lang w:val="fr-CA"/>
        </w:rPr>
        <w:t>atmosphère à la prévention, la réduction ou la maîtrise de la pollution atmosphérique et de la dégradation atmosphérique</w:t>
      </w:r>
      <w:r w:rsidRPr="00F22925">
        <w:rPr>
          <w:spacing w:val="-1"/>
          <w:lang w:val="fr-CA"/>
        </w:rPr>
        <w:t>.</w:t>
      </w:r>
      <w:r w:rsidRPr="00336568">
        <w:rPr>
          <w:spacing w:val="-1"/>
          <w:lang w:val="fr-CA"/>
        </w:rPr>
        <w:t xml:space="preserve"> La formulation employée trouve son origine dans le principe 21 de la Déclaration de Stockholm de 1972, lui-même inspiré des conclusions de l</w:t>
      </w:r>
      <w:r>
        <w:rPr>
          <w:spacing w:val="-1"/>
          <w:lang w:val="fr-CA"/>
        </w:rPr>
        <w:t>’</w:t>
      </w:r>
      <w:r w:rsidRPr="00336568">
        <w:rPr>
          <w:spacing w:val="-1"/>
          <w:lang w:val="fr-CA"/>
        </w:rPr>
        <w:t>arbitrage concernant l</w:t>
      </w:r>
      <w:r>
        <w:rPr>
          <w:spacing w:val="-1"/>
          <w:lang w:val="fr-CA"/>
        </w:rPr>
        <w:t>’</w:t>
      </w:r>
      <w:r w:rsidRPr="00336568">
        <w:rPr>
          <w:spacing w:val="-1"/>
          <w:lang w:val="fr-CA"/>
        </w:rPr>
        <w:t xml:space="preserve">affaire de la </w:t>
      </w:r>
      <w:r w:rsidRPr="00336568">
        <w:rPr>
          <w:i/>
          <w:iCs/>
          <w:spacing w:val="-1"/>
          <w:lang w:val="fr-CA"/>
        </w:rPr>
        <w:t xml:space="preserve">Fonderie de </w:t>
      </w:r>
      <w:proofErr w:type="spellStart"/>
      <w:r w:rsidRPr="00336568">
        <w:rPr>
          <w:i/>
          <w:spacing w:val="-1"/>
          <w:lang w:val="fr-CA"/>
        </w:rPr>
        <w:t>Trail</w:t>
      </w:r>
      <w:bookmarkStart w:id="9" w:name="_Ref520290843"/>
      <w:proofErr w:type="spellEnd"/>
      <w:r w:rsidRPr="00F22830">
        <w:rPr>
          <w:rStyle w:val="FootnoteReference"/>
        </w:rPr>
        <w:footnoteReference w:id="69"/>
      </w:r>
      <w:bookmarkEnd w:id="9"/>
      <w:r w:rsidRPr="00F22925">
        <w:rPr>
          <w:spacing w:val="-1"/>
          <w:sz w:val="18"/>
          <w:szCs w:val="18"/>
          <w:lang w:val="fr-CA"/>
        </w:rPr>
        <w:t>.</w:t>
      </w:r>
      <w:r w:rsidRPr="00336568">
        <w:rPr>
          <w:spacing w:val="-1"/>
          <w:sz w:val="18"/>
          <w:szCs w:val="18"/>
          <w:lang w:val="fr-CA"/>
        </w:rPr>
        <w:t xml:space="preserve"> </w:t>
      </w:r>
      <w:r w:rsidRPr="00336568">
        <w:rPr>
          <w:spacing w:val="-1"/>
          <w:lang w:val="fr-CA"/>
        </w:rPr>
        <w:t>En vertu de ce principe, « les États ont le droit souverain d</w:t>
      </w:r>
      <w:r>
        <w:rPr>
          <w:spacing w:val="-1"/>
          <w:lang w:val="fr-CA"/>
        </w:rPr>
        <w:t>’</w:t>
      </w:r>
      <w:r w:rsidRPr="00336568">
        <w:rPr>
          <w:spacing w:val="-1"/>
          <w:lang w:val="fr-CA"/>
        </w:rPr>
        <w:t>exploiter leurs propres ressources selon leur politique d</w:t>
      </w:r>
      <w:r>
        <w:rPr>
          <w:spacing w:val="-1"/>
          <w:lang w:val="fr-CA"/>
        </w:rPr>
        <w:t>’</w:t>
      </w:r>
      <w:r w:rsidRPr="00336568">
        <w:rPr>
          <w:spacing w:val="-1"/>
          <w:lang w:val="fr-CA"/>
        </w:rPr>
        <w:t>environnement et ils ont le devoir de faire en sorte que les activités exercées dans les limites de leur juridiction ou sous leur contrôle ne causent pas de dommage à l</w:t>
      </w:r>
      <w:r>
        <w:rPr>
          <w:spacing w:val="-1"/>
          <w:lang w:val="fr-CA"/>
        </w:rPr>
        <w:t>’</w:t>
      </w:r>
      <w:r w:rsidRPr="00336568">
        <w:rPr>
          <w:spacing w:val="-1"/>
          <w:lang w:val="fr-CA"/>
        </w:rPr>
        <w:t>environnement dans d</w:t>
      </w:r>
      <w:r>
        <w:rPr>
          <w:spacing w:val="-1"/>
          <w:lang w:val="fr-CA"/>
        </w:rPr>
        <w:t>’</w:t>
      </w:r>
      <w:r w:rsidRPr="00336568">
        <w:rPr>
          <w:spacing w:val="-1"/>
          <w:lang w:val="fr-CA"/>
        </w:rPr>
        <w:t>autres États ou dans des régions ne relevant d</w:t>
      </w:r>
      <w:r>
        <w:rPr>
          <w:spacing w:val="-1"/>
          <w:lang w:val="fr-CA"/>
        </w:rPr>
        <w:t>’</w:t>
      </w:r>
      <w:r w:rsidRPr="00336568">
        <w:rPr>
          <w:spacing w:val="-1"/>
          <w:lang w:val="fr-CA"/>
        </w:rPr>
        <w:t>aucune juridiction nationale »</w:t>
      </w:r>
      <w:r w:rsidRPr="00F22925">
        <w:rPr>
          <w:spacing w:val="-1"/>
          <w:lang w:val="fr-CA"/>
        </w:rPr>
        <w:t>.</w:t>
      </w:r>
      <w:r w:rsidRPr="00336568">
        <w:rPr>
          <w:spacing w:val="-1"/>
          <w:lang w:val="fr-CA"/>
        </w:rPr>
        <w:t xml:space="preserve"> Le principe 2 de la Déclaration de Rio de 1992 s</w:t>
      </w:r>
      <w:r>
        <w:rPr>
          <w:spacing w:val="-1"/>
          <w:lang w:val="fr-CA"/>
        </w:rPr>
        <w:t>’</w:t>
      </w:r>
      <w:r w:rsidRPr="00336568">
        <w:rPr>
          <w:spacing w:val="-1"/>
          <w:lang w:val="fr-CA"/>
        </w:rPr>
        <w:t>inscrit dans le même ordre d</w:t>
      </w:r>
      <w:r>
        <w:rPr>
          <w:spacing w:val="-1"/>
          <w:lang w:val="fr-CA"/>
        </w:rPr>
        <w:t>’</w:t>
      </w:r>
      <w:r w:rsidRPr="00336568">
        <w:rPr>
          <w:spacing w:val="-1"/>
          <w:lang w:val="fr-CA"/>
        </w:rPr>
        <w:t>idées</w:t>
      </w:r>
      <w:r w:rsidRPr="00F22925">
        <w:rPr>
          <w:lang w:val="fr-CA"/>
        </w:rPr>
        <w:t>.</w:t>
      </w:r>
    </w:p>
    <w:p w14:paraId="6124588F" w14:textId="77777777" w:rsidR="00D01ECD" w:rsidRPr="00336568" w:rsidRDefault="00D01ECD" w:rsidP="00D01ECD">
      <w:pPr>
        <w:pStyle w:val="SingleTxtG"/>
        <w:rPr>
          <w:lang w:val="fr-CA"/>
        </w:rPr>
      </w:pPr>
      <w:r w:rsidRPr="00336568">
        <w:rPr>
          <w:lang w:val="fr-CA"/>
        </w:rPr>
        <w:t>4)</w:t>
      </w:r>
      <w:r w:rsidRPr="00336568">
        <w:rPr>
          <w:lang w:val="fr-CA"/>
        </w:rPr>
        <w:tab/>
        <w:t>La référence aux « États » aux fins du projet de directive traduit le fait que les États ont la possibilité d</w:t>
      </w:r>
      <w:r>
        <w:rPr>
          <w:lang w:val="fr-CA"/>
        </w:rPr>
        <w:t>’</w:t>
      </w:r>
      <w:r w:rsidRPr="00336568">
        <w:rPr>
          <w:lang w:val="fr-CA"/>
        </w:rPr>
        <w:t>agir « individuellement » ou « conjointement », selon qu</w:t>
      </w:r>
      <w:r>
        <w:rPr>
          <w:lang w:val="fr-CA"/>
        </w:rPr>
        <w:t>’</w:t>
      </w:r>
      <w:r w:rsidRPr="00336568">
        <w:rPr>
          <w:lang w:val="fr-CA"/>
        </w:rPr>
        <w:t>il convient</w:t>
      </w:r>
      <w:r w:rsidRPr="00F22925">
        <w:rPr>
          <w:lang w:val="fr-CA"/>
        </w:rPr>
        <w:t>.</w:t>
      </w:r>
      <w:r w:rsidRPr="00336568">
        <w:rPr>
          <w:lang w:val="fr-CA"/>
        </w:rPr>
        <w:t xml:space="preserve"> </w:t>
      </w:r>
    </w:p>
    <w:p w14:paraId="4A6660C2" w14:textId="77777777" w:rsidR="00D01ECD" w:rsidRPr="00336568" w:rsidRDefault="00D01ECD" w:rsidP="00D01ECD">
      <w:pPr>
        <w:pStyle w:val="SingleTxtG"/>
        <w:rPr>
          <w:lang w:val="fr-CA"/>
        </w:rPr>
      </w:pPr>
      <w:r w:rsidRPr="00336568">
        <w:rPr>
          <w:lang w:val="fr-CA"/>
        </w:rPr>
        <w:t>5)</w:t>
      </w:r>
      <w:r w:rsidRPr="00336568">
        <w:rPr>
          <w:lang w:val="fr-CA"/>
        </w:rPr>
        <w:tab/>
        <w:t>Tel qu</w:t>
      </w:r>
      <w:r>
        <w:rPr>
          <w:lang w:val="fr-CA"/>
        </w:rPr>
        <w:t>’</w:t>
      </w:r>
      <w:r w:rsidRPr="00336568">
        <w:rPr>
          <w:lang w:val="fr-CA"/>
        </w:rPr>
        <w:t>il est formulé, le projet de directive est sans préjudice de la question de savoir si l</w:t>
      </w:r>
      <w:r>
        <w:rPr>
          <w:lang w:val="fr-CA"/>
        </w:rPr>
        <w:t>’</w:t>
      </w:r>
      <w:r w:rsidRPr="00336568">
        <w:rPr>
          <w:lang w:val="fr-CA"/>
        </w:rPr>
        <w:t>obligation de protéger l</w:t>
      </w:r>
      <w:r>
        <w:rPr>
          <w:lang w:val="fr-CA"/>
        </w:rPr>
        <w:t>’</w:t>
      </w:r>
      <w:r w:rsidRPr="00336568">
        <w:rPr>
          <w:lang w:val="fr-CA"/>
        </w:rPr>
        <w:t xml:space="preserve">atmosphère est ou non une obligation </w:t>
      </w:r>
      <w:r w:rsidRPr="00336568">
        <w:rPr>
          <w:i/>
          <w:lang w:val="fr-CA"/>
        </w:rPr>
        <w:t xml:space="preserve">erga </w:t>
      </w:r>
      <w:proofErr w:type="spellStart"/>
      <w:r w:rsidRPr="00336568">
        <w:rPr>
          <w:i/>
          <w:lang w:val="fr-CA"/>
        </w:rPr>
        <w:t>omnes</w:t>
      </w:r>
      <w:proofErr w:type="spellEnd"/>
      <w:r w:rsidRPr="00336568">
        <w:rPr>
          <w:lang w:val="fr-CA"/>
        </w:rPr>
        <w:t xml:space="preserve"> au sens de l</w:t>
      </w:r>
      <w:r>
        <w:rPr>
          <w:lang w:val="fr-CA"/>
        </w:rPr>
        <w:t>’</w:t>
      </w:r>
      <w:r w:rsidRPr="00336568">
        <w:rPr>
          <w:lang w:val="fr-CA"/>
        </w:rPr>
        <w:t>article 48 des articles sur la responsabilité de l</w:t>
      </w:r>
      <w:r>
        <w:rPr>
          <w:lang w:val="fr-CA"/>
        </w:rPr>
        <w:t>’</w:t>
      </w:r>
      <w:r w:rsidRPr="00336568">
        <w:rPr>
          <w:lang w:val="fr-CA"/>
        </w:rPr>
        <w:t>État pour fait internationalement illicite</w:t>
      </w:r>
      <w:r w:rsidRPr="00F22830">
        <w:rPr>
          <w:rStyle w:val="FootnoteReference"/>
        </w:rPr>
        <w:footnoteReference w:id="70"/>
      </w:r>
      <w:r w:rsidRPr="00336568">
        <w:rPr>
          <w:lang w:val="fr-CA"/>
        </w:rPr>
        <w:t>, question à propos de laquelle les opinions divergent</w:t>
      </w:r>
      <w:r w:rsidRPr="00F22925">
        <w:rPr>
          <w:lang w:val="fr-CA"/>
        </w:rPr>
        <w:t>.</w:t>
      </w:r>
    </w:p>
    <w:p w14:paraId="549AC126" w14:textId="77777777" w:rsidR="00D01ECD" w:rsidRPr="00336568" w:rsidRDefault="00D01ECD" w:rsidP="00D01ECD">
      <w:pPr>
        <w:pStyle w:val="SingleTxtG"/>
        <w:rPr>
          <w:lang w:val="fr-CA"/>
        </w:rPr>
      </w:pPr>
      <w:r w:rsidRPr="00336568">
        <w:rPr>
          <w:lang w:val="fr-CA"/>
        </w:rPr>
        <w:t>6)</w:t>
      </w:r>
      <w:r w:rsidRPr="00336568">
        <w:rPr>
          <w:lang w:val="fr-CA"/>
        </w:rPr>
        <w:tab/>
        <w:t>Les effets nocifs significatifs sur l</w:t>
      </w:r>
      <w:r>
        <w:rPr>
          <w:lang w:val="fr-CA"/>
        </w:rPr>
        <w:t>’</w:t>
      </w:r>
      <w:r w:rsidRPr="00336568">
        <w:rPr>
          <w:lang w:val="fr-CA"/>
        </w:rPr>
        <w:t>atmosphère ont dans une large mesure pour origine les activités de particuliers et d</w:t>
      </w:r>
      <w:r>
        <w:rPr>
          <w:lang w:val="fr-CA"/>
        </w:rPr>
        <w:t>’</w:t>
      </w:r>
      <w:r w:rsidRPr="00336568">
        <w:rPr>
          <w:lang w:val="fr-CA"/>
        </w:rPr>
        <w:t>entreprises privées, lesquelles ne sont normalement pas imputables à l</w:t>
      </w:r>
      <w:r>
        <w:rPr>
          <w:lang w:val="fr-CA"/>
        </w:rPr>
        <w:t>’</w:t>
      </w:r>
      <w:r w:rsidRPr="00336568">
        <w:rPr>
          <w:lang w:val="fr-CA"/>
        </w:rPr>
        <w:t>État</w:t>
      </w:r>
      <w:r w:rsidRPr="00F22925">
        <w:rPr>
          <w:lang w:val="fr-CA"/>
        </w:rPr>
        <w:t>.</w:t>
      </w:r>
      <w:r w:rsidRPr="00336568">
        <w:rPr>
          <w:lang w:val="fr-CA"/>
        </w:rPr>
        <w:t xml:space="preserve"> À cet égard, la diligence requise exige de l</w:t>
      </w:r>
      <w:r>
        <w:rPr>
          <w:lang w:val="fr-CA"/>
        </w:rPr>
        <w:t>’</w:t>
      </w:r>
      <w:r w:rsidRPr="00336568">
        <w:rPr>
          <w:lang w:val="fr-CA"/>
        </w:rPr>
        <w:t>État qu</w:t>
      </w:r>
      <w:r>
        <w:rPr>
          <w:lang w:val="fr-CA"/>
        </w:rPr>
        <w:t>’</w:t>
      </w:r>
      <w:r w:rsidRPr="00336568">
        <w:rPr>
          <w:lang w:val="fr-CA"/>
        </w:rPr>
        <w:t>il « veille » à ce que ces activités, lorsqu</w:t>
      </w:r>
      <w:r>
        <w:rPr>
          <w:lang w:val="fr-CA"/>
        </w:rPr>
        <w:t>’</w:t>
      </w:r>
      <w:r w:rsidRPr="00336568">
        <w:rPr>
          <w:lang w:val="fr-CA"/>
        </w:rPr>
        <w:t>elles relèvent de sa juridiction ou de son contrôle, n</w:t>
      </w:r>
      <w:r>
        <w:rPr>
          <w:lang w:val="fr-CA"/>
        </w:rPr>
        <w:t>’</w:t>
      </w:r>
      <w:r w:rsidRPr="00336568">
        <w:rPr>
          <w:lang w:val="fr-CA"/>
        </w:rPr>
        <w:t>entraînent pas de tels effets</w:t>
      </w:r>
      <w:r w:rsidRPr="00F22925">
        <w:rPr>
          <w:lang w:val="fr-CA"/>
        </w:rPr>
        <w:t>.</w:t>
      </w:r>
      <w:r w:rsidRPr="00336568">
        <w:rPr>
          <w:lang w:val="fr-CA"/>
        </w:rPr>
        <w:t xml:space="preserve"> Ce n</w:t>
      </w:r>
      <w:r>
        <w:rPr>
          <w:lang w:val="fr-CA"/>
        </w:rPr>
        <w:t>’</w:t>
      </w:r>
      <w:r w:rsidRPr="00336568">
        <w:rPr>
          <w:lang w:val="fr-CA"/>
        </w:rPr>
        <w:t>est cependant pas à dire que le principe de la diligence requise ne s</w:t>
      </w:r>
      <w:r>
        <w:rPr>
          <w:lang w:val="fr-CA"/>
        </w:rPr>
        <w:t>’</w:t>
      </w:r>
      <w:r w:rsidRPr="00336568">
        <w:rPr>
          <w:lang w:val="fr-CA"/>
        </w:rPr>
        <w:t>applique qu</w:t>
      </w:r>
      <w:r>
        <w:rPr>
          <w:lang w:val="fr-CA"/>
        </w:rPr>
        <w:t>’</w:t>
      </w:r>
      <w:r w:rsidRPr="00336568">
        <w:rPr>
          <w:lang w:val="fr-CA"/>
        </w:rPr>
        <w:t>aux activités privées, puisque les activités de l</w:t>
      </w:r>
      <w:r>
        <w:rPr>
          <w:lang w:val="fr-CA"/>
        </w:rPr>
        <w:t>’</w:t>
      </w:r>
      <w:r w:rsidRPr="00336568">
        <w:rPr>
          <w:lang w:val="fr-CA"/>
        </w:rPr>
        <w:t xml:space="preserve">État </w:t>
      </w:r>
      <w:r w:rsidRPr="00336568">
        <w:rPr>
          <w:lang w:val="fr-CA"/>
        </w:rPr>
        <w:lastRenderedPageBreak/>
        <w:t>y sont également soumises</w:t>
      </w:r>
      <w:bookmarkStart w:id="10" w:name="_Ref456789244"/>
      <w:r w:rsidRPr="00F22830">
        <w:rPr>
          <w:rStyle w:val="FootnoteReference"/>
        </w:rPr>
        <w:footnoteReference w:id="71"/>
      </w:r>
      <w:bookmarkEnd w:id="10"/>
      <w:r w:rsidRPr="00F22925">
        <w:rPr>
          <w:lang w:val="fr-CA"/>
        </w:rPr>
        <w:t>.</w:t>
      </w:r>
      <w:r w:rsidRPr="00336568">
        <w:rPr>
          <w:lang w:val="fr-CA"/>
        </w:rPr>
        <w:t xml:space="preserve"> Ce</w:t>
      </w:r>
      <w:r>
        <w:rPr>
          <w:lang w:val="fr-CA"/>
        </w:rPr>
        <w:t xml:space="preserve"> </w:t>
      </w:r>
      <w:r w:rsidRPr="00336568">
        <w:rPr>
          <w:lang w:val="fr-CA"/>
        </w:rPr>
        <w:t>principe suppose non seulement que l</w:t>
      </w:r>
      <w:r>
        <w:rPr>
          <w:lang w:val="fr-CA"/>
        </w:rPr>
        <w:t>’</w:t>
      </w:r>
      <w:r w:rsidRPr="00336568">
        <w:rPr>
          <w:lang w:val="fr-CA"/>
        </w:rPr>
        <w:t>État adopte des règles et mesures appropriées, mais aussi qu</w:t>
      </w:r>
      <w:r>
        <w:rPr>
          <w:lang w:val="fr-CA"/>
        </w:rPr>
        <w:t>’</w:t>
      </w:r>
      <w:r w:rsidRPr="00336568">
        <w:rPr>
          <w:lang w:val="fr-CA"/>
        </w:rPr>
        <w:t>il fasse preuve d</w:t>
      </w:r>
      <w:r>
        <w:rPr>
          <w:lang w:val="fr-CA"/>
        </w:rPr>
        <w:t>’</w:t>
      </w:r>
      <w:r w:rsidRPr="00336568">
        <w:rPr>
          <w:lang w:val="fr-CA"/>
        </w:rPr>
        <w:t>un certain niveau de vigilance dans l</w:t>
      </w:r>
      <w:r>
        <w:rPr>
          <w:lang w:val="fr-CA"/>
        </w:rPr>
        <w:t>’</w:t>
      </w:r>
      <w:r w:rsidRPr="00336568">
        <w:rPr>
          <w:lang w:val="fr-CA"/>
        </w:rPr>
        <w:t>application de ces règles et mesures et dans l</w:t>
      </w:r>
      <w:r>
        <w:rPr>
          <w:lang w:val="fr-CA"/>
        </w:rPr>
        <w:t>’</w:t>
      </w:r>
      <w:r w:rsidRPr="00336568">
        <w:rPr>
          <w:lang w:val="fr-CA"/>
        </w:rPr>
        <w:t>exercice du contrôle administratif applicable aux opérateurs publics et privés, notamment dans la surveillance des activités entreprises par ces opérateurs, afin de préserver les droits de l</w:t>
      </w:r>
      <w:r>
        <w:rPr>
          <w:lang w:val="fr-CA"/>
        </w:rPr>
        <w:t>’</w:t>
      </w:r>
      <w:r w:rsidRPr="00336568">
        <w:rPr>
          <w:lang w:val="fr-CA"/>
        </w:rPr>
        <w:t>autre partie</w:t>
      </w:r>
      <w:r w:rsidRPr="00F22925">
        <w:rPr>
          <w:lang w:val="fr-CA"/>
        </w:rPr>
        <w:t>.</w:t>
      </w:r>
      <w:r w:rsidRPr="00336568">
        <w:rPr>
          <w:lang w:val="fr-CA"/>
        </w:rPr>
        <w:t xml:space="preserve"> Enfin, ce principe exige aussi que l</w:t>
      </w:r>
      <w:r>
        <w:rPr>
          <w:lang w:val="fr-CA"/>
        </w:rPr>
        <w:t>’</w:t>
      </w:r>
      <w:r w:rsidRPr="00336568">
        <w:rPr>
          <w:lang w:val="fr-CA"/>
        </w:rPr>
        <w:t>État tienne compte du contexte et de l</w:t>
      </w:r>
      <w:r>
        <w:rPr>
          <w:lang w:val="fr-CA"/>
        </w:rPr>
        <w:t>’</w:t>
      </w:r>
      <w:r w:rsidRPr="00336568">
        <w:rPr>
          <w:lang w:val="fr-CA"/>
        </w:rPr>
        <w:t>évolution des normes concernant la réglementation et la technologie</w:t>
      </w:r>
      <w:r w:rsidRPr="00F22925">
        <w:rPr>
          <w:lang w:val="fr-CA"/>
        </w:rPr>
        <w:t>.</w:t>
      </w:r>
      <w:r w:rsidRPr="00336568">
        <w:rPr>
          <w:lang w:val="fr-CA"/>
        </w:rPr>
        <w:t xml:space="preserve"> De</w:t>
      </w:r>
      <w:r>
        <w:rPr>
          <w:lang w:val="fr-CA"/>
        </w:rPr>
        <w:t xml:space="preserve"> </w:t>
      </w:r>
      <w:r w:rsidRPr="00336568">
        <w:rPr>
          <w:lang w:val="fr-CA"/>
        </w:rPr>
        <w:t xml:space="preserve">ce fait, quand bien même des effets nocifs significatifs viendraient à se produire, on ne pourrait pas </w:t>
      </w:r>
      <w:r>
        <w:rPr>
          <w:lang w:val="fr-CA"/>
        </w:rPr>
        <w:t>nécessairement</w:t>
      </w:r>
      <w:r w:rsidRPr="00336568">
        <w:rPr>
          <w:lang w:val="fr-CA"/>
        </w:rPr>
        <w:t xml:space="preserve"> lui reprocher d</w:t>
      </w:r>
      <w:r>
        <w:rPr>
          <w:lang w:val="fr-CA"/>
        </w:rPr>
        <w:t>’</w:t>
      </w:r>
      <w:r w:rsidRPr="00336568">
        <w:rPr>
          <w:lang w:val="fr-CA"/>
        </w:rPr>
        <w:t>avoir failli à l</w:t>
      </w:r>
      <w:r>
        <w:rPr>
          <w:lang w:val="fr-CA"/>
        </w:rPr>
        <w:t>’</w:t>
      </w:r>
      <w:r w:rsidRPr="00336568">
        <w:rPr>
          <w:lang w:val="fr-CA"/>
        </w:rPr>
        <w:t xml:space="preserve">obligation de </w:t>
      </w:r>
      <w:r w:rsidRPr="00336568">
        <w:rPr>
          <w:spacing w:val="-1"/>
          <w:lang w:val="fr-CA"/>
        </w:rPr>
        <w:t>diligence</w:t>
      </w:r>
      <w:r w:rsidRPr="00F22925">
        <w:rPr>
          <w:spacing w:val="-1"/>
          <w:lang w:val="fr-CA"/>
        </w:rPr>
        <w:t>.</w:t>
      </w:r>
      <w:r w:rsidRPr="00336568">
        <w:rPr>
          <w:spacing w:val="-1"/>
          <w:lang w:val="fr-CA"/>
        </w:rPr>
        <w:t xml:space="preserve"> L</w:t>
      </w:r>
      <w:r>
        <w:rPr>
          <w:spacing w:val="-1"/>
          <w:lang w:val="fr-CA"/>
        </w:rPr>
        <w:t>’</w:t>
      </w:r>
      <w:r w:rsidRPr="00336568">
        <w:rPr>
          <w:spacing w:val="-1"/>
          <w:lang w:val="fr-CA"/>
        </w:rPr>
        <w:t>État ne s</w:t>
      </w:r>
      <w:r>
        <w:rPr>
          <w:spacing w:val="-1"/>
          <w:lang w:val="fr-CA"/>
        </w:rPr>
        <w:t>’</w:t>
      </w:r>
      <w:r w:rsidRPr="00336568">
        <w:rPr>
          <w:spacing w:val="-1"/>
          <w:lang w:val="fr-CA"/>
        </w:rPr>
        <w:t>exposerait à pareil reproche que dans l</w:t>
      </w:r>
      <w:r>
        <w:rPr>
          <w:spacing w:val="-1"/>
          <w:lang w:val="fr-CA"/>
        </w:rPr>
        <w:t>’</w:t>
      </w:r>
      <w:r w:rsidRPr="00336568">
        <w:rPr>
          <w:spacing w:val="-1"/>
          <w:lang w:val="fr-CA"/>
        </w:rPr>
        <w:t>hypothèse où il aurait méconnu l</w:t>
      </w:r>
      <w:r>
        <w:rPr>
          <w:spacing w:val="-1"/>
          <w:lang w:val="fr-CA"/>
        </w:rPr>
        <w:t>’</w:t>
      </w:r>
      <w:r w:rsidRPr="00336568">
        <w:rPr>
          <w:spacing w:val="-1"/>
          <w:lang w:val="fr-CA"/>
        </w:rPr>
        <w:t>obligation mise à sa charge de prendre toutes les mesures voulues pour prévenir, réduire ou maîtriser toutes les activités humaines qui ont ou sont susceptibles d</w:t>
      </w:r>
      <w:r>
        <w:rPr>
          <w:spacing w:val="-1"/>
          <w:lang w:val="fr-CA"/>
        </w:rPr>
        <w:t>’</w:t>
      </w:r>
      <w:r w:rsidRPr="00336568">
        <w:rPr>
          <w:spacing w:val="-1"/>
          <w:lang w:val="fr-CA"/>
        </w:rPr>
        <w:t>avoir des effets nocifs significatifs</w:t>
      </w:r>
      <w:r w:rsidRPr="00F22925">
        <w:rPr>
          <w:spacing w:val="-1"/>
          <w:lang w:val="fr-CA"/>
        </w:rPr>
        <w:t>.</w:t>
      </w:r>
      <w:r w:rsidRPr="00336568">
        <w:rPr>
          <w:spacing w:val="-1"/>
          <w:lang w:val="fr-CA"/>
        </w:rPr>
        <w:t xml:space="preserve"> L</w:t>
      </w:r>
      <w:r>
        <w:rPr>
          <w:spacing w:val="-1"/>
          <w:lang w:val="fr-CA"/>
        </w:rPr>
        <w:t>’</w:t>
      </w:r>
      <w:r w:rsidRPr="00336568">
        <w:rPr>
          <w:spacing w:val="-1"/>
          <w:lang w:val="fr-CA"/>
        </w:rPr>
        <w:t>obligation ainsi faite à l</w:t>
      </w:r>
      <w:r>
        <w:rPr>
          <w:spacing w:val="-1"/>
          <w:lang w:val="fr-CA"/>
        </w:rPr>
        <w:t>’</w:t>
      </w:r>
      <w:r w:rsidRPr="00336568">
        <w:rPr>
          <w:spacing w:val="-1"/>
          <w:lang w:val="fr-CA"/>
        </w:rPr>
        <w:t>État « de veiller » n</w:t>
      </w:r>
      <w:r>
        <w:rPr>
          <w:spacing w:val="-1"/>
          <w:lang w:val="fr-CA"/>
        </w:rPr>
        <w:t>’</w:t>
      </w:r>
      <w:r w:rsidRPr="00336568">
        <w:rPr>
          <w:spacing w:val="-1"/>
          <w:lang w:val="fr-CA"/>
        </w:rPr>
        <w:t>est pas tant d</w:t>
      </w:r>
      <w:r>
        <w:rPr>
          <w:spacing w:val="-1"/>
          <w:lang w:val="fr-CA"/>
        </w:rPr>
        <w:t>’</w:t>
      </w:r>
      <w:r w:rsidRPr="00336568">
        <w:rPr>
          <w:spacing w:val="-1"/>
          <w:lang w:val="fr-CA"/>
        </w:rPr>
        <w:t>obtenir un certain résultat (obligation de résultat) que de faire tout ce qui est en son pouvoir</w:t>
      </w:r>
      <w:r>
        <w:rPr>
          <w:spacing w:val="-1"/>
          <w:lang w:val="fr-CA"/>
        </w:rPr>
        <w:t>, en toute bonne foi,</w:t>
      </w:r>
      <w:r w:rsidRPr="00336568">
        <w:rPr>
          <w:spacing w:val="-1"/>
          <w:lang w:val="fr-CA"/>
        </w:rPr>
        <w:t xml:space="preserve"> pour ne pas causer d</w:t>
      </w:r>
      <w:r>
        <w:rPr>
          <w:spacing w:val="-1"/>
          <w:lang w:val="fr-CA"/>
        </w:rPr>
        <w:t>’</w:t>
      </w:r>
      <w:r w:rsidRPr="00336568">
        <w:rPr>
          <w:spacing w:val="-1"/>
          <w:lang w:val="fr-CA"/>
        </w:rPr>
        <w:t>effets nocifs significatifs (obligation de moyens)</w:t>
      </w:r>
      <w:r w:rsidRPr="00F22925">
        <w:rPr>
          <w:spacing w:val="-1"/>
          <w:lang w:val="fr-CA"/>
        </w:rPr>
        <w:t>.</w:t>
      </w:r>
      <w:r w:rsidRPr="00336568">
        <w:rPr>
          <w:spacing w:val="-1"/>
          <w:lang w:val="fr-CA"/>
        </w:rPr>
        <w:t xml:space="preserve"> </w:t>
      </w:r>
    </w:p>
    <w:p w14:paraId="4FF0C45E" w14:textId="77777777" w:rsidR="00D01ECD" w:rsidRPr="00605EBB" w:rsidRDefault="00D01ECD" w:rsidP="00D01ECD">
      <w:pPr>
        <w:pStyle w:val="SingleTxtG"/>
        <w:rPr>
          <w:lang w:val="fr-CA"/>
        </w:rPr>
      </w:pPr>
      <w:r w:rsidRPr="00336568">
        <w:rPr>
          <w:lang w:val="fr-CA"/>
        </w:rPr>
        <w:t>7)</w:t>
      </w:r>
      <w:r w:rsidRPr="00336568">
        <w:rPr>
          <w:lang w:val="fr-CA"/>
        </w:rPr>
        <w:tab/>
      </w:r>
      <w:r>
        <w:rPr>
          <w:lang w:val="fr-CA"/>
        </w:rPr>
        <w:t>L’obligation</w:t>
      </w:r>
      <w:r w:rsidRPr="00336568">
        <w:rPr>
          <w:lang w:val="fr-CA"/>
        </w:rPr>
        <w:t xml:space="preserve"> de « prévenir, réduire ou maîtriser » </w:t>
      </w:r>
      <w:r>
        <w:rPr>
          <w:lang w:val="fr-CA"/>
        </w:rPr>
        <w:t>couvre les</w:t>
      </w:r>
      <w:r w:rsidRPr="00336568">
        <w:rPr>
          <w:lang w:val="fr-CA"/>
        </w:rPr>
        <w:t xml:space="preserve"> diverses mesures que les États doivent prendre, séparément ou conjointement, conformément aux règles applicables pertinentes en matière de pollution atmosphérique, d</w:t>
      </w:r>
      <w:r>
        <w:rPr>
          <w:lang w:val="fr-CA"/>
        </w:rPr>
        <w:t>’</w:t>
      </w:r>
      <w:r w:rsidRPr="00336568">
        <w:rPr>
          <w:lang w:val="fr-CA"/>
        </w:rPr>
        <w:t>une part, et de dégradation atmosphérique, d</w:t>
      </w:r>
      <w:r>
        <w:rPr>
          <w:lang w:val="fr-CA"/>
        </w:rPr>
        <w:t>’</w:t>
      </w:r>
      <w:r w:rsidRPr="00336568">
        <w:rPr>
          <w:lang w:val="fr-CA"/>
        </w:rPr>
        <w:t>autre part</w:t>
      </w:r>
      <w:r w:rsidRPr="00F22925">
        <w:rPr>
          <w:lang w:val="fr-CA"/>
        </w:rPr>
        <w:t>.</w:t>
      </w:r>
      <w:r w:rsidRPr="00336568">
        <w:rPr>
          <w:lang w:val="fr-CA"/>
        </w:rPr>
        <w:t xml:space="preserve"> La formule « prévenir, réduire ou maîtriser » est inspirée des libellés du paragraphe 1 de l</w:t>
      </w:r>
      <w:r>
        <w:rPr>
          <w:lang w:val="fr-CA"/>
        </w:rPr>
        <w:t>’</w:t>
      </w:r>
      <w:r w:rsidRPr="00336568">
        <w:rPr>
          <w:lang w:val="fr-CA"/>
        </w:rPr>
        <w:t>article 194 de la Convention des Nations Unies sur le droit de la mer, qui contient la conjonction « et »</w:t>
      </w:r>
      <w:r w:rsidRPr="00F22830">
        <w:rPr>
          <w:rStyle w:val="FootnoteReference"/>
        </w:rPr>
        <w:footnoteReference w:id="72"/>
      </w:r>
      <w:r w:rsidRPr="00336568">
        <w:rPr>
          <w:lang w:val="fr-CA"/>
        </w:rPr>
        <w:t>, et du paragraphe 3 de l</w:t>
      </w:r>
      <w:r>
        <w:rPr>
          <w:lang w:val="fr-CA"/>
        </w:rPr>
        <w:t>’</w:t>
      </w:r>
      <w:r w:rsidRPr="00336568">
        <w:rPr>
          <w:lang w:val="fr-CA"/>
        </w:rPr>
        <w:t>article 3 de la Convention</w:t>
      </w:r>
      <w:r w:rsidRPr="00336568">
        <w:rPr>
          <w:lang w:val="fr-CA"/>
        </w:rPr>
        <w:noBreakHyphen/>
        <w:t>cadre des Nations Unies sur les changements climatiques qui, lui, contient la conjonction « ou »</w:t>
      </w:r>
      <w:r w:rsidRPr="00F22830">
        <w:rPr>
          <w:rStyle w:val="FootnoteReference"/>
        </w:rPr>
        <w:footnoteReference w:id="73"/>
      </w:r>
      <w:r w:rsidRPr="00F22925">
        <w:rPr>
          <w:lang w:val="fr-CA"/>
        </w:rPr>
        <w:t>.</w:t>
      </w:r>
      <w:r w:rsidRPr="00336568">
        <w:rPr>
          <w:lang w:val="fr-CA"/>
        </w:rPr>
        <w:t xml:space="preserve"> </w:t>
      </w:r>
      <w:r w:rsidRPr="00336568">
        <w:rPr>
          <w:color w:val="333333"/>
          <w:shd w:val="clear" w:color="auto" w:fill="FFFFFF"/>
          <w:lang w:val="fr-CA"/>
        </w:rPr>
        <w:t>L</w:t>
      </w:r>
      <w:r>
        <w:rPr>
          <w:color w:val="333333"/>
          <w:shd w:val="clear" w:color="auto" w:fill="FFFFFF"/>
          <w:lang w:val="fr-CA"/>
        </w:rPr>
        <w:t>’</w:t>
      </w:r>
      <w:r w:rsidRPr="00336568">
        <w:rPr>
          <w:color w:val="333333"/>
          <w:shd w:val="clear" w:color="auto" w:fill="FFFFFF"/>
          <w:lang w:val="fr-CA"/>
        </w:rPr>
        <w:t>obligation de veiller à ce que des « mesures appropriées » soient adoptées est un élément important de la directive</w:t>
      </w:r>
      <w:r w:rsidRPr="00F22925">
        <w:rPr>
          <w:color w:val="333333"/>
          <w:shd w:val="clear" w:color="auto" w:fill="FFFFFF"/>
          <w:lang w:val="fr-CA"/>
        </w:rPr>
        <w:t>.</w:t>
      </w:r>
      <w:r>
        <w:rPr>
          <w:color w:val="333333"/>
          <w:shd w:val="clear" w:color="auto" w:fill="FFFFFF"/>
          <w:lang w:val="fr-CA"/>
        </w:rPr>
        <w:t xml:space="preserve"> Dans ce contexte, on retiendra que, dans le préambule de l’Accord de Paris, les parties se déclarent conscientes que « les changements climatiques sont un sujet de préoccupation pour </w:t>
      </w:r>
      <w:r>
        <w:rPr>
          <w:color w:val="333333"/>
          <w:shd w:val="clear" w:color="auto" w:fill="FFFFFF"/>
          <w:lang w:val="fr-CA"/>
        </w:rPr>
        <w:lastRenderedPageBreak/>
        <w:t xml:space="preserve">l’humanité tout entière » et </w:t>
      </w:r>
      <w:r>
        <w:rPr>
          <w:lang w:val="fr-CA"/>
        </w:rPr>
        <w:t>notent « qu’il</w:t>
      </w:r>
      <w:r w:rsidRPr="00605EBB">
        <w:rPr>
          <w:lang w:val="fr-CA"/>
        </w:rPr>
        <w:t xml:space="preserve"> importe de veiller à l</w:t>
      </w:r>
      <w:r>
        <w:rPr>
          <w:lang w:val="fr-CA"/>
        </w:rPr>
        <w:t>’</w:t>
      </w:r>
      <w:r w:rsidRPr="00605EBB">
        <w:rPr>
          <w:lang w:val="fr-CA"/>
        </w:rPr>
        <w:t>intégrité de tous les écosystèmes, y compris les océans, et à la protection de la biodiversité</w:t>
      </w:r>
      <w:r>
        <w:rPr>
          <w:lang w:val="fr-CA"/>
        </w:rPr>
        <w:t> »</w:t>
      </w:r>
      <w:r w:rsidRPr="00F22830">
        <w:rPr>
          <w:rStyle w:val="FootnoteReference"/>
        </w:rPr>
        <w:footnoteReference w:id="74"/>
      </w:r>
      <w:r w:rsidRPr="00F22925">
        <w:rPr>
          <w:lang w:val="fr-CA"/>
        </w:rPr>
        <w:t>.</w:t>
      </w:r>
    </w:p>
    <w:p w14:paraId="62AA23C3" w14:textId="77777777" w:rsidR="00D01ECD" w:rsidRPr="00336568" w:rsidRDefault="00D01ECD" w:rsidP="00D01ECD">
      <w:pPr>
        <w:pStyle w:val="SingleTxtG"/>
        <w:rPr>
          <w:lang w:val="fr-CA"/>
        </w:rPr>
      </w:pPr>
      <w:r w:rsidRPr="00336568">
        <w:rPr>
          <w:lang w:val="fr-CA"/>
        </w:rPr>
        <w:t>8)</w:t>
      </w:r>
      <w:r w:rsidRPr="00336568">
        <w:rPr>
          <w:lang w:val="fr-CA"/>
        </w:rPr>
        <w:tab/>
        <w:t>Même si les mesures voulues pour « prévenir, réduire ou maîtriser » s</w:t>
      </w:r>
      <w:r>
        <w:rPr>
          <w:lang w:val="fr-CA"/>
        </w:rPr>
        <w:t>’</w:t>
      </w:r>
      <w:r w:rsidRPr="00336568">
        <w:rPr>
          <w:lang w:val="fr-CA"/>
        </w:rPr>
        <w:t>appliquent tant à la pollution atmosphérique qu</w:t>
      </w:r>
      <w:r>
        <w:rPr>
          <w:lang w:val="fr-CA"/>
        </w:rPr>
        <w:t>’</w:t>
      </w:r>
      <w:r w:rsidRPr="00336568">
        <w:rPr>
          <w:lang w:val="fr-CA"/>
        </w:rPr>
        <w:t>à la dégradation atmosphérique, la référence aux « règles de droit international applicables » indique que, compte tenu du caractère transfrontière de la pollution atmosphérique et du caractère mondial de la dégradation atmosphérique et du fait que différentes règles s</w:t>
      </w:r>
      <w:r>
        <w:rPr>
          <w:lang w:val="fr-CA"/>
        </w:rPr>
        <w:t>’</w:t>
      </w:r>
      <w:r w:rsidRPr="00336568">
        <w:rPr>
          <w:lang w:val="fr-CA"/>
        </w:rPr>
        <w:t>appliquent à l</w:t>
      </w:r>
      <w:r>
        <w:rPr>
          <w:lang w:val="fr-CA"/>
        </w:rPr>
        <w:t>’</w:t>
      </w:r>
      <w:r w:rsidRPr="00336568">
        <w:rPr>
          <w:lang w:val="fr-CA"/>
        </w:rPr>
        <w:t>une et à l</w:t>
      </w:r>
      <w:r>
        <w:rPr>
          <w:lang w:val="fr-CA"/>
        </w:rPr>
        <w:t>’</w:t>
      </w:r>
      <w:r w:rsidRPr="00336568">
        <w:rPr>
          <w:lang w:val="fr-CA"/>
        </w:rPr>
        <w:t>autre, les mesures à prendre peuvent varier</w:t>
      </w:r>
      <w:r w:rsidRPr="00F22925">
        <w:rPr>
          <w:lang w:val="fr-CA"/>
        </w:rPr>
        <w:t>.</w:t>
      </w:r>
      <w:r w:rsidRPr="00336568">
        <w:rPr>
          <w:lang w:val="fr-CA"/>
        </w:rPr>
        <w:t xml:space="preserve"> L</w:t>
      </w:r>
      <w:r>
        <w:rPr>
          <w:lang w:val="fr-CA"/>
        </w:rPr>
        <w:t>’</w:t>
      </w:r>
      <w:r w:rsidRPr="00336568">
        <w:rPr>
          <w:lang w:val="fr-CA"/>
        </w:rPr>
        <w:t>obligation des États de prévenir les effets nocifs significatifs participant de la pollution atmosphérique transfrontière est fermement établie en droit international coutumier, comme cela est confirmé, par exemple, par les articles de la Commission sur la prévention des dommages transfrontières résultant d</w:t>
      </w:r>
      <w:r>
        <w:rPr>
          <w:lang w:val="fr-CA"/>
        </w:rPr>
        <w:t>’</w:t>
      </w:r>
      <w:r w:rsidRPr="00336568">
        <w:rPr>
          <w:lang w:val="fr-CA"/>
        </w:rPr>
        <w:t>activités dangereuses</w:t>
      </w:r>
      <w:r w:rsidRPr="00F22830">
        <w:rPr>
          <w:rStyle w:val="FootnoteReference"/>
        </w:rPr>
        <w:footnoteReference w:id="75"/>
      </w:r>
      <w:r w:rsidRPr="00336568">
        <w:rPr>
          <w:lang w:val="fr-CA"/>
        </w:rPr>
        <w:t xml:space="preserve"> et par la jurisprudence des cours et tribunaux internationaux</w:t>
      </w:r>
      <w:bookmarkStart w:id="11" w:name="_Ref456787330"/>
      <w:r w:rsidRPr="00F22830">
        <w:rPr>
          <w:rStyle w:val="FootnoteReference"/>
        </w:rPr>
        <w:footnoteReference w:id="76"/>
      </w:r>
      <w:bookmarkEnd w:id="11"/>
      <w:r w:rsidRPr="00F22925">
        <w:rPr>
          <w:lang w:val="fr-CA"/>
        </w:rPr>
        <w:t>.</w:t>
      </w:r>
      <w:r w:rsidRPr="00336568">
        <w:rPr>
          <w:lang w:val="fr-CA"/>
        </w:rPr>
        <w:t xml:space="preserve"> Toutefois, il n</w:t>
      </w:r>
      <w:r>
        <w:rPr>
          <w:lang w:val="fr-CA"/>
        </w:rPr>
        <w:t>’</w:t>
      </w:r>
      <w:r w:rsidRPr="00336568">
        <w:rPr>
          <w:lang w:val="fr-CA"/>
        </w:rPr>
        <w:t>est pas encore certain qu</w:t>
      </w:r>
      <w:r>
        <w:rPr>
          <w:lang w:val="fr-CA"/>
        </w:rPr>
        <w:t>’</w:t>
      </w:r>
      <w:r w:rsidRPr="00336568">
        <w:rPr>
          <w:lang w:val="fr-CA"/>
        </w:rPr>
        <w:t>il en aille de même pour ce qui est de la dégradation atmosphérique</w:t>
      </w:r>
      <w:r w:rsidRPr="00F22925">
        <w:rPr>
          <w:lang w:val="fr-CA"/>
        </w:rPr>
        <w:t>.</w:t>
      </w:r>
    </w:p>
    <w:p w14:paraId="342AD2F9" w14:textId="77777777" w:rsidR="00D01ECD" w:rsidRPr="00336568" w:rsidRDefault="00D01ECD" w:rsidP="00D01ECD">
      <w:pPr>
        <w:pStyle w:val="SingleTxtG"/>
        <w:rPr>
          <w:lang w:val="fr-CA"/>
        </w:rPr>
      </w:pPr>
      <w:r w:rsidRPr="00336568">
        <w:rPr>
          <w:lang w:val="fr-CA"/>
        </w:rPr>
        <w:t>9)</w:t>
      </w:r>
      <w:r w:rsidRPr="00336568">
        <w:rPr>
          <w:lang w:val="fr-CA"/>
        </w:rPr>
        <w:tab/>
        <w:t>La Cour internationale de Justice a dit que « [l]</w:t>
      </w:r>
      <w:r>
        <w:rPr>
          <w:lang w:val="fr-CA"/>
        </w:rPr>
        <w:t>’</w:t>
      </w:r>
      <w:r w:rsidRPr="00336568">
        <w:rPr>
          <w:lang w:val="fr-CA"/>
        </w:rPr>
        <w:t>obligation générale qu</w:t>
      </w:r>
      <w:r>
        <w:rPr>
          <w:lang w:val="fr-CA"/>
        </w:rPr>
        <w:t>’</w:t>
      </w:r>
      <w:r w:rsidRPr="00336568">
        <w:rPr>
          <w:lang w:val="fr-CA"/>
        </w:rPr>
        <w:t>ont les États de veiller à ce que les activités exercées dans les limites de leur juridiction ou sous leur contrôle respectent l</w:t>
      </w:r>
      <w:r>
        <w:rPr>
          <w:lang w:val="fr-CA"/>
        </w:rPr>
        <w:t>’</w:t>
      </w:r>
      <w:r w:rsidRPr="00336568">
        <w:rPr>
          <w:lang w:val="fr-CA"/>
        </w:rPr>
        <w:t>environnement […] dans des zones ne relevant d</w:t>
      </w:r>
      <w:r>
        <w:rPr>
          <w:lang w:val="fr-CA"/>
        </w:rPr>
        <w:t>’</w:t>
      </w:r>
      <w:r w:rsidRPr="00336568">
        <w:rPr>
          <w:lang w:val="fr-CA"/>
        </w:rPr>
        <w:t xml:space="preserve">aucune juridiction nationale </w:t>
      </w:r>
      <w:proofErr w:type="spellStart"/>
      <w:r w:rsidRPr="00336568">
        <w:rPr>
          <w:lang w:val="fr-CA"/>
        </w:rPr>
        <w:t>fai</w:t>
      </w:r>
      <w:proofErr w:type="spellEnd"/>
      <w:r w:rsidRPr="00336568">
        <w:rPr>
          <w:lang w:val="fr-CA"/>
        </w:rPr>
        <w:t>[</w:t>
      </w:r>
      <w:proofErr w:type="spellStart"/>
      <w:r w:rsidRPr="00336568">
        <w:rPr>
          <w:lang w:val="fr-CA"/>
        </w:rPr>
        <w:t>sai</w:t>
      </w:r>
      <w:proofErr w:type="spellEnd"/>
      <w:r w:rsidRPr="00336568">
        <w:rPr>
          <w:lang w:val="fr-CA"/>
        </w:rPr>
        <w:t>]t maintenant partie du corps de règles du droit international</w:t>
      </w:r>
      <w:r w:rsidRPr="00F22830">
        <w:rPr>
          <w:rStyle w:val="FootnoteReference"/>
        </w:rPr>
        <w:footnoteReference w:id="77"/>
      </w:r>
      <w:r w:rsidRPr="00336568">
        <w:rPr>
          <w:lang w:val="fr-CA"/>
        </w:rPr>
        <w:t> » et souligné que le respect de l</w:t>
      </w:r>
      <w:r>
        <w:rPr>
          <w:lang w:val="fr-CA"/>
        </w:rPr>
        <w:t>’</w:t>
      </w:r>
      <w:r w:rsidRPr="00336568">
        <w:rPr>
          <w:lang w:val="fr-CA"/>
        </w:rPr>
        <w:t>environnement revêtait une grande importance « non seulement pour les États mais aussi pour l</w:t>
      </w:r>
      <w:r>
        <w:rPr>
          <w:lang w:val="fr-CA"/>
        </w:rPr>
        <w:t>’</w:t>
      </w:r>
      <w:r w:rsidRPr="00336568">
        <w:rPr>
          <w:lang w:val="fr-CA"/>
        </w:rPr>
        <w:t>ensemble du genre humain</w:t>
      </w:r>
      <w:r w:rsidRPr="00F22830">
        <w:rPr>
          <w:rStyle w:val="FootnoteReference"/>
        </w:rPr>
        <w:footnoteReference w:id="78"/>
      </w:r>
      <w:r w:rsidRPr="00336568">
        <w:rPr>
          <w:lang w:val="fr-CA"/>
        </w:rPr>
        <w:t xml:space="preserve"> » et, dans la </w:t>
      </w:r>
      <w:r w:rsidRPr="00336568">
        <w:rPr>
          <w:lang w:val="fr-CA"/>
        </w:rPr>
        <w:lastRenderedPageBreak/>
        <w:t xml:space="preserve">sentence relative au </w:t>
      </w:r>
      <w:r w:rsidRPr="00AD2326">
        <w:rPr>
          <w:lang w:val="fr-CA"/>
        </w:rPr>
        <w:t>chemin de fer dit</w:t>
      </w:r>
      <w:r w:rsidRPr="00336568">
        <w:rPr>
          <w:lang w:val="fr-CA"/>
        </w:rPr>
        <w:t xml:space="preserve"> </w:t>
      </w:r>
      <w:proofErr w:type="spellStart"/>
      <w:r w:rsidRPr="00336568">
        <w:rPr>
          <w:i/>
          <w:lang w:val="fr-CA"/>
        </w:rPr>
        <w:t>Iron</w:t>
      </w:r>
      <w:proofErr w:type="spellEnd"/>
      <w:r w:rsidRPr="00336568">
        <w:rPr>
          <w:i/>
          <w:lang w:val="fr-CA"/>
        </w:rPr>
        <w:t xml:space="preserve"> Rhine</w:t>
      </w:r>
      <w:r w:rsidRPr="00336568">
        <w:rPr>
          <w:lang w:val="fr-CA"/>
        </w:rPr>
        <w:t>, le tribunal arbitral a déclaré que l</w:t>
      </w:r>
      <w:r>
        <w:rPr>
          <w:lang w:val="fr-CA"/>
        </w:rPr>
        <w:t>’</w:t>
      </w:r>
      <w:r w:rsidRPr="00336568">
        <w:rPr>
          <w:lang w:val="fr-CA"/>
        </w:rPr>
        <w:t>« obligation d</w:t>
      </w:r>
      <w:r>
        <w:rPr>
          <w:lang w:val="fr-CA"/>
        </w:rPr>
        <w:t>’</w:t>
      </w:r>
      <w:r w:rsidRPr="00336568">
        <w:rPr>
          <w:lang w:val="fr-CA"/>
        </w:rPr>
        <w:t>empêcher, ou du moins d</w:t>
      </w:r>
      <w:r>
        <w:rPr>
          <w:lang w:val="fr-CA"/>
        </w:rPr>
        <w:t>’</w:t>
      </w:r>
      <w:r w:rsidRPr="00336568">
        <w:rPr>
          <w:lang w:val="fr-CA"/>
        </w:rPr>
        <w:t>atténuer [les effets nocifs significatifs sur l</w:t>
      </w:r>
      <w:r>
        <w:rPr>
          <w:lang w:val="fr-CA"/>
        </w:rPr>
        <w:t>’</w:t>
      </w:r>
      <w:r w:rsidRPr="00336568">
        <w:rPr>
          <w:lang w:val="fr-CA"/>
        </w:rPr>
        <w:t>environnement] était désormais devenu[e] un principe du droit international général</w:t>
      </w:r>
      <w:r w:rsidRPr="00F22830">
        <w:rPr>
          <w:rStyle w:val="FootnoteReference"/>
        </w:rPr>
        <w:footnoteReference w:id="79"/>
      </w:r>
      <w:r w:rsidRPr="00336568">
        <w:rPr>
          <w:lang w:val="fr-CA"/>
        </w:rPr>
        <w:t> »</w:t>
      </w:r>
      <w:r w:rsidRPr="00F22925">
        <w:rPr>
          <w:lang w:val="fr-CA"/>
        </w:rPr>
        <w:t>.</w:t>
      </w:r>
      <w:r w:rsidRPr="00336568">
        <w:rPr>
          <w:lang w:val="fr-CA"/>
        </w:rPr>
        <w:t xml:space="preserve"> Ces conclusions sont instructives et pertinentes pour la protection de l</w:t>
      </w:r>
      <w:r>
        <w:rPr>
          <w:lang w:val="fr-CA"/>
        </w:rPr>
        <w:t>’</w:t>
      </w:r>
      <w:r w:rsidRPr="00336568">
        <w:rPr>
          <w:lang w:val="fr-CA"/>
        </w:rPr>
        <w:t>atmosphère</w:t>
      </w:r>
      <w:r w:rsidRPr="00F22925">
        <w:rPr>
          <w:lang w:val="fr-CA"/>
        </w:rPr>
        <w:t>.</w:t>
      </w:r>
    </w:p>
    <w:p w14:paraId="69EC59D8" w14:textId="77777777" w:rsidR="00D01ECD" w:rsidRPr="00E164D9" w:rsidRDefault="00D01ECD" w:rsidP="00D01ECD">
      <w:pPr>
        <w:pStyle w:val="H23G"/>
        <w:ind w:left="1701" w:hanging="1701"/>
        <w:rPr>
          <w:lang w:val="fr-FR"/>
        </w:rPr>
      </w:pPr>
      <w:r w:rsidRPr="00E164D9">
        <w:rPr>
          <w:lang w:val="fr-FR"/>
        </w:rPr>
        <w:tab/>
      </w:r>
      <w:r>
        <w:rPr>
          <w:lang w:val="fr-FR"/>
        </w:rPr>
        <w:tab/>
      </w:r>
      <w:r w:rsidRPr="00E164D9">
        <w:rPr>
          <w:lang w:val="fr-FR"/>
        </w:rPr>
        <w:tab/>
      </w:r>
      <w:r>
        <w:rPr>
          <w:lang w:val="fr-FR"/>
        </w:rPr>
        <w:t>Directive</w:t>
      </w:r>
      <w:r w:rsidRPr="00E164D9">
        <w:rPr>
          <w:lang w:val="fr-FR"/>
        </w:rPr>
        <w:t xml:space="preserve"> 4 </w:t>
      </w:r>
      <w:r w:rsidRPr="00E164D9">
        <w:rPr>
          <w:lang w:val="fr-FR"/>
        </w:rPr>
        <w:br/>
      </w:r>
      <w:r>
        <w:rPr>
          <w:lang w:val="fr-FR"/>
        </w:rPr>
        <w:t>Évaluation de l’impact sur l’environnement</w:t>
      </w:r>
    </w:p>
    <w:p w14:paraId="2B3FA6EF" w14:textId="77777777" w:rsidR="00D01ECD" w:rsidRDefault="00D01ECD" w:rsidP="00D01ECD">
      <w:pPr>
        <w:pStyle w:val="SingleTxtG"/>
        <w:ind w:left="1701" w:firstLine="567"/>
        <w:rPr>
          <w:lang w:val="fr-FR"/>
        </w:rPr>
      </w:pPr>
      <w:r w:rsidRPr="009E2208">
        <w:rPr>
          <w:lang w:val="fr-FR"/>
        </w:rPr>
        <w:t>Les États ont l</w:t>
      </w:r>
      <w:r>
        <w:rPr>
          <w:lang w:val="fr-FR"/>
        </w:rPr>
        <w:t>’</w:t>
      </w:r>
      <w:r w:rsidRPr="009E2208">
        <w:rPr>
          <w:lang w:val="fr-FR"/>
        </w:rPr>
        <w:t>obligation de veiller à ce qu</w:t>
      </w:r>
      <w:r>
        <w:rPr>
          <w:lang w:val="fr-FR"/>
        </w:rPr>
        <w:t>’</w:t>
      </w:r>
      <w:r w:rsidRPr="009E2208">
        <w:rPr>
          <w:lang w:val="fr-FR"/>
        </w:rPr>
        <w:t>il soit procédé à une évaluation de l</w:t>
      </w:r>
      <w:r>
        <w:rPr>
          <w:lang w:val="fr-FR"/>
        </w:rPr>
        <w:t>’</w:t>
      </w:r>
      <w:r w:rsidRPr="009E2208">
        <w:rPr>
          <w:lang w:val="fr-FR"/>
        </w:rPr>
        <w:t>impact sur l</w:t>
      </w:r>
      <w:r>
        <w:rPr>
          <w:lang w:val="fr-FR"/>
        </w:rPr>
        <w:t>’</w:t>
      </w:r>
      <w:r w:rsidRPr="009E2208">
        <w:rPr>
          <w:lang w:val="fr-FR"/>
        </w:rPr>
        <w:t>environnement des activités projetées relevant de leur juridiction ou contrôle qui sont susceptibles d</w:t>
      </w:r>
      <w:r>
        <w:rPr>
          <w:lang w:val="fr-FR"/>
        </w:rPr>
        <w:t>’</w:t>
      </w:r>
      <w:r w:rsidRPr="009E2208">
        <w:rPr>
          <w:lang w:val="fr-FR"/>
        </w:rPr>
        <w:t>avoir un impact préjudiciable important sur l</w:t>
      </w:r>
      <w:r>
        <w:rPr>
          <w:lang w:val="fr-FR"/>
        </w:rPr>
        <w:t>’</w:t>
      </w:r>
      <w:r w:rsidRPr="009E2208">
        <w:rPr>
          <w:lang w:val="fr-FR"/>
        </w:rPr>
        <w:t>atmosphère en termes de pollution atmosphérique ou de dégradation atmosphérique</w:t>
      </w:r>
      <w:r w:rsidRPr="00F22925">
        <w:rPr>
          <w:lang w:val="fr-FR"/>
        </w:rPr>
        <w:t>.</w:t>
      </w:r>
      <w:r w:rsidRPr="009E2208">
        <w:rPr>
          <w:lang w:val="fr-FR"/>
        </w:rPr>
        <w:t xml:space="preserve"> </w:t>
      </w:r>
    </w:p>
    <w:p w14:paraId="43F3F524" w14:textId="77777777" w:rsidR="00D01ECD" w:rsidRPr="00336568" w:rsidRDefault="00D01ECD" w:rsidP="00D01ECD">
      <w:pPr>
        <w:pStyle w:val="H23G"/>
        <w:rPr>
          <w:lang w:val="fr-CA"/>
        </w:rPr>
      </w:pPr>
      <w:r w:rsidRPr="00336568">
        <w:rPr>
          <w:lang w:val="fr-CA"/>
        </w:rPr>
        <w:tab/>
      </w:r>
      <w:r w:rsidRPr="00336568">
        <w:rPr>
          <w:lang w:val="fr-CA"/>
        </w:rPr>
        <w:tab/>
      </w:r>
      <w:r w:rsidRPr="00336568">
        <w:rPr>
          <w:lang w:val="fr-CA"/>
        </w:rPr>
        <w:tab/>
        <w:t>Commentaire</w:t>
      </w:r>
    </w:p>
    <w:p w14:paraId="01104983" w14:textId="77777777" w:rsidR="00D01ECD" w:rsidRPr="00336568" w:rsidRDefault="00D01ECD" w:rsidP="00D01ECD">
      <w:pPr>
        <w:pStyle w:val="SingleTxtG"/>
        <w:rPr>
          <w:lang w:val="fr-CA"/>
        </w:rPr>
      </w:pPr>
      <w:r w:rsidRPr="00336568">
        <w:rPr>
          <w:lang w:val="fr-CA"/>
        </w:rPr>
        <w:t>1)</w:t>
      </w:r>
      <w:r w:rsidRPr="00336568">
        <w:rPr>
          <w:lang w:val="fr-CA"/>
        </w:rPr>
        <w:tab/>
        <w:t>Le projet de directive 4 porte sur l</w:t>
      </w:r>
      <w:r>
        <w:rPr>
          <w:lang w:val="fr-CA"/>
        </w:rPr>
        <w:t>’</w:t>
      </w:r>
      <w:r w:rsidRPr="00336568">
        <w:rPr>
          <w:lang w:val="fr-CA"/>
        </w:rPr>
        <w:t>évaluation de l</w:t>
      </w:r>
      <w:r>
        <w:rPr>
          <w:lang w:val="fr-CA"/>
        </w:rPr>
        <w:t>’</w:t>
      </w:r>
      <w:r w:rsidRPr="00336568">
        <w:rPr>
          <w:lang w:val="fr-CA"/>
        </w:rPr>
        <w:t>impact sur l</w:t>
      </w:r>
      <w:r>
        <w:rPr>
          <w:lang w:val="fr-CA"/>
        </w:rPr>
        <w:t>’</w:t>
      </w:r>
      <w:r w:rsidRPr="00336568">
        <w:rPr>
          <w:lang w:val="fr-CA"/>
        </w:rPr>
        <w:t>environnement</w:t>
      </w:r>
      <w:r w:rsidRPr="00F22925">
        <w:rPr>
          <w:lang w:val="fr-CA"/>
        </w:rPr>
        <w:t>.</w:t>
      </w:r>
      <w:r w:rsidRPr="00336568">
        <w:rPr>
          <w:lang w:val="fr-CA"/>
        </w:rPr>
        <w:t xml:space="preserve"> C</w:t>
      </w:r>
      <w:r>
        <w:rPr>
          <w:lang w:val="fr-CA"/>
        </w:rPr>
        <w:t>’</w:t>
      </w:r>
      <w:r w:rsidRPr="00336568">
        <w:rPr>
          <w:lang w:val="fr-CA"/>
        </w:rPr>
        <w:t>est le premier des trois projets de directive qui découlent du projet de directive 3</w:t>
      </w:r>
      <w:r w:rsidRPr="00F22925">
        <w:rPr>
          <w:lang w:val="fr-CA"/>
        </w:rPr>
        <w:t>.</w:t>
      </w:r>
      <w:r w:rsidRPr="00336568">
        <w:rPr>
          <w:lang w:val="fr-CA"/>
        </w:rPr>
        <w:t xml:space="preserve"> </w:t>
      </w:r>
      <w:r>
        <w:rPr>
          <w:lang w:val="fr-CA"/>
        </w:rPr>
        <w:t xml:space="preserve">La Commission a employé une tournure impersonnelle </w:t>
      </w:r>
      <w:r w:rsidRPr="00336568">
        <w:rPr>
          <w:lang w:val="fr-CA"/>
        </w:rPr>
        <w:t>afin d</w:t>
      </w:r>
      <w:r>
        <w:rPr>
          <w:lang w:val="fr-CA"/>
        </w:rPr>
        <w:t>’</w:t>
      </w:r>
      <w:r w:rsidRPr="00336568">
        <w:rPr>
          <w:lang w:val="fr-CA"/>
        </w:rPr>
        <w:t>indiquer que l</w:t>
      </w:r>
      <w:r>
        <w:rPr>
          <w:lang w:val="fr-CA"/>
        </w:rPr>
        <w:t>’</w:t>
      </w:r>
      <w:r w:rsidRPr="00336568">
        <w:rPr>
          <w:lang w:val="fr-CA"/>
        </w:rPr>
        <w:t>obligation en question est une obligation de comportement et que, étant donné la grande variété des acteurs économiques, l</w:t>
      </w:r>
      <w:r>
        <w:rPr>
          <w:lang w:val="fr-CA"/>
        </w:rPr>
        <w:t>’</w:t>
      </w:r>
      <w:r w:rsidRPr="00336568">
        <w:rPr>
          <w:lang w:val="fr-CA"/>
        </w:rPr>
        <w:t xml:space="preserve">État </w:t>
      </w:r>
      <w:r>
        <w:rPr>
          <w:lang w:val="fr-CA"/>
        </w:rPr>
        <w:t xml:space="preserve">n’est pas nécessairement tenu de réaliser l’évaluation </w:t>
      </w:r>
      <w:r w:rsidRPr="00336568">
        <w:rPr>
          <w:lang w:val="fr-CA"/>
        </w:rPr>
        <w:t>lui-même</w:t>
      </w:r>
      <w:r w:rsidRPr="00F22925">
        <w:rPr>
          <w:lang w:val="fr-CA"/>
        </w:rPr>
        <w:t>.</w:t>
      </w:r>
      <w:r w:rsidRPr="00336568">
        <w:rPr>
          <w:lang w:val="fr-CA"/>
        </w:rPr>
        <w:t xml:space="preserve"> Ce que l</w:t>
      </w:r>
      <w:r>
        <w:rPr>
          <w:lang w:val="fr-CA"/>
        </w:rPr>
        <w:t>’</w:t>
      </w:r>
      <w:r w:rsidRPr="00336568">
        <w:rPr>
          <w:lang w:val="fr-CA"/>
        </w:rPr>
        <w:t>État est tenu de faire, c</w:t>
      </w:r>
      <w:r>
        <w:rPr>
          <w:lang w:val="fr-CA"/>
        </w:rPr>
        <w:t>’</w:t>
      </w:r>
      <w:r w:rsidRPr="00336568">
        <w:rPr>
          <w:lang w:val="fr-CA"/>
        </w:rPr>
        <w:t>est adopter les mesures législatives, réglementaires et autres nécessaires pour qu</w:t>
      </w:r>
      <w:r>
        <w:rPr>
          <w:lang w:val="fr-CA"/>
        </w:rPr>
        <w:t>’</w:t>
      </w:r>
      <w:r w:rsidRPr="00336568">
        <w:rPr>
          <w:lang w:val="fr-CA"/>
        </w:rPr>
        <w:t>une évaluation de l</w:t>
      </w:r>
      <w:r>
        <w:rPr>
          <w:lang w:val="fr-CA"/>
        </w:rPr>
        <w:t>’</w:t>
      </w:r>
      <w:r w:rsidRPr="00336568">
        <w:rPr>
          <w:lang w:val="fr-CA"/>
        </w:rPr>
        <w:t>impact sur l</w:t>
      </w:r>
      <w:r>
        <w:rPr>
          <w:lang w:val="fr-CA"/>
        </w:rPr>
        <w:t>’</w:t>
      </w:r>
      <w:r w:rsidRPr="00336568">
        <w:rPr>
          <w:lang w:val="fr-CA"/>
        </w:rPr>
        <w:t>environnement soit menée en ce qui concerne les activités projetées</w:t>
      </w:r>
      <w:r w:rsidRPr="00F22925">
        <w:rPr>
          <w:lang w:val="fr-CA"/>
        </w:rPr>
        <w:t>.</w:t>
      </w:r>
      <w:r w:rsidRPr="00336568">
        <w:rPr>
          <w:lang w:val="fr-CA"/>
        </w:rPr>
        <w:t xml:space="preserve"> Les garanties procédurales telles que la notification et les consultations sont </w:t>
      </w:r>
      <w:r>
        <w:rPr>
          <w:lang w:val="fr-CA"/>
        </w:rPr>
        <w:t xml:space="preserve">en outre </w:t>
      </w:r>
      <w:r w:rsidRPr="00336568">
        <w:rPr>
          <w:lang w:val="fr-CA"/>
        </w:rPr>
        <w:t>essentielles aux fins de l</w:t>
      </w:r>
      <w:r>
        <w:rPr>
          <w:lang w:val="fr-CA"/>
        </w:rPr>
        <w:t>’</w:t>
      </w:r>
      <w:r w:rsidRPr="00336568">
        <w:rPr>
          <w:lang w:val="fr-CA"/>
        </w:rPr>
        <w:t>évaluation</w:t>
      </w:r>
      <w:r w:rsidRPr="00F22925">
        <w:rPr>
          <w:lang w:val="fr-CA"/>
        </w:rPr>
        <w:t>.</w:t>
      </w:r>
      <w:r w:rsidRPr="00336568">
        <w:rPr>
          <w:lang w:val="fr-CA"/>
        </w:rPr>
        <w:t xml:space="preserve"> On</w:t>
      </w:r>
      <w:r>
        <w:rPr>
          <w:lang w:val="fr-CA"/>
        </w:rPr>
        <w:t xml:space="preserve"> </w:t>
      </w:r>
      <w:r w:rsidRPr="00336568">
        <w:rPr>
          <w:lang w:val="fr-CA"/>
        </w:rPr>
        <w:t>retiendra que le Protocole à la Convention sur l</w:t>
      </w:r>
      <w:r>
        <w:rPr>
          <w:lang w:val="fr-CA"/>
        </w:rPr>
        <w:t>’</w:t>
      </w:r>
      <w:r w:rsidRPr="00336568">
        <w:rPr>
          <w:lang w:val="fr-CA"/>
        </w:rPr>
        <w:t>évaluation de l</w:t>
      </w:r>
      <w:r>
        <w:rPr>
          <w:lang w:val="fr-CA"/>
        </w:rPr>
        <w:t>’</w:t>
      </w:r>
      <w:r w:rsidRPr="00336568">
        <w:rPr>
          <w:lang w:val="fr-CA"/>
        </w:rPr>
        <w:t>impact sur l</w:t>
      </w:r>
      <w:r>
        <w:rPr>
          <w:lang w:val="fr-CA"/>
        </w:rPr>
        <w:t>’</w:t>
      </w:r>
      <w:r w:rsidRPr="00336568">
        <w:rPr>
          <w:lang w:val="fr-CA"/>
        </w:rPr>
        <w:t>environnement dans un contexte transfrontière, relatif à l</w:t>
      </w:r>
      <w:r>
        <w:rPr>
          <w:lang w:val="fr-CA"/>
        </w:rPr>
        <w:t>’</w:t>
      </w:r>
      <w:r w:rsidRPr="00336568">
        <w:rPr>
          <w:lang w:val="fr-CA"/>
        </w:rPr>
        <w:t xml:space="preserve">évaluation stratégique environnementale (Protocole de Kiev), </w:t>
      </w:r>
      <w:r>
        <w:rPr>
          <w:lang w:val="fr-CA"/>
        </w:rPr>
        <w:t>est favorable à</w:t>
      </w:r>
      <w:r w:rsidRPr="00336568">
        <w:rPr>
          <w:lang w:val="fr-CA"/>
        </w:rPr>
        <w:t xml:space="preserve"> « l</w:t>
      </w:r>
      <w:r>
        <w:rPr>
          <w:lang w:val="fr-CA"/>
        </w:rPr>
        <w:t>’</w:t>
      </w:r>
      <w:r w:rsidRPr="00336568">
        <w:rPr>
          <w:lang w:val="fr-CA"/>
        </w:rPr>
        <w:t>évaluation stratégique environnementale » des effets probables sur l</w:t>
      </w:r>
      <w:r>
        <w:rPr>
          <w:lang w:val="fr-CA"/>
        </w:rPr>
        <w:t>’</w:t>
      </w:r>
      <w:r w:rsidRPr="00336568">
        <w:rPr>
          <w:lang w:val="fr-CA"/>
        </w:rPr>
        <w:t>environnement, y compris sur la santé, ce qui signifie tout effet sur l</w:t>
      </w:r>
      <w:r>
        <w:rPr>
          <w:lang w:val="fr-CA"/>
        </w:rPr>
        <w:t>’</w:t>
      </w:r>
      <w:r w:rsidRPr="00336568">
        <w:rPr>
          <w:lang w:val="fr-CA"/>
        </w:rPr>
        <w:t>environnement, y compris sur la santé de l</w:t>
      </w:r>
      <w:r>
        <w:rPr>
          <w:lang w:val="fr-CA"/>
        </w:rPr>
        <w:t>’</w:t>
      </w:r>
      <w:r w:rsidRPr="00336568">
        <w:rPr>
          <w:lang w:val="fr-CA"/>
        </w:rPr>
        <w:t>homme, la flore, la faune, la biodiversité, les sols, le climat, l</w:t>
      </w:r>
      <w:r>
        <w:rPr>
          <w:lang w:val="fr-CA"/>
        </w:rPr>
        <w:t>’</w:t>
      </w:r>
      <w:r w:rsidRPr="00336568">
        <w:rPr>
          <w:lang w:val="fr-CA"/>
        </w:rPr>
        <w:t>air, l</w:t>
      </w:r>
      <w:r>
        <w:rPr>
          <w:lang w:val="fr-CA"/>
        </w:rPr>
        <w:t>’</w:t>
      </w:r>
      <w:r w:rsidRPr="00336568">
        <w:rPr>
          <w:lang w:val="fr-CA"/>
        </w:rPr>
        <w:t>eau, les paysages, les sites naturels, les biens matériels et le patrimoine culturel et l</w:t>
      </w:r>
      <w:r>
        <w:rPr>
          <w:lang w:val="fr-CA"/>
        </w:rPr>
        <w:t>’</w:t>
      </w:r>
      <w:r w:rsidRPr="00336568">
        <w:rPr>
          <w:lang w:val="fr-CA"/>
        </w:rPr>
        <w:t>interaction entre ces facteurs</w:t>
      </w:r>
      <w:r w:rsidRPr="00F22830">
        <w:rPr>
          <w:rStyle w:val="FootnoteReference"/>
        </w:rPr>
        <w:footnoteReference w:id="80"/>
      </w:r>
      <w:r w:rsidRPr="00F22925">
        <w:rPr>
          <w:lang w:val="fr-CA"/>
        </w:rPr>
        <w:t>.</w:t>
      </w:r>
    </w:p>
    <w:p w14:paraId="68E0DB7D" w14:textId="77777777" w:rsidR="00D01ECD" w:rsidRPr="00336568" w:rsidRDefault="00D01ECD" w:rsidP="00D01ECD">
      <w:pPr>
        <w:pStyle w:val="SingleTxtG"/>
        <w:rPr>
          <w:lang w:val="fr-CA"/>
        </w:rPr>
      </w:pPr>
      <w:r w:rsidRPr="00336568">
        <w:rPr>
          <w:lang w:val="fr-CA"/>
        </w:rPr>
        <w:t>2)</w:t>
      </w:r>
      <w:r w:rsidRPr="00336568">
        <w:rPr>
          <w:lang w:val="fr-CA"/>
        </w:rPr>
        <w:tab/>
        <w:t xml:space="preserve">Dans </w:t>
      </w:r>
      <w:r w:rsidRPr="00336568">
        <w:rPr>
          <w:color w:val="333333"/>
          <w:szCs w:val="21"/>
          <w:shd w:val="clear" w:color="auto" w:fill="FFFFFF"/>
          <w:lang w:val="fr-CA"/>
        </w:rPr>
        <w:t>l</w:t>
      </w:r>
      <w:r>
        <w:rPr>
          <w:color w:val="333333"/>
          <w:szCs w:val="21"/>
          <w:shd w:val="clear" w:color="auto" w:fill="FFFFFF"/>
          <w:lang w:val="fr-CA"/>
        </w:rPr>
        <w:t>’</w:t>
      </w:r>
      <w:r w:rsidRPr="00336568">
        <w:rPr>
          <w:color w:val="333333"/>
          <w:szCs w:val="21"/>
          <w:shd w:val="clear" w:color="auto" w:fill="FFFFFF"/>
          <w:lang w:val="fr-CA"/>
        </w:rPr>
        <w:t xml:space="preserve">affaire relative au </w:t>
      </w:r>
      <w:r w:rsidRPr="00336568">
        <w:rPr>
          <w:i/>
          <w:iCs/>
          <w:color w:val="333333"/>
          <w:szCs w:val="21"/>
          <w:shd w:val="clear" w:color="auto" w:fill="FFFFFF"/>
          <w:lang w:val="fr-CA"/>
        </w:rPr>
        <w:t xml:space="preserve">Projet </w:t>
      </w:r>
      <w:proofErr w:type="spellStart"/>
      <w:r w:rsidRPr="00336568">
        <w:rPr>
          <w:i/>
          <w:iCs/>
          <w:color w:val="333333"/>
          <w:szCs w:val="21"/>
          <w:shd w:val="clear" w:color="auto" w:fill="FFFFFF"/>
          <w:lang w:val="fr-CA"/>
        </w:rPr>
        <w:t>Gabčíkovo-Nagymaros</w:t>
      </w:r>
      <w:proofErr w:type="spellEnd"/>
      <w:r w:rsidRPr="00336568">
        <w:rPr>
          <w:color w:val="333333"/>
          <w:szCs w:val="21"/>
          <w:shd w:val="clear" w:color="auto" w:fill="FFFFFF"/>
          <w:lang w:val="fr-CA"/>
        </w:rPr>
        <w:t xml:space="preserve">, la Cour internationale de Justice a </w:t>
      </w:r>
      <w:r>
        <w:rPr>
          <w:color w:val="333333"/>
          <w:szCs w:val="21"/>
          <w:shd w:val="clear" w:color="auto" w:fill="FFFFFF"/>
          <w:lang w:val="fr-CA"/>
        </w:rPr>
        <w:t>mentionné</w:t>
      </w:r>
      <w:r w:rsidRPr="00336568">
        <w:rPr>
          <w:color w:val="333333"/>
          <w:szCs w:val="21"/>
          <w:shd w:val="clear" w:color="auto" w:fill="FFFFFF"/>
          <w:lang w:val="fr-CA"/>
        </w:rPr>
        <w:t xml:space="preserve"> l</w:t>
      </w:r>
      <w:r>
        <w:rPr>
          <w:color w:val="333333"/>
          <w:szCs w:val="21"/>
          <w:shd w:val="clear" w:color="auto" w:fill="FFFFFF"/>
          <w:lang w:val="fr-CA"/>
        </w:rPr>
        <w:t>’</w:t>
      </w:r>
      <w:r w:rsidRPr="00336568">
        <w:rPr>
          <w:color w:val="333333"/>
          <w:szCs w:val="21"/>
          <w:shd w:val="clear" w:color="auto" w:fill="FFFFFF"/>
          <w:lang w:val="fr-CA"/>
        </w:rPr>
        <w:t>importance des évaluations de l</w:t>
      </w:r>
      <w:r>
        <w:rPr>
          <w:color w:val="333333"/>
          <w:szCs w:val="21"/>
          <w:shd w:val="clear" w:color="auto" w:fill="FFFFFF"/>
          <w:lang w:val="fr-CA"/>
        </w:rPr>
        <w:t>’</w:t>
      </w:r>
      <w:r w:rsidRPr="00336568">
        <w:rPr>
          <w:color w:val="333333"/>
          <w:szCs w:val="21"/>
          <w:shd w:val="clear" w:color="auto" w:fill="FFFFFF"/>
          <w:lang w:val="fr-CA"/>
        </w:rPr>
        <w:t>impact sur l</w:t>
      </w:r>
      <w:r>
        <w:rPr>
          <w:color w:val="333333"/>
          <w:szCs w:val="21"/>
          <w:shd w:val="clear" w:color="auto" w:fill="FFFFFF"/>
          <w:lang w:val="fr-CA"/>
        </w:rPr>
        <w:t>’</w:t>
      </w:r>
      <w:r w:rsidRPr="00336568">
        <w:rPr>
          <w:color w:val="333333"/>
          <w:szCs w:val="21"/>
          <w:shd w:val="clear" w:color="auto" w:fill="FFFFFF"/>
          <w:lang w:val="fr-CA"/>
        </w:rPr>
        <w:t>environnement</w:t>
      </w:r>
      <w:bookmarkStart w:id="12" w:name="_Ref81575023"/>
      <w:r w:rsidRPr="00F22830">
        <w:rPr>
          <w:rStyle w:val="FootnoteReference"/>
        </w:rPr>
        <w:footnoteReference w:id="81"/>
      </w:r>
      <w:bookmarkEnd w:id="12"/>
      <w:r w:rsidRPr="00F22925">
        <w:rPr>
          <w:color w:val="333333"/>
          <w:szCs w:val="21"/>
          <w:shd w:val="clear" w:color="auto" w:fill="FFFFFF"/>
          <w:lang w:val="fr-CA"/>
        </w:rPr>
        <w:t>.</w:t>
      </w:r>
      <w:r w:rsidRPr="00336568">
        <w:rPr>
          <w:color w:val="333333"/>
          <w:szCs w:val="21"/>
          <w:shd w:val="clear" w:color="auto" w:fill="FFFFFF"/>
          <w:lang w:val="fr-CA"/>
        </w:rPr>
        <w:t xml:space="preserve"> Dans l</w:t>
      </w:r>
      <w:r>
        <w:rPr>
          <w:color w:val="333333"/>
          <w:szCs w:val="21"/>
          <w:shd w:val="clear" w:color="auto" w:fill="FFFFFF"/>
          <w:lang w:val="fr-CA"/>
        </w:rPr>
        <w:t>’</w:t>
      </w:r>
      <w:r w:rsidRPr="00336568">
        <w:rPr>
          <w:color w:val="333333"/>
          <w:szCs w:val="21"/>
          <w:shd w:val="clear" w:color="auto" w:fill="FFFFFF"/>
          <w:lang w:val="fr-CA"/>
        </w:rPr>
        <w:t xml:space="preserve">affaire </w:t>
      </w:r>
      <w:r w:rsidRPr="00336568">
        <w:rPr>
          <w:lang w:val="fr-CA"/>
        </w:rPr>
        <w:t xml:space="preserve">relative à </w:t>
      </w:r>
      <w:r w:rsidRPr="00336568">
        <w:rPr>
          <w:i/>
          <w:iCs/>
          <w:lang w:val="fr-CA"/>
        </w:rPr>
        <w:t>Certaines activités menées par le Nicaragua dans la région frontalière (Costa Rica c</w:t>
      </w:r>
      <w:r w:rsidRPr="00F22925">
        <w:rPr>
          <w:i/>
          <w:iCs/>
          <w:lang w:val="fr-CA"/>
        </w:rPr>
        <w:t>.</w:t>
      </w:r>
      <w:r w:rsidRPr="00336568">
        <w:rPr>
          <w:i/>
          <w:iCs/>
          <w:lang w:val="fr-CA"/>
        </w:rPr>
        <w:t xml:space="preserve"> Nicaragua)</w:t>
      </w:r>
      <w:r w:rsidRPr="00336568">
        <w:rPr>
          <w:color w:val="333333"/>
          <w:szCs w:val="21"/>
          <w:shd w:val="clear" w:color="auto" w:fill="FFFFFF"/>
          <w:lang w:val="fr-CA"/>
        </w:rPr>
        <w:t xml:space="preserve"> et </w:t>
      </w:r>
      <w:r w:rsidRPr="00336568">
        <w:rPr>
          <w:lang w:val="fr-CA"/>
        </w:rPr>
        <w:t>l</w:t>
      </w:r>
      <w:r>
        <w:rPr>
          <w:lang w:val="fr-CA"/>
        </w:rPr>
        <w:t>’</w:t>
      </w:r>
      <w:r w:rsidRPr="00336568">
        <w:rPr>
          <w:lang w:val="fr-CA"/>
        </w:rPr>
        <w:t xml:space="preserve">affaire de la </w:t>
      </w:r>
      <w:r w:rsidRPr="00336568">
        <w:rPr>
          <w:i/>
          <w:lang w:val="fr-CA"/>
        </w:rPr>
        <w:t>Construction d</w:t>
      </w:r>
      <w:r>
        <w:rPr>
          <w:i/>
          <w:lang w:val="fr-CA"/>
        </w:rPr>
        <w:t>’</w:t>
      </w:r>
      <w:r w:rsidRPr="00336568">
        <w:rPr>
          <w:i/>
          <w:lang w:val="fr-CA"/>
        </w:rPr>
        <w:t>une route au Costa Rica le long du fleuve San Juan</w:t>
      </w:r>
      <w:r w:rsidRPr="00336568">
        <w:rPr>
          <w:lang w:val="fr-CA"/>
        </w:rPr>
        <w:t>, la Cour a dit ce qui suit : « [A]u titre de l</w:t>
      </w:r>
      <w:r>
        <w:rPr>
          <w:lang w:val="fr-CA"/>
        </w:rPr>
        <w:t>’</w:t>
      </w:r>
      <w:r w:rsidRPr="00336568">
        <w:rPr>
          <w:lang w:val="fr-CA"/>
        </w:rPr>
        <w:t>obligation qui lui incombe de faire preuve de la diligence requise en vue de prévenir les dommages transfrontières importants, un État doit vérifier s</w:t>
      </w:r>
      <w:r>
        <w:rPr>
          <w:lang w:val="fr-CA"/>
        </w:rPr>
        <w:t>’</w:t>
      </w:r>
      <w:r w:rsidRPr="00336568">
        <w:rPr>
          <w:lang w:val="fr-CA"/>
        </w:rPr>
        <w:t>il existe un risque de dommage transfrontière important avant d</w:t>
      </w:r>
      <w:r>
        <w:rPr>
          <w:lang w:val="fr-CA"/>
        </w:rPr>
        <w:t>’</w:t>
      </w:r>
      <w:r w:rsidRPr="00336568">
        <w:rPr>
          <w:lang w:val="fr-CA"/>
        </w:rPr>
        <w:t>entreprendre une activité pouvant avoir un impact préjudiciable sur l</w:t>
      </w:r>
      <w:r>
        <w:rPr>
          <w:lang w:val="fr-CA"/>
        </w:rPr>
        <w:t>’</w:t>
      </w:r>
      <w:r w:rsidRPr="00336568">
        <w:rPr>
          <w:lang w:val="fr-CA"/>
        </w:rPr>
        <w:t>environnement d</w:t>
      </w:r>
      <w:r>
        <w:rPr>
          <w:lang w:val="fr-CA"/>
        </w:rPr>
        <w:t>’</w:t>
      </w:r>
      <w:r w:rsidRPr="00336568">
        <w:rPr>
          <w:lang w:val="fr-CA"/>
        </w:rPr>
        <w:t>un autre État</w:t>
      </w:r>
      <w:r w:rsidRPr="00F22925">
        <w:rPr>
          <w:lang w:val="fr-CA"/>
        </w:rPr>
        <w:t>.</w:t>
      </w:r>
      <w:r w:rsidRPr="00336568">
        <w:rPr>
          <w:lang w:val="fr-CA"/>
        </w:rPr>
        <w:t xml:space="preserve"> Si tel est le cas, il lui faut effectuer une évaluation de l</w:t>
      </w:r>
      <w:r>
        <w:rPr>
          <w:lang w:val="fr-CA"/>
        </w:rPr>
        <w:t>’</w:t>
      </w:r>
      <w:r w:rsidRPr="00336568">
        <w:rPr>
          <w:lang w:val="fr-CA"/>
        </w:rPr>
        <w:t>impact sur l</w:t>
      </w:r>
      <w:r>
        <w:rPr>
          <w:lang w:val="fr-CA"/>
        </w:rPr>
        <w:t>’</w:t>
      </w:r>
      <w:r w:rsidRPr="00336568">
        <w:rPr>
          <w:lang w:val="fr-CA"/>
        </w:rPr>
        <w:t>environnement</w:t>
      </w:r>
      <w:bookmarkStart w:id="13" w:name="_Ref520446362"/>
      <w:r w:rsidRPr="00F22830">
        <w:rPr>
          <w:rStyle w:val="FootnoteReference"/>
        </w:rPr>
        <w:footnoteReference w:id="82"/>
      </w:r>
      <w:bookmarkEnd w:id="13"/>
      <w:r w:rsidRPr="00336568">
        <w:rPr>
          <w:lang w:val="fr-CA"/>
        </w:rPr>
        <w:t> »</w:t>
      </w:r>
      <w:r w:rsidRPr="00F22925">
        <w:rPr>
          <w:lang w:val="fr-CA"/>
        </w:rPr>
        <w:t>.</w:t>
      </w:r>
      <w:r w:rsidRPr="00336568">
        <w:rPr>
          <w:lang w:val="fr-CA"/>
        </w:rPr>
        <w:t xml:space="preserve"> Elle a conclu que l</w:t>
      </w:r>
      <w:r>
        <w:rPr>
          <w:lang w:val="fr-CA"/>
        </w:rPr>
        <w:t>’</w:t>
      </w:r>
      <w:r w:rsidRPr="00336568">
        <w:rPr>
          <w:lang w:val="fr-CA"/>
        </w:rPr>
        <w:t>État en question « ne s</w:t>
      </w:r>
      <w:r>
        <w:rPr>
          <w:lang w:val="fr-CA"/>
        </w:rPr>
        <w:t>’</w:t>
      </w:r>
      <w:r w:rsidRPr="00336568">
        <w:rPr>
          <w:lang w:val="fr-CA"/>
        </w:rPr>
        <w:t>[était] pas acquitté de l</w:t>
      </w:r>
      <w:r>
        <w:rPr>
          <w:lang w:val="fr-CA"/>
        </w:rPr>
        <w:t>’</w:t>
      </w:r>
      <w:r w:rsidRPr="00336568">
        <w:rPr>
          <w:lang w:val="fr-CA"/>
        </w:rPr>
        <w:t>obligation qu</w:t>
      </w:r>
      <w:r>
        <w:rPr>
          <w:lang w:val="fr-CA"/>
        </w:rPr>
        <w:t>’</w:t>
      </w:r>
      <w:r w:rsidRPr="00336568">
        <w:rPr>
          <w:lang w:val="fr-CA"/>
        </w:rPr>
        <w:t>il avait, en droit international général, d</w:t>
      </w:r>
      <w:r>
        <w:rPr>
          <w:lang w:val="fr-CA"/>
        </w:rPr>
        <w:t>’</w:t>
      </w:r>
      <w:r w:rsidRPr="00336568">
        <w:rPr>
          <w:lang w:val="fr-CA"/>
        </w:rPr>
        <w:t>effectuer une évaluation de l</w:t>
      </w:r>
      <w:r>
        <w:rPr>
          <w:lang w:val="fr-CA"/>
        </w:rPr>
        <w:t>’</w:t>
      </w:r>
      <w:r w:rsidRPr="00336568">
        <w:rPr>
          <w:lang w:val="fr-CA"/>
        </w:rPr>
        <w:t>impact sur l</w:t>
      </w:r>
      <w:r>
        <w:rPr>
          <w:lang w:val="fr-CA"/>
        </w:rPr>
        <w:t>’</w:t>
      </w:r>
      <w:r w:rsidRPr="00336568">
        <w:rPr>
          <w:lang w:val="fr-CA"/>
        </w:rPr>
        <w:t>environnement avant d</w:t>
      </w:r>
      <w:r>
        <w:rPr>
          <w:lang w:val="fr-CA"/>
        </w:rPr>
        <w:t>’</w:t>
      </w:r>
      <w:r w:rsidRPr="00336568">
        <w:rPr>
          <w:lang w:val="fr-CA"/>
        </w:rPr>
        <w:t>entreprendre la construction de la route</w:t>
      </w:r>
      <w:r w:rsidRPr="00F22830">
        <w:rPr>
          <w:rStyle w:val="FootnoteReference"/>
        </w:rPr>
        <w:footnoteReference w:id="83"/>
      </w:r>
      <w:r w:rsidRPr="00336568">
        <w:rPr>
          <w:lang w:val="fr-CA"/>
        </w:rPr>
        <w:t> »</w:t>
      </w:r>
      <w:r w:rsidRPr="00F22925">
        <w:rPr>
          <w:lang w:val="fr-CA"/>
        </w:rPr>
        <w:t>.</w:t>
      </w:r>
      <w:r w:rsidRPr="00336568">
        <w:rPr>
          <w:lang w:val="fr-CA"/>
        </w:rPr>
        <w:t xml:space="preserve"> Dans son opinion individuelle, le juge </w:t>
      </w:r>
      <w:proofErr w:type="spellStart"/>
      <w:r w:rsidRPr="00336568">
        <w:rPr>
          <w:lang w:val="fr-CA"/>
        </w:rPr>
        <w:t>Hisashi</w:t>
      </w:r>
      <w:proofErr w:type="spellEnd"/>
      <w:r w:rsidRPr="00336568">
        <w:rPr>
          <w:lang w:val="fr-CA"/>
        </w:rPr>
        <w:t xml:space="preserve"> </w:t>
      </w:r>
      <w:proofErr w:type="spellStart"/>
      <w:r w:rsidRPr="00336568">
        <w:rPr>
          <w:lang w:val="fr-CA"/>
        </w:rPr>
        <w:t>Owada</w:t>
      </w:r>
      <w:proofErr w:type="spellEnd"/>
      <w:r w:rsidRPr="00336568">
        <w:rPr>
          <w:lang w:val="fr-CA"/>
        </w:rPr>
        <w:t xml:space="preserve"> a fait observer que « l</w:t>
      </w:r>
      <w:r>
        <w:rPr>
          <w:lang w:val="fr-CA"/>
        </w:rPr>
        <w:t>’</w:t>
      </w:r>
      <w:r w:rsidRPr="00336568">
        <w:rPr>
          <w:lang w:val="fr-CA"/>
        </w:rPr>
        <w:t>existence d</w:t>
      </w:r>
      <w:r>
        <w:rPr>
          <w:lang w:val="fr-CA"/>
        </w:rPr>
        <w:t>’</w:t>
      </w:r>
      <w:r w:rsidRPr="00336568">
        <w:rPr>
          <w:lang w:val="fr-CA"/>
        </w:rPr>
        <w:t>une évaluation de l</w:t>
      </w:r>
      <w:r>
        <w:rPr>
          <w:lang w:val="fr-CA"/>
        </w:rPr>
        <w:t>’</w:t>
      </w:r>
      <w:r w:rsidRPr="00336568">
        <w:rPr>
          <w:lang w:val="fr-CA"/>
        </w:rPr>
        <w:t>impact sur l</w:t>
      </w:r>
      <w:r>
        <w:rPr>
          <w:lang w:val="fr-CA"/>
        </w:rPr>
        <w:t>’</w:t>
      </w:r>
      <w:r w:rsidRPr="00336568">
        <w:rPr>
          <w:lang w:val="fr-CA"/>
        </w:rPr>
        <w:t>environnement est une donnée importante, voire décisive, pour apprécier si l</w:t>
      </w:r>
      <w:r>
        <w:rPr>
          <w:lang w:val="fr-CA"/>
        </w:rPr>
        <w:t>’</w:t>
      </w:r>
      <w:r w:rsidRPr="00336568">
        <w:rPr>
          <w:lang w:val="fr-CA"/>
        </w:rPr>
        <w:t xml:space="preserve">État en question fait preuve de la diligence </w:t>
      </w:r>
      <w:r w:rsidRPr="00336568">
        <w:rPr>
          <w:lang w:val="fr-CA"/>
        </w:rPr>
        <w:lastRenderedPageBreak/>
        <w:t xml:space="preserve">requise par le droit </w:t>
      </w:r>
      <w:r w:rsidRPr="00336568">
        <w:rPr>
          <w:spacing w:val="-2"/>
          <w:lang w:val="fr-CA"/>
        </w:rPr>
        <w:t>international général de l</w:t>
      </w:r>
      <w:r>
        <w:rPr>
          <w:spacing w:val="-2"/>
          <w:lang w:val="fr-CA"/>
        </w:rPr>
        <w:t>’</w:t>
      </w:r>
      <w:r w:rsidRPr="00336568">
        <w:rPr>
          <w:spacing w:val="-2"/>
          <w:lang w:val="fr-CA"/>
        </w:rPr>
        <w:t>environnement</w:t>
      </w:r>
      <w:r w:rsidRPr="00F22830">
        <w:rPr>
          <w:rStyle w:val="FootnoteReference"/>
        </w:rPr>
        <w:footnoteReference w:id="84"/>
      </w:r>
      <w:r w:rsidRPr="00336568">
        <w:rPr>
          <w:spacing w:val="-2"/>
          <w:lang w:val="fr-CA"/>
        </w:rPr>
        <w:t> »</w:t>
      </w:r>
      <w:r w:rsidRPr="00F22925">
        <w:rPr>
          <w:spacing w:val="-2"/>
          <w:lang w:val="fr-CA"/>
        </w:rPr>
        <w:t>.</w:t>
      </w:r>
      <w:bookmarkStart w:id="14" w:name="_Ref455051950"/>
      <w:bookmarkEnd w:id="14"/>
      <w:r w:rsidRPr="00336568">
        <w:rPr>
          <w:spacing w:val="-2"/>
          <w:lang w:val="fr-CA"/>
        </w:rPr>
        <w:t xml:space="preserve"> Précédemment, dans l</w:t>
      </w:r>
      <w:r>
        <w:rPr>
          <w:spacing w:val="-2"/>
          <w:lang w:val="fr-CA"/>
        </w:rPr>
        <w:t>’</w:t>
      </w:r>
      <w:r w:rsidRPr="00336568">
        <w:rPr>
          <w:spacing w:val="-2"/>
          <w:lang w:val="fr-CA"/>
        </w:rPr>
        <w:t xml:space="preserve">affaire </w:t>
      </w:r>
      <w:r w:rsidRPr="00336568">
        <w:rPr>
          <w:bCs/>
          <w:spacing w:val="-2"/>
          <w:lang w:val="fr-CA"/>
        </w:rPr>
        <w:t xml:space="preserve">relative à des </w:t>
      </w:r>
      <w:r w:rsidRPr="00336568">
        <w:rPr>
          <w:bCs/>
          <w:i/>
          <w:spacing w:val="-2"/>
          <w:lang w:val="fr-CA"/>
        </w:rPr>
        <w:t>Usines de pâte à papier</w:t>
      </w:r>
      <w:r w:rsidRPr="00336568">
        <w:rPr>
          <w:spacing w:val="-2"/>
          <w:lang w:val="fr-CA"/>
        </w:rPr>
        <w:t>, la Cour avait dit que « l</w:t>
      </w:r>
      <w:r>
        <w:rPr>
          <w:spacing w:val="-2"/>
          <w:lang w:val="fr-CA"/>
        </w:rPr>
        <w:t>’</w:t>
      </w:r>
      <w:r w:rsidRPr="00336568">
        <w:rPr>
          <w:spacing w:val="-2"/>
          <w:lang w:val="fr-CA"/>
        </w:rPr>
        <w:t>obligation de protéger et de préserver, énoncée à l</w:t>
      </w:r>
      <w:r>
        <w:rPr>
          <w:spacing w:val="-2"/>
          <w:lang w:val="fr-CA"/>
        </w:rPr>
        <w:t>’</w:t>
      </w:r>
      <w:r w:rsidRPr="00336568">
        <w:rPr>
          <w:spacing w:val="-2"/>
          <w:lang w:val="fr-CA"/>
        </w:rPr>
        <w:t>alinéa a) de l</w:t>
      </w:r>
      <w:r>
        <w:rPr>
          <w:spacing w:val="-2"/>
          <w:lang w:val="fr-CA"/>
        </w:rPr>
        <w:t>’</w:t>
      </w:r>
      <w:r w:rsidRPr="00336568">
        <w:rPr>
          <w:spacing w:val="-2"/>
          <w:lang w:val="fr-CA"/>
        </w:rPr>
        <w:t>article 41 du Statut [du fleuve Uruguay], doit être interprétée conformément à une pratique acceptée si largement par les États ces dernières années que l</w:t>
      </w:r>
      <w:r>
        <w:rPr>
          <w:spacing w:val="-2"/>
          <w:lang w:val="fr-CA"/>
        </w:rPr>
        <w:t>’</w:t>
      </w:r>
      <w:r w:rsidRPr="00336568">
        <w:rPr>
          <w:spacing w:val="-2"/>
          <w:lang w:val="fr-CA"/>
        </w:rPr>
        <w:t>on peut désormais considérer qu</w:t>
      </w:r>
      <w:r>
        <w:rPr>
          <w:spacing w:val="-2"/>
          <w:lang w:val="fr-CA"/>
        </w:rPr>
        <w:t>’</w:t>
      </w:r>
      <w:r w:rsidRPr="00336568">
        <w:rPr>
          <w:spacing w:val="-2"/>
          <w:lang w:val="fr-CA"/>
        </w:rPr>
        <w:t xml:space="preserve">il existe, </w:t>
      </w:r>
      <w:r w:rsidRPr="00336568">
        <w:rPr>
          <w:i/>
          <w:spacing w:val="-2"/>
          <w:lang w:val="fr-CA"/>
        </w:rPr>
        <w:t>en droit international général, une obligation de procéder à une évaluation de l</w:t>
      </w:r>
      <w:r>
        <w:rPr>
          <w:i/>
          <w:spacing w:val="-2"/>
          <w:lang w:val="fr-CA"/>
        </w:rPr>
        <w:t>’</w:t>
      </w:r>
      <w:r w:rsidRPr="00336568">
        <w:rPr>
          <w:i/>
          <w:spacing w:val="-2"/>
          <w:lang w:val="fr-CA"/>
        </w:rPr>
        <w:t>impact sur l</w:t>
      </w:r>
      <w:r>
        <w:rPr>
          <w:i/>
          <w:spacing w:val="-2"/>
          <w:lang w:val="fr-CA"/>
        </w:rPr>
        <w:t>’</w:t>
      </w:r>
      <w:r w:rsidRPr="00336568">
        <w:rPr>
          <w:i/>
          <w:spacing w:val="-2"/>
          <w:lang w:val="fr-CA"/>
        </w:rPr>
        <w:t>environnement</w:t>
      </w:r>
      <w:r w:rsidRPr="00F22830">
        <w:rPr>
          <w:rStyle w:val="FootnoteReference"/>
        </w:rPr>
        <w:footnoteReference w:id="85"/>
      </w:r>
      <w:r w:rsidRPr="00336568">
        <w:rPr>
          <w:spacing w:val="-2"/>
          <w:lang w:val="fr-CA"/>
        </w:rPr>
        <w:t> »</w:t>
      </w:r>
      <w:r w:rsidRPr="00F22925">
        <w:rPr>
          <w:spacing w:val="-2"/>
          <w:lang w:val="fr-CA"/>
        </w:rPr>
        <w:t>.</w:t>
      </w:r>
      <w:r w:rsidRPr="00336568">
        <w:rPr>
          <w:spacing w:val="-2"/>
          <w:lang w:val="fr-CA"/>
        </w:rPr>
        <w:t xml:space="preserve"> </w:t>
      </w:r>
      <w:r w:rsidRPr="00336568">
        <w:rPr>
          <w:lang w:val="fr-CA"/>
        </w:rPr>
        <w:t xml:space="preserve">En outre, dans son avis consultatif sur les </w:t>
      </w:r>
      <w:r w:rsidRPr="00336568">
        <w:rPr>
          <w:i/>
          <w:lang w:val="fr-CA"/>
        </w:rPr>
        <w:t>Responsabilités et obligations des États qui patronnent des personnes et des entités dans le cadre d</w:t>
      </w:r>
      <w:r>
        <w:rPr>
          <w:i/>
          <w:lang w:val="fr-CA"/>
        </w:rPr>
        <w:t>’</w:t>
      </w:r>
      <w:r w:rsidRPr="00336568">
        <w:rPr>
          <w:i/>
          <w:lang w:val="fr-CA"/>
        </w:rPr>
        <w:t>activités menées dans la Zone</w:t>
      </w:r>
      <w:r w:rsidRPr="00336568">
        <w:rPr>
          <w:lang w:val="fr-CA"/>
        </w:rPr>
        <w:t>, la Chambre pour le règlement des différends relatifs aux fonds marins du Tribunal international du droit de la mer a dit que, outre qu</w:t>
      </w:r>
      <w:r>
        <w:rPr>
          <w:lang w:val="fr-CA"/>
        </w:rPr>
        <w:t>’</w:t>
      </w:r>
      <w:r w:rsidRPr="00336568">
        <w:rPr>
          <w:lang w:val="fr-CA"/>
        </w:rPr>
        <w:t>elle découlait de la Convention des Nations Unies sur le droit de la mer, l</w:t>
      </w:r>
      <w:r>
        <w:rPr>
          <w:lang w:val="fr-CA"/>
        </w:rPr>
        <w:t>’</w:t>
      </w:r>
      <w:r w:rsidRPr="00336568">
        <w:rPr>
          <w:lang w:val="fr-CA"/>
        </w:rPr>
        <w:t>obligation de procéder à une étude d</w:t>
      </w:r>
      <w:r>
        <w:rPr>
          <w:lang w:val="fr-CA"/>
        </w:rPr>
        <w:t>’</w:t>
      </w:r>
      <w:r w:rsidRPr="00336568">
        <w:rPr>
          <w:lang w:val="fr-CA"/>
        </w:rPr>
        <w:t>impact sur l</w:t>
      </w:r>
      <w:r>
        <w:rPr>
          <w:lang w:val="fr-CA"/>
        </w:rPr>
        <w:t>’</w:t>
      </w:r>
      <w:r w:rsidRPr="00336568">
        <w:rPr>
          <w:lang w:val="fr-CA"/>
        </w:rPr>
        <w:t>environnement était une « obligation générale en vertu du droit international coutumier</w:t>
      </w:r>
      <w:bookmarkStart w:id="15" w:name="_Ref520292491"/>
      <w:r w:rsidRPr="00336568">
        <w:rPr>
          <w:lang w:val="fr-CA"/>
        </w:rPr>
        <w:t> »</w:t>
      </w:r>
      <w:r w:rsidRPr="00F22830">
        <w:rPr>
          <w:rStyle w:val="FootnoteReference"/>
        </w:rPr>
        <w:footnoteReference w:id="86"/>
      </w:r>
      <w:bookmarkEnd w:id="15"/>
      <w:r w:rsidRPr="00F22925">
        <w:rPr>
          <w:lang w:val="fr-CA"/>
        </w:rPr>
        <w:t>.</w:t>
      </w:r>
      <w:r w:rsidRPr="00336568">
        <w:rPr>
          <w:lang w:val="fr-CA"/>
        </w:rPr>
        <w:t xml:space="preserve"> </w:t>
      </w:r>
    </w:p>
    <w:p w14:paraId="15512D65" w14:textId="77777777" w:rsidR="00D01ECD" w:rsidRPr="00336568" w:rsidRDefault="00D01ECD" w:rsidP="00D01ECD">
      <w:pPr>
        <w:pStyle w:val="SingleTxtG"/>
        <w:rPr>
          <w:lang w:val="fr-CA"/>
        </w:rPr>
      </w:pPr>
      <w:r w:rsidRPr="00336568">
        <w:rPr>
          <w:lang w:val="fr-CA"/>
        </w:rPr>
        <w:t>3)</w:t>
      </w:r>
      <w:r w:rsidRPr="00336568">
        <w:rPr>
          <w:lang w:val="fr-CA"/>
        </w:rPr>
        <w:tab/>
        <w:t>Le membre de phrase « des activités projetées relevant de leur juridiction ou contrôle » vise à indiquer que l</w:t>
      </w:r>
      <w:r>
        <w:rPr>
          <w:lang w:val="fr-CA"/>
        </w:rPr>
        <w:t>’</w:t>
      </w:r>
      <w:r w:rsidRPr="00336568">
        <w:rPr>
          <w:lang w:val="fr-CA"/>
        </w:rPr>
        <w:t>obligation qui incombe aux États de veiller à ce que soit menée une évaluation de l</w:t>
      </w:r>
      <w:r>
        <w:rPr>
          <w:lang w:val="fr-CA"/>
        </w:rPr>
        <w:t>’</w:t>
      </w:r>
      <w:r w:rsidRPr="00336568">
        <w:rPr>
          <w:lang w:val="fr-CA"/>
        </w:rPr>
        <w:t>impact sur l</w:t>
      </w:r>
      <w:r>
        <w:rPr>
          <w:lang w:val="fr-CA"/>
        </w:rPr>
        <w:t>’</w:t>
      </w:r>
      <w:r w:rsidRPr="00336568">
        <w:rPr>
          <w:lang w:val="fr-CA"/>
        </w:rPr>
        <w:t>environnement concerne les activités relevant de leur juridiction ou de leur contrôle</w:t>
      </w:r>
      <w:r w:rsidRPr="00F22925">
        <w:rPr>
          <w:lang w:val="fr-CA"/>
        </w:rPr>
        <w:t>.</w:t>
      </w:r>
      <w:r w:rsidRPr="00336568">
        <w:rPr>
          <w:lang w:val="fr-CA"/>
        </w:rPr>
        <w:t xml:space="preserve"> Étant donné que les menaces environnementales ne connaissent aucune frontière, il se peut que, dans l</w:t>
      </w:r>
      <w:r>
        <w:rPr>
          <w:lang w:val="fr-CA"/>
        </w:rPr>
        <w:t>’</w:t>
      </w:r>
      <w:r w:rsidRPr="00336568">
        <w:rPr>
          <w:lang w:val="fr-CA"/>
        </w:rPr>
        <w:t>exercice de leur responsabilité au regard de l</w:t>
      </w:r>
      <w:r>
        <w:rPr>
          <w:lang w:val="fr-CA"/>
        </w:rPr>
        <w:t>’</w:t>
      </w:r>
      <w:r w:rsidRPr="00336568">
        <w:rPr>
          <w:lang w:val="fr-CA"/>
        </w:rPr>
        <w:t xml:space="preserve">environnement mondial, les États prennent des décisions conjointes en ce qui concerne les </w:t>
      </w:r>
      <w:r>
        <w:rPr>
          <w:lang w:val="fr-CA"/>
        </w:rPr>
        <w:t xml:space="preserve">évaluations </w:t>
      </w:r>
      <w:r w:rsidRPr="00336568">
        <w:rPr>
          <w:lang w:val="fr-CA"/>
        </w:rPr>
        <w:t>de l</w:t>
      </w:r>
      <w:r>
        <w:rPr>
          <w:lang w:val="fr-CA"/>
        </w:rPr>
        <w:t>’</w:t>
      </w:r>
      <w:r w:rsidRPr="00336568">
        <w:rPr>
          <w:lang w:val="fr-CA"/>
        </w:rPr>
        <w:t>impact sur l</w:t>
      </w:r>
      <w:r>
        <w:rPr>
          <w:lang w:val="fr-CA"/>
        </w:rPr>
        <w:t>’</w:t>
      </w:r>
      <w:r w:rsidRPr="00336568">
        <w:rPr>
          <w:lang w:val="fr-CA"/>
        </w:rPr>
        <w:t>environnement</w:t>
      </w:r>
      <w:r w:rsidRPr="00F22925">
        <w:rPr>
          <w:lang w:val="fr-CA"/>
        </w:rPr>
        <w:t>.</w:t>
      </w:r>
    </w:p>
    <w:p w14:paraId="6647389B" w14:textId="77777777" w:rsidR="00D01ECD" w:rsidRPr="00336568" w:rsidRDefault="00D01ECD" w:rsidP="00D01ECD">
      <w:pPr>
        <w:pStyle w:val="SingleTxtG"/>
        <w:rPr>
          <w:spacing w:val="-2"/>
          <w:lang w:val="fr-CA"/>
        </w:rPr>
      </w:pPr>
      <w:r w:rsidRPr="00336568">
        <w:rPr>
          <w:spacing w:val="-2"/>
          <w:lang w:val="fr-CA"/>
        </w:rPr>
        <w:t>4)</w:t>
      </w:r>
      <w:r w:rsidRPr="00336568">
        <w:rPr>
          <w:spacing w:val="-2"/>
          <w:lang w:val="fr-CA"/>
        </w:rPr>
        <w:tab/>
        <w:t>Le membre de phrase « qui sont susceptibles d</w:t>
      </w:r>
      <w:r>
        <w:rPr>
          <w:spacing w:val="-2"/>
          <w:lang w:val="fr-CA"/>
        </w:rPr>
        <w:t>’</w:t>
      </w:r>
      <w:r w:rsidRPr="00336568">
        <w:rPr>
          <w:spacing w:val="-2"/>
          <w:lang w:val="fr-CA"/>
        </w:rPr>
        <w:t>avoir un impact préjudiciable important » fixe le seuil jugé nécessaire pour déclencher une évaluation de l</w:t>
      </w:r>
      <w:r>
        <w:rPr>
          <w:spacing w:val="-2"/>
          <w:lang w:val="fr-CA"/>
        </w:rPr>
        <w:t>’</w:t>
      </w:r>
      <w:r w:rsidRPr="00336568">
        <w:rPr>
          <w:spacing w:val="-2"/>
          <w:lang w:val="fr-CA"/>
        </w:rPr>
        <w:t>impact sur l</w:t>
      </w:r>
      <w:r>
        <w:rPr>
          <w:spacing w:val="-2"/>
          <w:lang w:val="fr-CA"/>
        </w:rPr>
        <w:t>’</w:t>
      </w:r>
      <w:r w:rsidRPr="00336568">
        <w:rPr>
          <w:spacing w:val="-2"/>
          <w:lang w:val="fr-CA"/>
        </w:rPr>
        <w:t>environnement</w:t>
      </w:r>
      <w:r w:rsidRPr="00F22925">
        <w:rPr>
          <w:spacing w:val="-2"/>
          <w:lang w:val="fr-CA"/>
        </w:rPr>
        <w:t>.</w:t>
      </w:r>
      <w:r w:rsidRPr="00336568">
        <w:rPr>
          <w:spacing w:val="-2"/>
          <w:lang w:val="fr-CA"/>
        </w:rPr>
        <w:t xml:space="preserve"> Il est tiré du libellé du principe 17 de la Déclaration de Rio</w:t>
      </w:r>
      <w:r w:rsidRPr="00F22925">
        <w:rPr>
          <w:spacing w:val="-2"/>
          <w:lang w:val="fr-CA"/>
        </w:rPr>
        <w:t>.</w:t>
      </w:r>
      <w:r w:rsidRPr="00336568">
        <w:rPr>
          <w:spacing w:val="-2"/>
          <w:lang w:val="fr-CA"/>
        </w:rPr>
        <w:t xml:space="preserve"> D</w:t>
      </w:r>
      <w:r>
        <w:rPr>
          <w:spacing w:val="-2"/>
          <w:lang w:val="fr-CA"/>
        </w:rPr>
        <w:t>’</w:t>
      </w:r>
      <w:r w:rsidRPr="00336568">
        <w:rPr>
          <w:spacing w:val="-2"/>
          <w:lang w:val="fr-CA"/>
        </w:rPr>
        <w:t>autres instruments, tels que la Convention d</w:t>
      </w:r>
      <w:r>
        <w:rPr>
          <w:spacing w:val="-2"/>
          <w:lang w:val="fr-CA"/>
        </w:rPr>
        <w:t>’</w:t>
      </w:r>
      <w:r w:rsidRPr="00336568">
        <w:rPr>
          <w:spacing w:val="-2"/>
          <w:lang w:val="fr-CA"/>
        </w:rPr>
        <w:t>Espoo sur l</w:t>
      </w:r>
      <w:r>
        <w:rPr>
          <w:spacing w:val="-2"/>
          <w:lang w:val="fr-CA"/>
        </w:rPr>
        <w:t>’</w:t>
      </w:r>
      <w:r w:rsidRPr="00336568">
        <w:rPr>
          <w:spacing w:val="-2"/>
          <w:lang w:val="fr-CA"/>
        </w:rPr>
        <w:t>évaluation de l</w:t>
      </w:r>
      <w:r>
        <w:rPr>
          <w:spacing w:val="-2"/>
          <w:lang w:val="fr-CA"/>
        </w:rPr>
        <w:t>’</w:t>
      </w:r>
      <w:r w:rsidRPr="00336568">
        <w:rPr>
          <w:spacing w:val="-2"/>
          <w:lang w:val="fr-CA"/>
        </w:rPr>
        <w:t>impact sur l</w:t>
      </w:r>
      <w:r>
        <w:rPr>
          <w:spacing w:val="-2"/>
          <w:lang w:val="fr-CA"/>
        </w:rPr>
        <w:t>’</w:t>
      </w:r>
      <w:r w:rsidRPr="00336568">
        <w:rPr>
          <w:spacing w:val="-2"/>
          <w:lang w:val="fr-CA"/>
        </w:rPr>
        <w:t>environnement dans un contexte transfrontière</w:t>
      </w:r>
      <w:r>
        <w:rPr>
          <w:spacing w:val="-2"/>
          <w:lang w:val="fr-CA"/>
        </w:rPr>
        <w:t>, de 1991</w:t>
      </w:r>
      <w:r w:rsidRPr="00F22830">
        <w:rPr>
          <w:rStyle w:val="FootnoteReference"/>
        </w:rPr>
        <w:footnoteReference w:id="87"/>
      </w:r>
      <w:r w:rsidRPr="00336568">
        <w:rPr>
          <w:spacing w:val="-2"/>
          <w:lang w:val="fr-CA"/>
        </w:rPr>
        <w:t>, établissent un seuil similaire</w:t>
      </w:r>
      <w:r w:rsidRPr="00F22925">
        <w:rPr>
          <w:spacing w:val="-2"/>
          <w:lang w:val="fr-CA"/>
        </w:rPr>
        <w:t>.</w:t>
      </w:r>
      <w:r w:rsidRPr="00336568">
        <w:rPr>
          <w:spacing w:val="-2"/>
          <w:lang w:val="fr-CA"/>
        </w:rPr>
        <w:t xml:space="preserve"> Dans l</w:t>
      </w:r>
      <w:r>
        <w:rPr>
          <w:spacing w:val="-2"/>
          <w:lang w:val="fr-CA"/>
        </w:rPr>
        <w:t>’</w:t>
      </w:r>
      <w:r w:rsidRPr="00336568">
        <w:rPr>
          <w:spacing w:val="-2"/>
          <w:lang w:val="fr-CA"/>
        </w:rPr>
        <w:t>arrêt qu</w:t>
      </w:r>
      <w:r>
        <w:rPr>
          <w:spacing w:val="-2"/>
          <w:lang w:val="fr-CA"/>
        </w:rPr>
        <w:t>’</w:t>
      </w:r>
      <w:r w:rsidRPr="00336568">
        <w:rPr>
          <w:spacing w:val="-2"/>
          <w:lang w:val="fr-CA"/>
        </w:rPr>
        <w:t>elle a rendu en 2010 dans l</w:t>
      </w:r>
      <w:r>
        <w:rPr>
          <w:spacing w:val="-2"/>
          <w:lang w:val="fr-CA"/>
        </w:rPr>
        <w:t>’</w:t>
      </w:r>
      <w:r w:rsidRPr="00336568">
        <w:rPr>
          <w:spacing w:val="-2"/>
          <w:lang w:val="fr-CA"/>
        </w:rPr>
        <w:t xml:space="preserve">affaire relative à des </w:t>
      </w:r>
      <w:r w:rsidRPr="00336568">
        <w:rPr>
          <w:i/>
          <w:spacing w:val="-2"/>
          <w:lang w:val="fr-CA"/>
        </w:rPr>
        <w:t>Usines de pâte à papier</w:t>
      </w:r>
      <w:r w:rsidRPr="00336568">
        <w:rPr>
          <w:spacing w:val="-2"/>
          <w:lang w:val="fr-CA"/>
        </w:rPr>
        <w:t>, la Cour internationale de Justice a jugé qu</w:t>
      </w:r>
      <w:r>
        <w:rPr>
          <w:spacing w:val="-2"/>
          <w:lang w:val="fr-CA"/>
        </w:rPr>
        <w:t>’</w:t>
      </w:r>
      <w:r w:rsidRPr="00336568">
        <w:rPr>
          <w:spacing w:val="-2"/>
          <w:lang w:val="fr-CA"/>
        </w:rPr>
        <w:t>une évaluation de l</w:t>
      </w:r>
      <w:r>
        <w:rPr>
          <w:spacing w:val="-2"/>
          <w:lang w:val="fr-CA"/>
        </w:rPr>
        <w:t>’</w:t>
      </w:r>
      <w:r w:rsidRPr="00336568">
        <w:rPr>
          <w:spacing w:val="-2"/>
          <w:lang w:val="fr-CA"/>
        </w:rPr>
        <w:t>impact sur l</w:t>
      </w:r>
      <w:r>
        <w:rPr>
          <w:spacing w:val="-2"/>
          <w:lang w:val="fr-CA"/>
        </w:rPr>
        <w:t>’</w:t>
      </w:r>
      <w:r w:rsidRPr="00336568">
        <w:rPr>
          <w:spacing w:val="-2"/>
          <w:lang w:val="fr-CA"/>
        </w:rPr>
        <w:t>environnement devait être entreprise lorsque l</w:t>
      </w:r>
      <w:r>
        <w:rPr>
          <w:spacing w:val="-2"/>
          <w:lang w:val="fr-CA"/>
        </w:rPr>
        <w:t>’</w:t>
      </w:r>
      <w:r w:rsidRPr="00336568">
        <w:rPr>
          <w:spacing w:val="-2"/>
          <w:lang w:val="fr-CA"/>
        </w:rPr>
        <w:t>activité industrielle projetée risquait d</w:t>
      </w:r>
      <w:r>
        <w:rPr>
          <w:spacing w:val="-2"/>
          <w:lang w:val="fr-CA"/>
        </w:rPr>
        <w:t>’</w:t>
      </w:r>
      <w:r w:rsidRPr="00336568">
        <w:rPr>
          <w:spacing w:val="-2"/>
          <w:lang w:val="fr-CA"/>
        </w:rPr>
        <w:t>avoir un « impact préjudiciable important dans un cadre transfrontière, et en particulier sur une ressource partagée</w:t>
      </w:r>
      <w:r w:rsidRPr="00F22830">
        <w:rPr>
          <w:rStyle w:val="FootnoteReference"/>
        </w:rPr>
        <w:footnoteReference w:id="88"/>
      </w:r>
      <w:r w:rsidRPr="00336568">
        <w:rPr>
          <w:spacing w:val="-2"/>
          <w:lang w:val="fr-CA"/>
        </w:rPr>
        <w:t> »</w:t>
      </w:r>
      <w:r w:rsidRPr="00F22925">
        <w:rPr>
          <w:spacing w:val="-2"/>
          <w:lang w:val="fr-CA"/>
        </w:rPr>
        <w:t>.</w:t>
      </w:r>
      <w:r w:rsidRPr="00336568">
        <w:rPr>
          <w:spacing w:val="-2"/>
          <w:lang w:val="fr-CA"/>
        </w:rPr>
        <w:t xml:space="preserve"> </w:t>
      </w:r>
    </w:p>
    <w:p w14:paraId="555385FF" w14:textId="77777777" w:rsidR="00D01ECD" w:rsidRPr="00336568" w:rsidRDefault="00D01ECD" w:rsidP="00D01ECD">
      <w:pPr>
        <w:pStyle w:val="SingleTxtG"/>
        <w:spacing w:line="236" w:lineRule="atLeast"/>
        <w:rPr>
          <w:lang w:val="fr-CA"/>
        </w:rPr>
      </w:pPr>
      <w:r w:rsidRPr="00336568">
        <w:rPr>
          <w:lang w:val="fr-CA"/>
        </w:rPr>
        <w:t>5)</w:t>
      </w:r>
      <w:r w:rsidRPr="00336568">
        <w:rPr>
          <w:lang w:val="fr-CA"/>
        </w:rPr>
        <w:tab/>
        <w:t>En établissant un seuil, à savoir que les activités doivent être « susceptibles d</w:t>
      </w:r>
      <w:r>
        <w:rPr>
          <w:lang w:val="fr-CA"/>
        </w:rPr>
        <w:t>’</w:t>
      </w:r>
      <w:r w:rsidRPr="00336568">
        <w:rPr>
          <w:lang w:val="fr-CA"/>
        </w:rPr>
        <w:t>avoir un impact préjudiciable important », le projet de directive exclut</w:t>
      </w:r>
      <w:r>
        <w:rPr>
          <w:lang w:val="fr-CA"/>
        </w:rPr>
        <w:t xml:space="preserve"> </w:t>
      </w:r>
      <w:r w:rsidRPr="00336568">
        <w:rPr>
          <w:lang w:val="fr-CA"/>
        </w:rPr>
        <w:t xml:space="preserve">les </w:t>
      </w:r>
      <w:r>
        <w:rPr>
          <w:lang w:val="fr-CA"/>
        </w:rPr>
        <w:t>évaluations de l’impact</w:t>
      </w:r>
      <w:r w:rsidRPr="00336568">
        <w:rPr>
          <w:lang w:val="fr-CA"/>
        </w:rPr>
        <w:t xml:space="preserve"> sur l</w:t>
      </w:r>
      <w:r>
        <w:rPr>
          <w:lang w:val="fr-CA"/>
        </w:rPr>
        <w:t>’</w:t>
      </w:r>
      <w:r w:rsidRPr="00336568">
        <w:rPr>
          <w:lang w:val="fr-CA"/>
        </w:rPr>
        <w:t>environnement pour les activités susceptibles d</w:t>
      </w:r>
      <w:r>
        <w:rPr>
          <w:lang w:val="fr-CA"/>
        </w:rPr>
        <w:t>’</w:t>
      </w:r>
      <w:r w:rsidRPr="00336568">
        <w:rPr>
          <w:lang w:val="fr-CA"/>
        </w:rPr>
        <w:t>avoir un impact mineur</w:t>
      </w:r>
      <w:r w:rsidRPr="00F22925">
        <w:rPr>
          <w:lang w:val="fr-CA"/>
        </w:rPr>
        <w:t>.</w:t>
      </w:r>
      <w:r w:rsidRPr="00336568">
        <w:rPr>
          <w:lang w:val="fr-CA"/>
        </w:rPr>
        <w:t xml:space="preserve"> L</w:t>
      </w:r>
      <w:r>
        <w:rPr>
          <w:lang w:val="fr-CA"/>
        </w:rPr>
        <w:t>’</w:t>
      </w:r>
      <w:r w:rsidRPr="00336568">
        <w:rPr>
          <w:lang w:val="fr-CA"/>
        </w:rPr>
        <w:t>impact du dommage potentiel doit être « important » en ce qui concerne tant la pollution atmosphérique que la dégradation atmosphérique</w:t>
      </w:r>
      <w:r w:rsidRPr="00F22925">
        <w:rPr>
          <w:lang w:val="fr-CA"/>
        </w:rPr>
        <w:t>.</w:t>
      </w:r>
      <w:r w:rsidRPr="00336568">
        <w:rPr>
          <w:lang w:val="fr-CA"/>
        </w:rPr>
        <w:t xml:space="preserve"> </w:t>
      </w:r>
      <w:r>
        <w:rPr>
          <w:lang w:val="fr-CA"/>
        </w:rPr>
        <w:t>La formule</w:t>
      </w:r>
      <w:r w:rsidRPr="00336568">
        <w:rPr>
          <w:lang w:val="fr-CA"/>
        </w:rPr>
        <w:t xml:space="preserve"> « effets nocifs significatifs » est employée aux alinéas </w:t>
      </w:r>
      <w:r w:rsidRPr="00336568">
        <w:rPr>
          <w:i/>
          <w:iCs/>
          <w:lang w:val="fr-CA"/>
        </w:rPr>
        <w:t>b</w:t>
      </w:r>
      <w:r w:rsidRPr="00336568">
        <w:rPr>
          <w:lang w:val="fr-CA"/>
        </w:rPr>
        <w:t xml:space="preserve">) et </w:t>
      </w:r>
      <w:r w:rsidRPr="00336568">
        <w:rPr>
          <w:i/>
          <w:iCs/>
          <w:lang w:val="fr-CA"/>
        </w:rPr>
        <w:t>c</w:t>
      </w:r>
      <w:r w:rsidRPr="00336568">
        <w:rPr>
          <w:lang w:val="fr-CA"/>
        </w:rPr>
        <w:t>) du projet de directive 1 et, comme il est expliqué dans le commentaire y relatif, déterminer si un effet est « significatif » (ou « important ») ou non relève d</w:t>
      </w:r>
      <w:r>
        <w:rPr>
          <w:lang w:val="fr-CA"/>
        </w:rPr>
        <w:t>’</w:t>
      </w:r>
      <w:r w:rsidRPr="00336568">
        <w:rPr>
          <w:lang w:val="fr-CA"/>
        </w:rPr>
        <w:t>une appréciation d</w:t>
      </w:r>
      <w:r>
        <w:rPr>
          <w:lang w:val="fr-CA"/>
        </w:rPr>
        <w:t>’</w:t>
      </w:r>
      <w:r w:rsidRPr="00336568">
        <w:rPr>
          <w:lang w:val="fr-CA"/>
        </w:rPr>
        <w:t xml:space="preserve">ordre </w:t>
      </w:r>
      <w:r>
        <w:rPr>
          <w:lang w:val="fr-CA"/>
        </w:rPr>
        <w:t>factuel plutôt que</w:t>
      </w:r>
      <w:r w:rsidRPr="00336568">
        <w:rPr>
          <w:lang w:val="fr-CA"/>
        </w:rPr>
        <w:t xml:space="preserve"> juridique</w:t>
      </w:r>
      <w:r w:rsidRPr="00F22830">
        <w:rPr>
          <w:rStyle w:val="FootnoteReference"/>
        </w:rPr>
        <w:footnoteReference w:id="89"/>
      </w:r>
      <w:r w:rsidRPr="00F22925">
        <w:rPr>
          <w:lang w:val="fr-CA"/>
        </w:rPr>
        <w:t>.</w:t>
      </w:r>
    </w:p>
    <w:p w14:paraId="004872DD" w14:textId="77777777" w:rsidR="00D01ECD" w:rsidRPr="00336568" w:rsidRDefault="00D01ECD" w:rsidP="00D01ECD">
      <w:pPr>
        <w:pStyle w:val="SingleTxtG"/>
        <w:spacing w:line="236" w:lineRule="atLeast"/>
        <w:rPr>
          <w:lang w:val="fr-CA"/>
        </w:rPr>
      </w:pPr>
      <w:r w:rsidRPr="00336568">
        <w:rPr>
          <w:lang w:val="fr-CA"/>
        </w:rPr>
        <w:lastRenderedPageBreak/>
        <w:t>6)</w:t>
      </w:r>
      <w:r w:rsidRPr="00336568">
        <w:rPr>
          <w:lang w:val="fr-CA"/>
        </w:rPr>
        <w:tab/>
        <w:t xml:space="preserve">Le membre de phrase « en termes de pollution atmosphérique ou de dégradation atmosphérique » </w:t>
      </w:r>
      <w:r>
        <w:rPr>
          <w:lang w:val="fr-CA"/>
        </w:rPr>
        <w:t xml:space="preserve">vient relier plus étroitement </w:t>
      </w:r>
      <w:r w:rsidRPr="00336568">
        <w:rPr>
          <w:lang w:val="fr-CA"/>
        </w:rPr>
        <w:t>encore le projet de directive aux deux principaux sujets de préoccupation relatifs à la protection de l</w:t>
      </w:r>
      <w:r>
        <w:rPr>
          <w:lang w:val="fr-CA"/>
        </w:rPr>
        <w:t>’</w:t>
      </w:r>
      <w:r w:rsidRPr="00336568">
        <w:rPr>
          <w:lang w:val="fr-CA"/>
        </w:rPr>
        <w:t>atmosphère envisagés dans le présent projet de directives, à savoir la pollution atmosphérique transfrontière et la dégradation atmosphérique</w:t>
      </w:r>
      <w:r w:rsidRPr="00F22925">
        <w:rPr>
          <w:lang w:val="fr-CA"/>
        </w:rPr>
        <w:t>.</w:t>
      </w:r>
      <w:r w:rsidRPr="00336568">
        <w:rPr>
          <w:lang w:val="fr-CA"/>
        </w:rPr>
        <w:t xml:space="preserve"> Bien que les précédents établissant la nécessité de procéder à une évaluation de l</w:t>
      </w:r>
      <w:r>
        <w:rPr>
          <w:lang w:val="fr-CA"/>
        </w:rPr>
        <w:t>’</w:t>
      </w:r>
      <w:r w:rsidRPr="00336568">
        <w:rPr>
          <w:lang w:val="fr-CA"/>
        </w:rPr>
        <w:t>impact sur l</w:t>
      </w:r>
      <w:r>
        <w:rPr>
          <w:lang w:val="fr-CA"/>
        </w:rPr>
        <w:t>’</w:t>
      </w:r>
      <w:r w:rsidRPr="00336568">
        <w:rPr>
          <w:lang w:val="fr-CA"/>
        </w:rPr>
        <w:t>environnement abordent surtout la question dans une perspective transfrontière, on estime que cette nécessité s</w:t>
      </w:r>
      <w:r>
        <w:rPr>
          <w:lang w:val="fr-CA"/>
        </w:rPr>
        <w:t>’</w:t>
      </w:r>
      <w:r w:rsidRPr="00336568">
        <w:rPr>
          <w:lang w:val="fr-CA"/>
        </w:rPr>
        <w:t>applique aussi aux projets susceptibles d</w:t>
      </w:r>
      <w:r>
        <w:rPr>
          <w:lang w:val="fr-CA"/>
        </w:rPr>
        <w:t>’</w:t>
      </w:r>
      <w:r w:rsidRPr="00336568">
        <w:rPr>
          <w:lang w:val="fr-CA"/>
        </w:rPr>
        <w:t>avoir des effets négatifs importants sur l</w:t>
      </w:r>
      <w:r>
        <w:rPr>
          <w:lang w:val="fr-CA"/>
        </w:rPr>
        <w:t>’</w:t>
      </w:r>
      <w:r w:rsidRPr="00336568">
        <w:rPr>
          <w:lang w:val="fr-CA"/>
        </w:rPr>
        <w:t>atmosphère mondiale, y compris les activités impliquant la modification intentionnelle à grande échelle de l</w:t>
      </w:r>
      <w:r>
        <w:rPr>
          <w:lang w:val="fr-CA"/>
        </w:rPr>
        <w:t>’</w:t>
      </w:r>
      <w:r w:rsidRPr="00336568">
        <w:rPr>
          <w:lang w:val="fr-CA"/>
        </w:rPr>
        <w:t>atmosphère</w:t>
      </w:r>
      <w:r w:rsidRPr="00F22830">
        <w:rPr>
          <w:rStyle w:val="FootnoteReference"/>
        </w:rPr>
        <w:footnoteReference w:id="90"/>
      </w:r>
      <w:r w:rsidRPr="00F22925">
        <w:rPr>
          <w:lang w:val="fr-CA"/>
        </w:rPr>
        <w:t>.</w:t>
      </w:r>
      <w:r w:rsidRPr="00336568">
        <w:rPr>
          <w:lang w:val="fr-CA"/>
        </w:rPr>
        <w:t xml:space="preserve"> Dans le contexte de la dégradation atmosphérique, ces activités peuvent comporter un risque encore plus élevé de dommages graves que celles qui provoquent des dommages transfrontières ; partant, et a fortiori, les mêmes règles devraient s</w:t>
      </w:r>
      <w:r>
        <w:rPr>
          <w:lang w:val="fr-CA"/>
        </w:rPr>
        <w:t>’</w:t>
      </w:r>
      <w:r w:rsidRPr="00336568">
        <w:rPr>
          <w:lang w:val="fr-CA"/>
        </w:rPr>
        <w:t>appliquer aux activités de nature à causer une dégradation de l</w:t>
      </w:r>
      <w:r>
        <w:rPr>
          <w:lang w:val="fr-CA"/>
        </w:rPr>
        <w:t>’</w:t>
      </w:r>
      <w:r w:rsidRPr="00336568">
        <w:rPr>
          <w:lang w:val="fr-CA"/>
        </w:rPr>
        <w:t>atmosphère à l</w:t>
      </w:r>
      <w:r>
        <w:rPr>
          <w:lang w:val="fr-CA"/>
        </w:rPr>
        <w:t>’</w:t>
      </w:r>
      <w:r w:rsidRPr="00336568">
        <w:rPr>
          <w:lang w:val="fr-CA"/>
        </w:rPr>
        <w:t>échelle mondiale</w:t>
      </w:r>
      <w:r w:rsidRPr="00F22925">
        <w:rPr>
          <w:lang w:val="fr-CA"/>
        </w:rPr>
        <w:t>.</w:t>
      </w:r>
      <w:r w:rsidRPr="00336568">
        <w:rPr>
          <w:lang w:val="fr-CA"/>
        </w:rPr>
        <w:t xml:space="preserve"> </w:t>
      </w:r>
      <w:bookmarkStart w:id="16" w:name="_Ref455061336"/>
      <w:bookmarkEnd w:id="16"/>
    </w:p>
    <w:p w14:paraId="766B38FC" w14:textId="77777777" w:rsidR="00D01ECD" w:rsidRPr="00336568" w:rsidRDefault="00D01ECD" w:rsidP="00D01ECD">
      <w:pPr>
        <w:pStyle w:val="SingleTxtG"/>
        <w:spacing w:line="236" w:lineRule="atLeast"/>
        <w:rPr>
          <w:lang w:val="fr-CA"/>
        </w:rPr>
      </w:pPr>
      <w:r w:rsidRPr="00336568">
        <w:rPr>
          <w:lang w:val="fr-CA"/>
        </w:rPr>
        <w:t>7)</w:t>
      </w:r>
      <w:r w:rsidRPr="00336568">
        <w:rPr>
          <w:lang w:val="fr-CA"/>
        </w:rPr>
        <w:tab/>
        <w:t>Bien que le texte du projet de directives soit muet sur les questions de procédure, la transparence et la participation du public jouent un grand rôle dans l</w:t>
      </w:r>
      <w:r>
        <w:rPr>
          <w:lang w:val="fr-CA"/>
        </w:rPr>
        <w:t>’</w:t>
      </w:r>
      <w:r w:rsidRPr="00336568">
        <w:rPr>
          <w:lang w:val="fr-CA"/>
        </w:rPr>
        <w:t>accès à l</w:t>
      </w:r>
      <w:r>
        <w:rPr>
          <w:lang w:val="fr-CA"/>
        </w:rPr>
        <w:t>’</w:t>
      </w:r>
      <w:r w:rsidRPr="00336568">
        <w:rPr>
          <w:lang w:val="fr-CA"/>
        </w:rPr>
        <w:t xml:space="preserve">information et à la représentation dans le contexte des </w:t>
      </w:r>
      <w:r w:rsidRPr="009E2208">
        <w:rPr>
          <w:lang w:val="fr-FR"/>
        </w:rPr>
        <w:t>évaluation</w:t>
      </w:r>
      <w:r>
        <w:rPr>
          <w:lang w:val="fr-FR"/>
        </w:rPr>
        <w:t>s</w:t>
      </w:r>
      <w:r w:rsidRPr="009E2208">
        <w:rPr>
          <w:lang w:val="fr-FR"/>
        </w:rPr>
        <w:t xml:space="preserve"> de l</w:t>
      </w:r>
      <w:r>
        <w:rPr>
          <w:lang w:val="fr-FR"/>
        </w:rPr>
        <w:t>’</w:t>
      </w:r>
      <w:r w:rsidRPr="009E2208">
        <w:rPr>
          <w:lang w:val="fr-FR"/>
        </w:rPr>
        <w:t>impact sur l</w:t>
      </w:r>
      <w:r>
        <w:rPr>
          <w:lang w:val="fr-FR"/>
        </w:rPr>
        <w:t>’</w:t>
      </w:r>
      <w:r w:rsidRPr="009E2208">
        <w:rPr>
          <w:lang w:val="fr-FR"/>
        </w:rPr>
        <w:t>environnement</w:t>
      </w:r>
      <w:r w:rsidRPr="00F22925">
        <w:rPr>
          <w:lang w:val="fr-FR"/>
        </w:rPr>
        <w:t>.</w:t>
      </w:r>
      <w:r w:rsidRPr="00336568">
        <w:rPr>
          <w:lang w:val="fr-CA"/>
        </w:rPr>
        <w:t xml:space="preserve"> Le principe 10 de la Déclaration de Rio de 1992 pose notamment que la meilleure façon de traiter les questions relatives à l</w:t>
      </w:r>
      <w:r>
        <w:rPr>
          <w:lang w:val="fr-CA"/>
        </w:rPr>
        <w:t>’</w:t>
      </w:r>
      <w:r w:rsidRPr="00336568">
        <w:rPr>
          <w:lang w:val="fr-CA"/>
        </w:rPr>
        <w:t>environnement est d</w:t>
      </w:r>
      <w:r>
        <w:rPr>
          <w:lang w:val="fr-CA"/>
        </w:rPr>
        <w:t>’</w:t>
      </w:r>
      <w:r w:rsidRPr="00336568">
        <w:rPr>
          <w:lang w:val="fr-CA"/>
        </w:rPr>
        <w:t>assurer la participation de tous les citoyens concernés, au niveau qui convient</w:t>
      </w:r>
      <w:r w:rsidRPr="00F22925">
        <w:rPr>
          <w:lang w:val="fr-CA"/>
        </w:rPr>
        <w:t>.</w:t>
      </w:r>
      <w:r w:rsidRPr="00336568">
        <w:rPr>
          <w:lang w:val="fr-CA"/>
        </w:rPr>
        <w:t xml:space="preserve"> La participation comprend, notamment, l</w:t>
      </w:r>
      <w:r>
        <w:rPr>
          <w:lang w:val="fr-CA"/>
        </w:rPr>
        <w:t>’</w:t>
      </w:r>
      <w:r w:rsidRPr="00336568">
        <w:rPr>
          <w:lang w:val="fr-CA"/>
        </w:rPr>
        <w:t>accès à l</w:t>
      </w:r>
      <w:r>
        <w:rPr>
          <w:lang w:val="fr-CA"/>
        </w:rPr>
        <w:t>’</w:t>
      </w:r>
      <w:r w:rsidRPr="00336568">
        <w:rPr>
          <w:lang w:val="fr-CA"/>
        </w:rPr>
        <w:t>information, la possibilité de participer à la prise de décisions et un accès effectif à des mécanismes judiciaires et administratifs</w:t>
      </w:r>
      <w:r w:rsidRPr="00F22925">
        <w:rPr>
          <w:lang w:val="fr-CA"/>
        </w:rPr>
        <w:t>.</w:t>
      </w:r>
      <w:r w:rsidRPr="00336568">
        <w:rPr>
          <w:lang w:val="fr-CA"/>
        </w:rPr>
        <w:t xml:space="preserve"> La Convention sur l</w:t>
      </w:r>
      <w:r>
        <w:rPr>
          <w:lang w:val="fr-CA"/>
        </w:rPr>
        <w:t>’</w:t>
      </w:r>
      <w:r w:rsidRPr="00336568">
        <w:rPr>
          <w:lang w:val="fr-CA"/>
        </w:rPr>
        <w:t>accès à l</w:t>
      </w:r>
      <w:r>
        <w:rPr>
          <w:lang w:val="fr-CA"/>
        </w:rPr>
        <w:t>’</w:t>
      </w:r>
      <w:r w:rsidRPr="00336568">
        <w:rPr>
          <w:lang w:val="fr-CA"/>
        </w:rPr>
        <w:t>information, la participation du public au processus décisionnel et l</w:t>
      </w:r>
      <w:r>
        <w:rPr>
          <w:lang w:val="fr-CA"/>
        </w:rPr>
        <w:t>’</w:t>
      </w:r>
      <w:r w:rsidRPr="00336568">
        <w:rPr>
          <w:lang w:val="fr-CA"/>
        </w:rPr>
        <w:t>accès à la justice en matière d</w:t>
      </w:r>
      <w:r>
        <w:rPr>
          <w:lang w:val="fr-CA"/>
        </w:rPr>
        <w:t>’</w:t>
      </w:r>
      <w:r w:rsidRPr="00336568">
        <w:rPr>
          <w:lang w:val="fr-CA"/>
        </w:rPr>
        <w:t>environnement</w:t>
      </w:r>
      <w:r w:rsidRPr="00F22830">
        <w:rPr>
          <w:rStyle w:val="FootnoteReference"/>
        </w:rPr>
        <w:footnoteReference w:id="91"/>
      </w:r>
      <w:r w:rsidRPr="00336568">
        <w:rPr>
          <w:lang w:val="fr-CA"/>
        </w:rPr>
        <w:t xml:space="preserve"> aborde également ces questions</w:t>
      </w:r>
      <w:r w:rsidRPr="00F22925">
        <w:rPr>
          <w:lang w:val="fr-CA"/>
        </w:rPr>
        <w:t>.</w:t>
      </w:r>
      <w:r w:rsidRPr="00336568">
        <w:rPr>
          <w:lang w:val="fr-CA"/>
        </w:rPr>
        <w:t xml:space="preserve"> Le Protocole de Kiev, mentionné plus haut, encourage la mise en œuvre d</w:t>
      </w:r>
      <w:r>
        <w:rPr>
          <w:lang w:val="fr-CA"/>
        </w:rPr>
        <w:t>’</w:t>
      </w:r>
      <w:r w:rsidRPr="00336568">
        <w:rPr>
          <w:lang w:val="fr-CA"/>
        </w:rPr>
        <w:t>un processus de consultation et de participation du public et la prise en compte des résultats de ce processus dans un plan ou un programme</w:t>
      </w:r>
      <w:r w:rsidRPr="00F22830">
        <w:rPr>
          <w:rStyle w:val="FootnoteReference"/>
        </w:rPr>
        <w:footnoteReference w:id="92"/>
      </w:r>
      <w:r w:rsidRPr="00F22925">
        <w:rPr>
          <w:lang w:val="fr-CA"/>
        </w:rPr>
        <w:t>.</w:t>
      </w:r>
    </w:p>
    <w:p w14:paraId="0A761E4D" w14:textId="77777777" w:rsidR="00D01ECD" w:rsidRPr="00E164D9" w:rsidRDefault="00D01ECD" w:rsidP="00D01ECD">
      <w:pPr>
        <w:pStyle w:val="H23G"/>
        <w:spacing w:before="200"/>
        <w:ind w:left="1701" w:hanging="1701"/>
        <w:rPr>
          <w:lang w:val="fr-FR"/>
        </w:rPr>
      </w:pPr>
      <w:r w:rsidRPr="00E164D9">
        <w:rPr>
          <w:lang w:val="fr-FR"/>
        </w:rPr>
        <w:tab/>
      </w:r>
      <w:r w:rsidRPr="00E164D9">
        <w:rPr>
          <w:lang w:val="fr-FR"/>
        </w:rPr>
        <w:tab/>
      </w:r>
      <w:r>
        <w:rPr>
          <w:lang w:val="fr-FR"/>
        </w:rPr>
        <w:tab/>
        <w:t>Directive</w:t>
      </w:r>
      <w:r w:rsidRPr="00E164D9">
        <w:rPr>
          <w:lang w:val="fr-FR"/>
        </w:rPr>
        <w:t xml:space="preserve"> 5 </w:t>
      </w:r>
      <w:r w:rsidRPr="00E164D9">
        <w:rPr>
          <w:lang w:val="fr-FR"/>
        </w:rPr>
        <w:br/>
      </w:r>
      <w:r>
        <w:rPr>
          <w:lang w:val="fr-FR"/>
        </w:rPr>
        <w:t>Utilisation durable de l’atmosphère</w:t>
      </w:r>
    </w:p>
    <w:p w14:paraId="7075307C" w14:textId="77777777" w:rsidR="00D01ECD" w:rsidRPr="009E2208" w:rsidRDefault="00D01ECD" w:rsidP="00D01ECD">
      <w:pPr>
        <w:pStyle w:val="SingleTxtG"/>
        <w:ind w:left="1701"/>
        <w:rPr>
          <w:lang w:val="fr-FR"/>
        </w:rPr>
      </w:pPr>
      <w:r w:rsidRPr="009E2208">
        <w:rPr>
          <w:lang w:val="fr-FR"/>
        </w:rPr>
        <w:t>1</w:t>
      </w:r>
      <w:r w:rsidRPr="00F22925">
        <w:rPr>
          <w:lang w:val="fr-FR"/>
        </w:rPr>
        <w:t>.</w:t>
      </w:r>
      <w:r w:rsidRPr="00336568">
        <w:rPr>
          <w:lang w:val="fr-CA"/>
        </w:rPr>
        <w:tab/>
      </w:r>
      <w:r w:rsidRPr="009E2208">
        <w:rPr>
          <w:lang w:val="fr-FR"/>
        </w:rPr>
        <w:t>Dans la mesure où l</w:t>
      </w:r>
      <w:r>
        <w:rPr>
          <w:lang w:val="fr-FR"/>
        </w:rPr>
        <w:t>’</w:t>
      </w:r>
      <w:r w:rsidRPr="009E2208">
        <w:rPr>
          <w:lang w:val="fr-FR"/>
        </w:rPr>
        <w:t>atmosphère est une ressource naturelle d</w:t>
      </w:r>
      <w:r>
        <w:rPr>
          <w:lang w:val="fr-FR"/>
        </w:rPr>
        <w:t>’</w:t>
      </w:r>
      <w:r w:rsidRPr="009E2208">
        <w:rPr>
          <w:lang w:val="fr-FR"/>
        </w:rPr>
        <w:t>une capacité d</w:t>
      </w:r>
      <w:r>
        <w:rPr>
          <w:lang w:val="fr-FR"/>
        </w:rPr>
        <w:t>’</w:t>
      </w:r>
      <w:r w:rsidRPr="009E2208">
        <w:rPr>
          <w:lang w:val="fr-FR"/>
        </w:rPr>
        <w:t>assimilation limitée, son utilisation devrait être entreprise de manière durable</w:t>
      </w:r>
      <w:r w:rsidRPr="00F22925">
        <w:rPr>
          <w:lang w:val="fr-FR"/>
        </w:rPr>
        <w:t>.</w:t>
      </w:r>
    </w:p>
    <w:p w14:paraId="5AD1EDF2" w14:textId="77777777" w:rsidR="00D01ECD" w:rsidRPr="009E2208" w:rsidRDefault="00D01ECD" w:rsidP="00D01ECD">
      <w:pPr>
        <w:pStyle w:val="SingleTxtG"/>
        <w:ind w:left="1701"/>
        <w:rPr>
          <w:lang w:val="fr-FR"/>
        </w:rPr>
      </w:pPr>
      <w:r w:rsidRPr="009E2208">
        <w:rPr>
          <w:lang w:val="fr-FR"/>
        </w:rPr>
        <w:t>2</w:t>
      </w:r>
      <w:r w:rsidRPr="00F22925">
        <w:rPr>
          <w:lang w:val="fr-FR"/>
        </w:rPr>
        <w:t>.</w:t>
      </w:r>
      <w:r w:rsidRPr="00336568">
        <w:rPr>
          <w:lang w:val="fr-CA"/>
        </w:rPr>
        <w:tab/>
      </w:r>
      <w:r w:rsidRPr="009E2208">
        <w:rPr>
          <w:lang w:val="fr-FR"/>
        </w:rPr>
        <w:t>L</w:t>
      </w:r>
      <w:r>
        <w:rPr>
          <w:lang w:val="fr-FR"/>
        </w:rPr>
        <w:t>’</w:t>
      </w:r>
      <w:r w:rsidRPr="009E2208">
        <w:rPr>
          <w:lang w:val="fr-FR"/>
        </w:rPr>
        <w:t>utilisation durable de l</w:t>
      </w:r>
      <w:r>
        <w:rPr>
          <w:lang w:val="fr-FR"/>
        </w:rPr>
        <w:t>’</w:t>
      </w:r>
      <w:r w:rsidRPr="009E2208">
        <w:rPr>
          <w:lang w:val="fr-FR"/>
        </w:rPr>
        <w:t>atmosphère inclut le besoin de concilier le développement économique et la protection de l</w:t>
      </w:r>
      <w:r>
        <w:rPr>
          <w:lang w:val="fr-FR"/>
        </w:rPr>
        <w:t>’</w:t>
      </w:r>
      <w:r w:rsidRPr="009E2208">
        <w:rPr>
          <w:lang w:val="fr-FR"/>
        </w:rPr>
        <w:t>atmosphère</w:t>
      </w:r>
      <w:r w:rsidRPr="00F22925">
        <w:rPr>
          <w:lang w:val="fr-FR"/>
        </w:rPr>
        <w:t>.</w:t>
      </w:r>
    </w:p>
    <w:p w14:paraId="42A24224" w14:textId="77777777" w:rsidR="00D01ECD" w:rsidRPr="00336568" w:rsidRDefault="00D01ECD" w:rsidP="00D01ECD">
      <w:pPr>
        <w:pStyle w:val="H23G"/>
        <w:rPr>
          <w:lang w:val="fr-CA"/>
        </w:rPr>
      </w:pPr>
      <w:r w:rsidRPr="00336568">
        <w:rPr>
          <w:lang w:val="fr-CA"/>
        </w:rPr>
        <w:tab/>
      </w:r>
      <w:r w:rsidRPr="00336568">
        <w:rPr>
          <w:lang w:val="fr-CA"/>
        </w:rPr>
        <w:tab/>
        <w:t>Commentaire</w:t>
      </w:r>
    </w:p>
    <w:p w14:paraId="65D04820" w14:textId="77777777" w:rsidR="00D01ECD" w:rsidRPr="00336568" w:rsidRDefault="00D01ECD" w:rsidP="00D01ECD">
      <w:pPr>
        <w:pStyle w:val="SingleTxtG"/>
        <w:rPr>
          <w:lang w:val="fr-CA"/>
        </w:rPr>
      </w:pPr>
      <w:r w:rsidRPr="00336568">
        <w:rPr>
          <w:lang w:val="fr-CA"/>
        </w:rPr>
        <w:t>1)</w:t>
      </w:r>
      <w:r w:rsidRPr="00336568">
        <w:rPr>
          <w:lang w:val="fr-CA"/>
        </w:rPr>
        <w:tab/>
        <w:t>L</w:t>
      </w:r>
      <w:r>
        <w:rPr>
          <w:lang w:val="fr-CA"/>
        </w:rPr>
        <w:t>’</w:t>
      </w:r>
      <w:r w:rsidRPr="00336568">
        <w:rPr>
          <w:lang w:val="fr-CA"/>
        </w:rPr>
        <w:t>atmosphère est une ressource naturelle d</w:t>
      </w:r>
      <w:r>
        <w:rPr>
          <w:lang w:val="fr-CA"/>
        </w:rPr>
        <w:t>’</w:t>
      </w:r>
      <w:r w:rsidRPr="00336568">
        <w:rPr>
          <w:lang w:val="fr-CA"/>
        </w:rPr>
        <w:t>une capacité d</w:t>
      </w:r>
      <w:r>
        <w:rPr>
          <w:lang w:val="fr-CA"/>
        </w:rPr>
        <w:t>’</w:t>
      </w:r>
      <w:r w:rsidRPr="00336568">
        <w:rPr>
          <w:lang w:val="fr-CA"/>
        </w:rPr>
        <w:t>assimilation limitée</w:t>
      </w:r>
      <w:r w:rsidRPr="00F22925">
        <w:rPr>
          <w:lang w:val="fr-CA"/>
        </w:rPr>
        <w:t>.</w:t>
      </w:r>
      <w:r w:rsidRPr="00336568">
        <w:rPr>
          <w:lang w:val="fr-CA"/>
        </w:rPr>
        <w:t xml:space="preserve"> Bien</w:t>
      </w:r>
      <w:r>
        <w:rPr>
          <w:lang w:val="fr-CA"/>
        </w:rPr>
        <w:t xml:space="preserve"> </w:t>
      </w:r>
      <w:r w:rsidRPr="00336568">
        <w:rPr>
          <w:lang w:val="fr-CA"/>
        </w:rPr>
        <w:t>souvent, on n</w:t>
      </w:r>
      <w:r>
        <w:rPr>
          <w:lang w:val="fr-CA"/>
        </w:rPr>
        <w:t>’</w:t>
      </w:r>
      <w:r w:rsidRPr="00336568">
        <w:rPr>
          <w:lang w:val="fr-CA"/>
        </w:rPr>
        <w:t>envisage pas qu</w:t>
      </w:r>
      <w:r>
        <w:rPr>
          <w:lang w:val="fr-CA"/>
        </w:rPr>
        <w:t>’</w:t>
      </w:r>
      <w:r w:rsidRPr="00336568">
        <w:rPr>
          <w:lang w:val="fr-CA"/>
        </w:rPr>
        <w:t>elle puisse être exploitée de la même manière que les ressources pétrolières et gazières ou minérales</w:t>
      </w:r>
      <w:r>
        <w:rPr>
          <w:lang w:val="fr-CA"/>
        </w:rPr>
        <w:t>,</w:t>
      </w:r>
      <w:r w:rsidRPr="00336568">
        <w:rPr>
          <w:lang w:val="fr-CA"/>
        </w:rPr>
        <w:t xml:space="preserve"> par exemple</w:t>
      </w:r>
      <w:r>
        <w:rPr>
          <w:lang w:val="fr-CA"/>
        </w:rPr>
        <w:t>,</w:t>
      </w:r>
      <w:r w:rsidRPr="00336568">
        <w:rPr>
          <w:lang w:val="fr-CA"/>
        </w:rPr>
        <w:t xml:space="preserve"> peuvent être explorées et exploitées</w:t>
      </w:r>
      <w:r w:rsidRPr="00F22925">
        <w:rPr>
          <w:lang w:val="fr-CA"/>
        </w:rPr>
        <w:t>.</w:t>
      </w:r>
      <w:r w:rsidRPr="00336568">
        <w:rPr>
          <w:lang w:val="fr-CA"/>
        </w:rPr>
        <w:t xml:space="preserve"> En réalité, pourtant, </w:t>
      </w:r>
      <w:r>
        <w:rPr>
          <w:lang w:val="fr-CA"/>
        </w:rPr>
        <w:t>l’atmosphère</w:t>
      </w:r>
      <w:r w:rsidRPr="00336568">
        <w:rPr>
          <w:lang w:val="fr-CA"/>
        </w:rPr>
        <w:t xml:space="preserve"> est exploitable et exploitée, dans ses composantes physiques et fonctionnelles</w:t>
      </w:r>
      <w:r w:rsidRPr="00F22925">
        <w:rPr>
          <w:lang w:val="fr-CA"/>
        </w:rPr>
        <w:t>.</w:t>
      </w:r>
      <w:r w:rsidRPr="00336568">
        <w:rPr>
          <w:lang w:val="fr-CA"/>
        </w:rPr>
        <w:t xml:space="preserve"> Le pollueur </w:t>
      </w:r>
      <w:r>
        <w:rPr>
          <w:lang w:val="fr-CA"/>
        </w:rPr>
        <w:t>l’</w:t>
      </w:r>
      <w:r w:rsidRPr="00336568">
        <w:rPr>
          <w:lang w:val="fr-CA"/>
        </w:rPr>
        <w:t>exploite en</w:t>
      </w:r>
      <w:r>
        <w:rPr>
          <w:lang w:val="fr-CA"/>
        </w:rPr>
        <w:t xml:space="preserve"> la rendant de moins bonne</w:t>
      </w:r>
      <w:r w:rsidRPr="00336568">
        <w:rPr>
          <w:lang w:val="fr-CA"/>
        </w:rPr>
        <w:t xml:space="preserve"> qualité et </w:t>
      </w:r>
      <w:r>
        <w:rPr>
          <w:lang w:val="fr-CA"/>
        </w:rPr>
        <w:t xml:space="preserve">en réduisant son </w:t>
      </w:r>
      <w:r w:rsidRPr="00336568">
        <w:rPr>
          <w:lang w:val="fr-CA"/>
        </w:rPr>
        <w:t>aptitude à assimiler des polluants</w:t>
      </w:r>
      <w:r w:rsidRPr="00F22925">
        <w:rPr>
          <w:lang w:val="fr-CA"/>
        </w:rPr>
        <w:t>.</w:t>
      </w:r>
      <w:r w:rsidRPr="00336568">
        <w:rPr>
          <w:lang w:val="fr-CA"/>
        </w:rPr>
        <w:t xml:space="preserve"> Le projet de directive repose sur des analogies tirées de la notion de « ressources partagées » et sur le constat que l</w:t>
      </w:r>
      <w:r>
        <w:rPr>
          <w:lang w:val="fr-CA"/>
        </w:rPr>
        <w:t>’</w:t>
      </w:r>
      <w:r w:rsidRPr="00336568">
        <w:rPr>
          <w:lang w:val="fr-CA"/>
        </w:rPr>
        <w:t>unité de l</w:t>
      </w:r>
      <w:r>
        <w:rPr>
          <w:lang w:val="fr-CA"/>
        </w:rPr>
        <w:t>’</w:t>
      </w:r>
      <w:r w:rsidRPr="00336568">
        <w:rPr>
          <w:lang w:val="fr-CA"/>
        </w:rPr>
        <w:t>atmosphère de la planète exige la reconnaissance d</w:t>
      </w:r>
      <w:r>
        <w:rPr>
          <w:lang w:val="fr-CA"/>
        </w:rPr>
        <w:t>’</w:t>
      </w:r>
      <w:r w:rsidRPr="00336568">
        <w:rPr>
          <w:lang w:val="fr-CA"/>
        </w:rPr>
        <w:t xml:space="preserve">une communauté </w:t>
      </w:r>
      <w:r w:rsidRPr="00336568">
        <w:rPr>
          <w:lang w:val="fr-CA"/>
        </w:rPr>
        <w:lastRenderedPageBreak/>
        <w:t>d</w:t>
      </w:r>
      <w:r>
        <w:rPr>
          <w:lang w:val="fr-CA"/>
        </w:rPr>
        <w:t>’</w:t>
      </w:r>
      <w:r w:rsidRPr="00336568">
        <w:rPr>
          <w:lang w:val="fr-CA"/>
        </w:rPr>
        <w:t>intérêts</w:t>
      </w:r>
      <w:r w:rsidRPr="00F22925">
        <w:rPr>
          <w:lang w:val="fr-CA"/>
        </w:rPr>
        <w:t>.</w:t>
      </w:r>
      <w:r w:rsidRPr="00336568">
        <w:rPr>
          <w:lang w:val="fr-CA"/>
        </w:rPr>
        <w:t xml:space="preserve"> Il a donc pour prémisse que l</w:t>
      </w:r>
      <w:r>
        <w:rPr>
          <w:lang w:val="fr-CA"/>
        </w:rPr>
        <w:t>’</w:t>
      </w:r>
      <w:r w:rsidRPr="00336568">
        <w:rPr>
          <w:lang w:val="fr-CA"/>
        </w:rPr>
        <w:t>atmosphère est une ressource naturelle dont la capacité d</w:t>
      </w:r>
      <w:r>
        <w:rPr>
          <w:lang w:val="fr-CA"/>
        </w:rPr>
        <w:t>’</w:t>
      </w:r>
      <w:r w:rsidRPr="00336568">
        <w:rPr>
          <w:lang w:val="fr-CA"/>
        </w:rPr>
        <w:t>assimilation est limitée et dont l</w:t>
      </w:r>
      <w:r>
        <w:rPr>
          <w:lang w:val="fr-CA"/>
        </w:rPr>
        <w:t>’</w:t>
      </w:r>
      <w:r w:rsidRPr="00336568">
        <w:rPr>
          <w:lang w:val="fr-CA"/>
        </w:rPr>
        <w:t>aptitude à maintenir la vie sur la Terre est influencée par les activités anthropiques</w:t>
      </w:r>
      <w:r w:rsidRPr="00F22925">
        <w:rPr>
          <w:lang w:val="fr-CA"/>
        </w:rPr>
        <w:t>.</w:t>
      </w:r>
      <w:r w:rsidRPr="00336568">
        <w:rPr>
          <w:lang w:val="fr-CA"/>
        </w:rPr>
        <w:t xml:space="preserve"> Pour</w:t>
      </w:r>
      <w:r>
        <w:rPr>
          <w:lang w:val="fr-CA"/>
        </w:rPr>
        <w:t xml:space="preserve"> </w:t>
      </w:r>
      <w:r w:rsidRPr="00336568">
        <w:rPr>
          <w:lang w:val="fr-CA"/>
        </w:rPr>
        <w:t>assurer la protection de l</w:t>
      </w:r>
      <w:r>
        <w:rPr>
          <w:lang w:val="fr-CA"/>
        </w:rPr>
        <w:t>’</w:t>
      </w:r>
      <w:r w:rsidRPr="00336568">
        <w:rPr>
          <w:lang w:val="fr-CA"/>
        </w:rPr>
        <w:t>atmosphère, il est important de considérer celle</w:t>
      </w:r>
      <w:r>
        <w:rPr>
          <w:lang w:val="fr-CA"/>
        </w:rPr>
        <w:noBreakHyphen/>
      </w:r>
      <w:r w:rsidRPr="00336568">
        <w:rPr>
          <w:lang w:val="fr-CA"/>
        </w:rPr>
        <w:t xml:space="preserve">ci comme une ressource </w:t>
      </w:r>
      <w:r>
        <w:rPr>
          <w:lang w:val="fr-CA"/>
        </w:rPr>
        <w:t>naturelle à laquelle s’appliquent les</w:t>
      </w:r>
      <w:r w:rsidRPr="00336568">
        <w:rPr>
          <w:lang w:val="fr-CA"/>
        </w:rPr>
        <w:t xml:space="preserve"> principes de </w:t>
      </w:r>
      <w:r>
        <w:rPr>
          <w:lang w:val="fr-CA"/>
        </w:rPr>
        <w:t xml:space="preserve">la </w:t>
      </w:r>
      <w:r w:rsidRPr="00336568">
        <w:rPr>
          <w:lang w:val="fr-CA"/>
        </w:rPr>
        <w:t>conservation et d</w:t>
      </w:r>
      <w:r>
        <w:rPr>
          <w:lang w:val="fr-CA"/>
        </w:rPr>
        <w:t>e l’</w:t>
      </w:r>
      <w:r w:rsidRPr="00336568">
        <w:rPr>
          <w:lang w:val="fr-CA"/>
        </w:rPr>
        <w:t>utilisation durable</w:t>
      </w:r>
      <w:r w:rsidRPr="00F22925">
        <w:rPr>
          <w:lang w:val="fr-CA"/>
        </w:rPr>
        <w:t>.</w:t>
      </w:r>
    </w:p>
    <w:p w14:paraId="026BE6CB" w14:textId="77777777" w:rsidR="00D01ECD" w:rsidRPr="00336568" w:rsidRDefault="00D01ECD" w:rsidP="00D01ECD">
      <w:pPr>
        <w:pStyle w:val="SingleTxtG"/>
        <w:rPr>
          <w:lang w:val="fr-CA"/>
        </w:rPr>
      </w:pPr>
      <w:r w:rsidRPr="00336568">
        <w:rPr>
          <w:lang w:val="fr-CA"/>
        </w:rPr>
        <w:t>2)</w:t>
      </w:r>
      <w:r w:rsidRPr="00336568">
        <w:rPr>
          <w:lang w:val="fr-CA"/>
        </w:rPr>
        <w:tab/>
        <w:t>Le paragraphe 1 établit que l</w:t>
      </w:r>
      <w:r>
        <w:rPr>
          <w:lang w:val="fr-CA"/>
        </w:rPr>
        <w:t>’</w:t>
      </w:r>
      <w:r w:rsidRPr="00336568">
        <w:rPr>
          <w:lang w:val="fr-CA"/>
        </w:rPr>
        <w:t>atmosphère est une « ressource naturelle d</w:t>
      </w:r>
      <w:r>
        <w:rPr>
          <w:lang w:val="fr-CA"/>
        </w:rPr>
        <w:t>’</w:t>
      </w:r>
      <w:r w:rsidRPr="00336568">
        <w:rPr>
          <w:lang w:val="fr-CA"/>
        </w:rPr>
        <w:t>une capacité d</w:t>
      </w:r>
      <w:r>
        <w:rPr>
          <w:lang w:val="fr-CA"/>
        </w:rPr>
        <w:t>’</w:t>
      </w:r>
      <w:r w:rsidRPr="00336568">
        <w:rPr>
          <w:lang w:val="fr-CA"/>
        </w:rPr>
        <w:t>assimilation limitée »</w:t>
      </w:r>
      <w:r w:rsidRPr="00F22925">
        <w:rPr>
          <w:lang w:val="fr-CA"/>
        </w:rPr>
        <w:t>.</w:t>
      </w:r>
      <w:r w:rsidRPr="00336568">
        <w:rPr>
          <w:lang w:val="fr-CA"/>
        </w:rPr>
        <w:t xml:space="preserve"> La seconde partie du paragraphe vise à concilier la conservation et le développement de sorte que les modifications apportées à la planète continuent à permettre la survie et le bien-être des organismes présents sur la Terre</w:t>
      </w:r>
      <w:r w:rsidRPr="00F22925">
        <w:rPr>
          <w:lang w:val="fr-CA"/>
        </w:rPr>
        <w:t>.</w:t>
      </w:r>
      <w:r w:rsidRPr="00336568">
        <w:rPr>
          <w:lang w:val="fr-CA"/>
        </w:rPr>
        <w:t xml:space="preserve"> C</w:t>
      </w:r>
      <w:r>
        <w:rPr>
          <w:lang w:val="fr-CA"/>
        </w:rPr>
        <w:t>’</w:t>
      </w:r>
      <w:r w:rsidRPr="00336568">
        <w:rPr>
          <w:lang w:val="fr-CA"/>
        </w:rPr>
        <w:t>est dans cette optique qu</w:t>
      </w:r>
      <w:r>
        <w:rPr>
          <w:lang w:val="fr-CA"/>
        </w:rPr>
        <w:t>’</w:t>
      </w:r>
      <w:r w:rsidRPr="00336568">
        <w:rPr>
          <w:lang w:val="fr-CA"/>
        </w:rPr>
        <w:t>il est dit que l</w:t>
      </w:r>
      <w:r>
        <w:rPr>
          <w:lang w:val="fr-CA"/>
        </w:rPr>
        <w:t>’</w:t>
      </w:r>
      <w:r w:rsidRPr="00336568">
        <w:rPr>
          <w:lang w:val="fr-CA"/>
        </w:rPr>
        <w:t>utilisation de l</w:t>
      </w:r>
      <w:r>
        <w:rPr>
          <w:lang w:val="fr-CA"/>
        </w:rPr>
        <w:t>’</w:t>
      </w:r>
      <w:r w:rsidRPr="00336568">
        <w:rPr>
          <w:lang w:val="fr-CA"/>
        </w:rPr>
        <w:t>atmosphère devrait être entreprise de manière durable</w:t>
      </w:r>
      <w:r w:rsidRPr="00F22925">
        <w:rPr>
          <w:lang w:val="fr-CA"/>
        </w:rPr>
        <w:t>.</w:t>
      </w:r>
      <w:r w:rsidRPr="00336568">
        <w:rPr>
          <w:lang w:val="fr-CA"/>
        </w:rPr>
        <w:t xml:space="preserve"> Cet énoncé s</w:t>
      </w:r>
      <w:r>
        <w:rPr>
          <w:lang w:val="fr-CA"/>
        </w:rPr>
        <w:t>’</w:t>
      </w:r>
      <w:r w:rsidRPr="00336568">
        <w:rPr>
          <w:lang w:val="fr-CA"/>
        </w:rPr>
        <w:t>inspire des formulations retenues par la Commission telles qu</w:t>
      </w:r>
      <w:r>
        <w:rPr>
          <w:lang w:val="fr-CA"/>
        </w:rPr>
        <w:t>’elles sont</w:t>
      </w:r>
      <w:r w:rsidRPr="00336568">
        <w:rPr>
          <w:lang w:val="fr-CA"/>
        </w:rPr>
        <w:t xml:space="preserve"> reflétées dans la Convention sur le droit relatif aux utilisations des cours d</w:t>
      </w:r>
      <w:r>
        <w:rPr>
          <w:lang w:val="fr-CA"/>
        </w:rPr>
        <w:t>’</w:t>
      </w:r>
      <w:r w:rsidRPr="00336568">
        <w:rPr>
          <w:lang w:val="fr-CA"/>
        </w:rPr>
        <w:t>eau internationaux à des fins autres que la navigation</w:t>
      </w:r>
      <w:r w:rsidRPr="00F22830">
        <w:rPr>
          <w:rStyle w:val="FootnoteReference"/>
        </w:rPr>
        <w:footnoteReference w:id="93"/>
      </w:r>
      <w:r w:rsidRPr="00336568">
        <w:rPr>
          <w:lang w:val="fr-CA"/>
        </w:rPr>
        <w:t xml:space="preserve"> et les articles sur le droit des aquifères transfrontières</w:t>
      </w:r>
      <w:r w:rsidRPr="00F22830">
        <w:rPr>
          <w:rStyle w:val="FootnoteReference"/>
        </w:rPr>
        <w:footnoteReference w:id="94"/>
      </w:r>
      <w:r w:rsidRPr="00F22925">
        <w:rPr>
          <w:lang w:val="fr-CA"/>
        </w:rPr>
        <w:t>.</w:t>
      </w:r>
    </w:p>
    <w:p w14:paraId="0081B432" w14:textId="77777777" w:rsidR="00D01ECD" w:rsidRPr="00336568" w:rsidRDefault="00D01ECD" w:rsidP="00D01ECD">
      <w:pPr>
        <w:pStyle w:val="SingleTxtG"/>
        <w:rPr>
          <w:lang w:val="fr-CA"/>
        </w:rPr>
      </w:pPr>
      <w:r w:rsidRPr="00336568">
        <w:rPr>
          <w:lang w:val="fr-CA"/>
        </w:rPr>
        <w:t>3)</w:t>
      </w:r>
      <w:r w:rsidRPr="00336568">
        <w:rPr>
          <w:lang w:val="fr-CA"/>
        </w:rPr>
        <w:tab/>
      </w:r>
      <w:r w:rsidRPr="00336568">
        <w:rPr>
          <w:spacing w:val="-2"/>
          <w:lang w:val="fr-CA"/>
        </w:rPr>
        <w:t>Le terme « utilisation » est employé au sens large et renvoie à des notions qui vont au-delà de l</w:t>
      </w:r>
      <w:r>
        <w:rPr>
          <w:spacing w:val="-2"/>
          <w:lang w:val="fr-CA"/>
        </w:rPr>
        <w:t>’</w:t>
      </w:r>
      <w:r w:rsidRPr="00336568">
        <w:rPr>
          <w:spacing w:val="-2"/>
          <w:lang w:val="fr-CA"/>
        </w:rPr>
        <w:t>exploitation</w:t>
      </w:r>
      <w:r w:rsidRPr="00F22925">
        <w:rPr>
          <w:spacing w:val="-2"/>
          <w:lang w:val="fr-CA"/>
        </w:rPr>
        <w:t>.</w:t>
      </w:r>
      <w:r w:rsidRPr="00336568">
        <w:rPr>
          <w:spacing w:val="-2"/>
          <w:lang w:val="fr-CA"/>
        </w:rPr>
        <w:t xml:space="preserve"> L</w:t>
      </w:r>
      <w:r>
        <w:rPr>
          <w:spacing w:val="-2"/>
          <w:lang w:val="fr-CA"/>
        </w:rPr>
        <w:t>’</w:t>
      </w:r>
      <w:r w:rsidRPr="00336568">
        <w:rPr>
          <w:spacing w:val="-2"/>
          <w:lang w:val="fr-CA"/>
        </w:rPr>
        <w:t>atmosphère a été utilisée de plusieurs manières</w:t>
      </w:r>
      <w:r w:rsidRPr="00F22925">
        <w:rPr>
          <w:spacing w:val="-2"/>
          <w:lang w:val="fr-CA"/>
        </w:rPr>
        <w:t>.</w:t>
      </w:r>
      <w:r w:rsidRPr="00336568">
        <w:rPr>
          <w:spacing w:val="-2"/>
          <w:lang w:val="fr-CA"/>
        </w:rPr>
        <w:t xml:space="preserve"> Les activités menées à ce jour ont probablement, pour la plupart, été entreprises sans intention claire ou manifeste d</w:t>
      </w:r>
      <w:r>
        <w:rPr>
          <w:spacing w:val="-2"/>
          <w:lang w:val="fr-CA"/>
        </w:rPr>
        <w:t>’</w:t>
      </w:r>
      <w:r w:rsidRPr="00336568">
        <w:rPr>
          <w:spacing w:val="-2"/>
          <w:lang w:val="fr-CA"/>
        </w:rPr>
        <w:t>influer sur les conditions atmosphériques</w:t>
      </w:r>
      <w:r w:rsidRPr="00F22925">
        <w:rPr>
          <w:spacing w:val="-2"/>
          <w:lang w:val="fr-CA"/>
        </w:rPr>
        <w:t>.</w:t>
      </w:r>
      <w:r w:rsidRPr="00336568">
        <w:rPr>
          <w:spacing w:val="-2"/>
          <w:lang w:val="fr-CA"/>
        </w:rPr>
        <w:t xml:space="preserve"> Toutefois, certaines, par exemple celles visant à modifier le temps, </w:t>
      </w:r>
      <w:r>
        <w:rPr>
          <w:spacing w:val="-2"/>
          <w:lang w:val="fr-CA"/>
        </w:rPr>
        <w:t>ont été menées dans le but exprès</w:t>
      </w:r>
      <w:r w:rsidRPr="00336568">
        <w:rPr>
          <w:spacing w:val="-2"/>
          <w:lang w:val="fr-CA"/>
        </w:rPr>
        <w:t xml:space="preserve"> d</w:t>
      </w:r>
      <w:r>
        <w:rPr>
          <w:spacing w:val="-2"/>
          <w:lang w:val="fr-CA"/>
        </w:rPr>
        <w:t>’</w:t>
      </w:r>
      <w:r w:rsidRPr="00336568">
        <w:rPr>
          <w:spacing w:val="-2"/>
          <w:lang w:val="fr-CA"/>
        </w:rPr>
        <w:t>altérer ces conditions</w:t>
      </w:r>
      <w:r w:rsidRPr="00F22925">
        <w:rPr>
          <w:spacing w:val="-2"/>
          <w:lang w:val="fr-CA"/>
        </w:rPr>
        <w:t>.</w:t>
      </w:r>
      <w:r w:rsidRPr="00336568">
        <w:rPr>
          <w:spacing w:val="-2"/>
          <w:lang w:val="fr-CA"/>
        </w:rPr>
        <w:t xml:space="preserve"> Quelques-unes des technologies auxquelles il est envisagé de recourir pour modifier intentionnellement l</w:t>
      </w:r>
      <w:r>
        <w:rPr>
          <w:spacing w:val="-2"/>
          <w:lang w:val="fr-CA"/>
        </w:rPr>
        <w:t>’</w:t>
      </w:r>
      <w:r w:rsidRPr="00336568">
        <w:rPr>
          <w:spacing w:val="-2"/>
          <w:lang w:val="fr-CA"/>
        </w:rPr>
        <w:t>atmosphère à grande échelle</w:t>
      </w:r>
      <w:r w:rsidRPr="00F22830">
        <w:rPr>
          <w:rStyle w:val="FootnoteReference"/>
        </w:rPr>
        <w:footnoteReference w:id="95"/>
      </w:r>
      <w:r w:rsidRPr="00336568">
        <w:rPr>
          <w:spacing w:val="-2"/>
          <w:lang w:val="fr-CA"/>
        </w:rPr>
        <w:t xml:space="preserve"> participent de l</w:t>
      </w:r>
      <w:r>
        <w:rPr>
          <w:spacing w:val="-2"/>
          <w:lang w:val="fr-CA"/>
        </w:rPr>
        <w:t>’</w:t>
      </w:r>
      <w:r w:rsidRPr="00336568">
        <w:rPr>
          <w:spacing w:val="-2"/>
          <w:lang w:val="fr-CA"/>
        </w:rPr>
        <w:t>utilisation de l</w:t>
      </w:r>
      <w:r>
        <w:rPr>
          <w:spacing w:val="-2"/>
          <w:lang w:val="fr-CA"/>
        </w:rPr>
        <w:t>’</w:t>
      </w:r>
      <w:r w:rsidRPr="00336568">
        <w:rPr>
          <w:spacing w:val="-2"/>
          <w:lang w:val="fr-CA"/>
        </w:rPr>
        <w:t>atmosphère</w:t>
      </w:r>
      <w:r w:rsidRPr="00F22925">
        <w:rPr>
          <w:spacing w:val="-2"/>
          <w:lang w:val="fr-CA"/>
        </w:rPr>
        <w:t>.</w:t>
      </w:r>
    </w:p>
    <w:p w14:paraId="0AEA895C" w14:textId="77777777" w:rsidR="00D01ECD" w:rsidRPr="00336568" w:rsidRDefault="00D01ECD" w:rsidP="00D01ECD">
      <w:pPr>
        <w:pStyle w:val="SingleTxtG"/>
        <w:rPr>
          <w:lang w:val="fr-CA"/>
        </w:rPr>
      </w:pPr>
      <w:r w:rsidRPr="00336568">
        <w:rPr>
          <w:lang w:val="fr-CA"/>
        </w:rPr>
        <w:t>4)</w:t>
      </w:r>
      <w:r w:rsidRPr="00336568">
        <w:rPr>
          <w:lang w:val="fr-CA"/>
        </w:rPr>
        <w:tab/>
      </w:r>
      <w:r>
        <w:rPr>
          <w:lang w:val="fr-CA"/>
        </w:rPr>
        <w:t>La formule</w:t>
      </w:r>
      <w:r w:rsidRPr="00336568">
        <w:rPr>
          <w:lang w:val="fr-CA"/>
        </w:rPr>
        <w:t xml:space="preserve"> « son utilisation devrait être entreprise de manière durable » employée au paragraphe 1 est </w:t>
      </w:r>
      <w:r>
        <w:rPr>
          <w:lang w:val="fr-CA"/>
        </w:rPr>
        <w:t xml:space="preserve">volontairement simple et </w:t>
      </w:r>
      <w:r w:rsidRPr="00336568">
        <w:rPr>
          <w:lang w:val="fr-CA"/>
        </w:rPr>
        <w:t xml:space="preserve">reflète </w:t>
      </w:r>
      <w:r>
        <w:rPr>
          <w:lang w:val="fr-CA"/>
        </w:rPr>
        <w:t>l’évolution de</w:t>
      </w:r>
      <w:r w:rsidRPr="00336568">
        <w:rPr>
          <w:lang w:val="fr-CA"/>
        </w:rPr>
        <w:t xml:space="preserve"> la conception de l</w:t>
      </w:r>
      <w:r>
        <w:rPr>
          <w:lang w:val="fr-CA"/>
        </w:rPr>
        <w:t>’</w:t>
      </w:r>
      <w:r w:rsidRPr="00336568">
        <w:rPr>
          <w:lang w:val="fr-CA"/>
        </w:rPr>
        <w:t>atmosphère</w:t>
      </w:r>
      <w:r>
        <w:rPr>
          <w:lang w:val="fr-CA"/>
        </w:rPr>
        <w:t>,</w:t>
      </w:r>
      <w:r w:rsidRPr="00336568">
        <w:rPr>
          <w:lang w:val="fr-CA"/>
        </w:rPr>
        <w:t xml:space="preserve"> que l</w:t>
      </w:r>
      <w:r>
        <w:rPr>
          <w:lang w:val="fr-CA"/>
        </w:rPr>
        <w:t>’</w:t>
      </w:r>
      <w:r w:rsidRPr="00336568">
        <w:rPr>
          <w:lang w:val="fr-CA"/>
        </w:rPr>
        <w:t>on tend à présent à considérer comme une ressource naturelle devant être utilisée de manière durable</w:t>
      </w:r>
      <w:r w:rsidRPr="00F22925">
        <w:rPr>
          <w:lang w:val="fr-CA"/>
        </w:rPr>
        <w:t>.</w:t>
      </w:r>
      <w:r w:rsidRPr="00336568">
        <w:rPr>
          <w:lang w:val="fr-CA"/>
        </w:rPr>
        <w:t xml:space="preserve"> </w:t>
      </w:r>
    </w:p>
    <w:p w14:paraId="62A43274" w14:textId="77777777" w:rsidR="00D01ECD" w:rsidRPr="00336568" w:rsidRDefault="00D01ECD" w:rsidP="00D01ECD">
      <w:pPr>
        <w:pStyle w:val="SingleTxtG"/>
        <w:rPr>
          <w:bCs/>
          <w:lang w:val="fr-CA"/>
        </w:rPr>
      </w:pPr>
      <w:r w:rsidRPr="00336568">
        <w:rPr>
          <w:lang w:val="fr-CA"/>
        </w:rPr>
        <w:t>5)</w:t>
      </w:r>
      <w:r w:rsidRPr="00336568">
        <w:rPr>
          <w:lang w:val="fr-CA"/>
        </w:rPr>
        <w:tab/>
        <w:t>Le paragraphe 2 s</w:t>
      </w:r>
      <w:r>
        <w:rPr>
          <w:lang w:val="fr-CA"/>
        </w:rPr>
        <w:t>’</w:t>
      </w:r>
      <w:r w:rsidRPr="00336568">
        <w:rPr>
          <w:lang w:val="fr-CA"/>
        </w:rPr>
        <w:t>inspire de la formulation adoptée par la Cour internationale de Justice dans l</w:t>
      </w:r>
      <w:r>
        <w:rPr>
          <w:lang w:val="fr-CA"/>
        </w:rPr>
        <w:t>’</w:t>
      </w:r>
      <w:r w:rsidRPr="00336568">
        <w:rPr>
          <w:lang w:val="fr-CA"/>
        </w:rPr>
        <w:t>arrêt relatif à l</w:t>
      </w:r>
      <w:r>
        <w:rPr>
          <w:lang w:val="fr-CA"/>
        </w:rPr>
        <w:t>’</w:t>
      </w:r>
      <w:r w:rsidRPr="00336568">
        <w:rPr>
          <w:lang w:val="fr-CA"/>
        </w:rPr>
        <w:t xml:space="preserve">affaire du </w:t>
      </w:r>
      <w:r w:rsidRPr="00336568">
        <w:rPr>
          <w:i/>
          <w:lang w:val="fr-CA"/>
        </w:rPr>
        <w:t xml:space="preserve">Projet </w:t>
      </w:r>
      <w:proofErr w:type="spellStart"/>
      <w:r w:rsidRPr="00336568">
        <w:rPr>
          <w:i/>
          <w:lang w:val="fr-CA"/>
        </w:rPr>
        <w:t>Gabčíkovo-Nagymaros</w:t>
      </w:r>
      <w:proofErr w:type="spellEnd"/>
      <w:r w:rsidRPr="00336568">
        <w:rPr>
          <w:lang w:val="fr-CA"/>
        </w:rPr>
        <w:t>, dans lequel la Cour a constaté la « nécessité de concilier développement économique et protection de l</w:t>
      </w:r>
      <w:r>
        <w:rPr>
          <w:lang w:val="fr-CA"/>
        </w:rPr>
        <w:t>’</w:t>
      </w:r>
      <w:r w:rsidRPr="00336568">
        <w:rPr>
          <w:lang w:val="fr-CA"/>
        </w:rPr>
        <w:t>environnement</w:t>
      </w:r>
      <w:r w:rsidRPr="00F22830">
        <w:rPr>
          <w:rStyle w:val="FootnoteReference"/>
        </w:rPr>
        <w:footnoteReference w:id="96"/>
      </w:r>
      <w:r w:rsidRPr="00336568">
        <w:rPr>
          <w:lang w:val="fr-CA"/>
        </w:rPr>
        <w:t> »</w:t>
      </w:r>
      <w:r w:rsidRPr="00F22925">
        <w:rPr>
          <w:lang w:val="fr-CA"/>
        </w:rPr>
        <w:t>.</w:t>
      </w:r>
      <w:r w:rsidRPr="00336568">
        <w:rPr>
          <w:lang w:val="fr-CA"/>
        </w:rPr>
        <w:t xml:space="preserve"> La Commission a aussi tenu compte d</w:t>
      </w:r>
      <w:r>
        <w:rPr>
          <w:lang w:val="fr-CA"/>
        </w:rPr>
        <w:t>’</w:t>
      </w:r>
      <w:r w:rsidRPr="00336568">
        <w:rPr>
          <w:lang w:val="fr-CA"/>
        </w:rPr>
        <w:t>autres affaires pertinentes</w:t>
      </w:r>
      <w:r w:rsidRPr="00F22830">
        <w:rPr>
          <w:rStyle w:val="FootnoteReference"/>
        </w:rPr>
        <w:footnoteReference w:id="97"/>
      </w:r>
      <w:r w:rsidRPr="00F22925">
        <w:rPr>
          <w:lang w:val="fr-CA"/>
        </w:rPr>
        <w:t>.</w:t>
      </w:r>
      <w:r w:rsidRPr="00336568">
        <w:rPr>
          <w:lang w:val="fr-CA"/>
        </w:rPr>
        <w:t xml:space="preserve"> </w:t>
      </w:r>
      <w:r w:rsidRPr="00336568">
        <w:rPr>
          <w:lang w:val="fr-CA"/>
        </w:rPr>
        <w:lastRenderedPageBreak/>
        <w:t>Faire référence à la « protection de l</w:t>
      </w:r>
      <w:r>
        <w:rPr>
          <w:lang w:val="fr-CA"/>
        </w:rPr>
        <w:t>’</w:t>
      </w:r>
      <w:r w:rsidRPr="00336568">
        <w:rPr>
          <w:lang w:val="fr-CA"/>
        </w:rPr>
        <w:t>atmosphère » plutôt qu</w:t>
      </w:r>
      <w:r>
        <w:rPr>
          <w:lang w:val="fr-CA"/>
        </w:rPr>
        <w:t>’</w:t>
      </w:r>
      <w:r w:rsidRPr="00336568">
        <w:rPr>
          <w:lang w:val="fr-CA"/>
        </w:rPr>
        <w:t>à la « protection de l</w:t>
      </w:r>
      <w:r>
        <w:rPr>
          <w:lang w:val="fr-CA"/>
        </w:rPr>
        <w:t>’</w:t>
      </w:r>
      <w:r w:rsidRPr="00336568">
        <w:rPr>
          <w:lang w:val="fr-CA"/>
        </w:rPr>
        <w:t xml:space="preserve">environnement » </w:t>
      </w:r>
      <w:r>
        <w:rPr>
          <w:lang w:val="fr-CA"/>
        </w:rPr>
        <w:t>permet</w:t>
      </w:r>
      <w:r w:rsidRPr="00336568">
        <w:rPr>
          <w:lang w:val="fr-CA"/>
        </w:rPr>
        <w:t xml:space="preserve"> d</w:t>
      </w:r>
      <w:r>
        <w:rPr>
          <w:lang w:val="fr-CA"/>
        </w:rPr>
        <w:t>’</w:t>
      </w:r>
      <w:r w:rsidRPr="00336568">
        <w:rPr>
          <w:lang w:val="fr-CA"/>
        </w:rPr>
        <w:t>axer le paragraphe sur le sujet à l</w:t>
      </w:r>
      <w:r>
        <w:rPr>
          <w:lang w:val="fr-CA"/>
        </w:rPr>
        <w:t>’</w:t>
      </w:r>
      <w:r w:rsidRPr="00336568">
        <w:rPr>
          <w:lang w:val="fr-CA"/>
        </w:rPr>
        <w:t>examen, à savoir la protection de l</w:t>
      </w:r>
      <w:r>
        <w:rPr>
          <w:lang w:val="fr-CA"/>
        </w:rPr>
        <w:t>’</w:t>
      </w:r>
      <w:r w:rsidRPr="00336568">
        <w:rPr>
          <w:lang w:val="fr-CA"/>
        </w:rPr>
        <w:t>atmosphère</w:t>
      </w:r>
      <w:r w:rsidRPr="00F22925">
        <w:rPr>
          <w:lang w:val="fr-CA"/>
        </w:rPr>
        <w:t>.</w:t>
      </w:r>
    </w:p>
    <w:p w14:paraId="50308761" w14:textId="77777777" w:rsidR="00D01ECD" w:rsidRPr="00E164D9" w:rsidRDefault="00D01ECD" w:rsidP="00D01ECD">
      <w:pPr>
        <w:pStyle w:val="H23G"/>
        <w:ind w:left="1701" w:hanging="1701"/>
        <w:rPr>
          <w:lang w:val="fr-FR"/>
        </w:rPr>
      </w:pPr>
      <w:r w:rsidRPr="00E164D9">
        <w:rPr>
          <w:lang w:val="fr-FR"/>
        </w:rPr>
        <w:tab/>
      </w:r>
      <w:r w:rsidRPr="00E164D9">
        <w:rPr>
          <w:lang w:val="fr-FR"/>
        </w:rPr>
        <w:tab/>
      </w:r>
      <w:r>
        <w:rPr>
          <w:lang w:val="fr-FR"/>
        </w:rPr>
        <w:tab/>
        <w:t>Directive</w:t>
      </w:r>
      <w:r w:rsidRPr="00E164D9">
        <w:rPr>
          <w:lang w:val="fr-FR"/>
        </w:rPr>
        <w:t xml:space="preserve"> 6 </w:t>
      </w:r>
      <w:r w:rsidRPr="00E164D9">
        <w:rPr>
          <w:lang w:val="fr-FR"/>
        </w:rPr>
        <w:br/>
      </w:r>
      <w:r>
        <w:rPr>
          <w:lang w:val="fr-FR"/>
        </w:rPr>
        <w:t>Utilisation équitable et raisonnable de l’atmosphère</w:t>
      </w:r>
    </w:p>
    <w:p w14:paraId="70C66E39" w14:textId="77777777" w:rsidR="00D01ECD" w:rsidRPr="009E2208" w:rsidRDefault="00D01ECD" w:rsidP="00D01ECD">
      <w:pPr>
        <w:pStyle w:val="SingleTxtG"/>
        <w:ind w:left="1701" w:firstLine="567"/>
        <w:rPr>
          <w:lang w:val="fr-FR"/>
        </w:rPr>
      </w:pPr>
      <w:r w:rsidRPr="009E2208">
        <w:rPr>
          <w:lang w:val="fr-FR"/>
        </w:rPr>
        <w:t>L</w:t>
      </w:r>
      <w:r>
        <w:rPr>
          <w:lang w:val="fr-FR"/>
        </w:rPr>
        <w:t>’</w:t>
      </w:r>
      <w:r w:rsidRPr="009E2208">
        <w:rPr>
          <w:lang w:val="fr-FR"/>
        </w:rPr>
        <w:t>atmosphère devrait être utilisée d</w:t>
      </w:r>
      <w:r>
        <w:rPr>
          <w:lang w:val="fr-FR"/>
        </w:rPr>
        <w:t>’</w:t>
      </w:r>
      <w:r w:rsidRPr="009E2208">
        <w:rPr>
          <w:lang w:val="fr-FR"/>
        </w:rPr>
        <w:t>une manière équitable et raisonnable, en tenant pleinement compte des intérêts des gén</w:t>
      </w:r>
      <w:r>
        <w:rPr>
          <w:lang w:val="fr-FR"/>
        </w:rPr>
        <w:t>érations présentes et futures</w:t>
      </w:r>
      <w:r w:rsidRPr="00F22925">
        <w:rPr>
          <w:lang w:val="fr-FR"/>
        </w:rPr>
        <w:t>.</w:t>
      </w:r>
    </w:p>
    <w:p w14:paraId="077F86AF" w14:textId="77777777" w:rsidR="00D01ECD" w:rsidRPr="00336568" w:rsidRDefault="00D01ECD" w:rsidP="00D01ECD">
      <w:pPr>
        <w:pStyle w:val="H23G"/>
        <w:rPr>
          <w:lang w:val="fr-CA"/>
        </w:rPr>
      </w:pPr>
      <w:r w:rsidRPr="00336568">
        <w:rPr>
          <w:lang w:val="fr-CA"/>
        </w:rPr>
        <w:tab/>
      </w:r>
      <w:r w:rsidRPr="00336568">
        <w:rPr>
          <w:lang w:val="fr-CA"/>
        </w:rPr>
        <w:tab/>
        <w:t>Commentaire</w:t>
      </w:r>
    </w:p>
    <w:p w14:paraId="425E925C" w14:textId="77777777" w:rsidR="00D01ECD" w:rsidRPr="00336568" w:rsidRDefault="00D01ECD" w:rsidP="00D01ECD">
      <w:pPr>
        <w:pStyle w:val="SingleTxtG"/>
        <w:rPr>
          <w:iCs/>
          <w:lang w:val="fr-CA"/>
        </w:rPr>
      </w:pPr>
      <w:r w:rsidRPr="00336568">
        <w:rPr>
          <w:lang w:val="fr-CA"/>
        </w:rPr>
        <w:t>1)</w:t>
      </w:r>
      <w:r w:rsidRPr="00336568">
        <w:rPr>
          <w:lang w:val="fr-CA"/>
        </w:rPr>
        <w:tab/>
        <w:t>Si l</w:t>
      </w:r>
      <w:r>
        <w:rPr>
          <w:lang w:val="fr-CA"/>
        </w:rPr>
        <w:t>’</w:t>
      </w:r>
      <w:r w:rsidRPr="00336568">
        <w:rPr>
          <w:lang w:val="fr-CA"/>
        </w:rPr>
        <w:t>utilisation équitable et raisonnable de l</w:t>
      </w:r>
      <w:r>
        <w:rPr>
          <w:lang w:val="fr-CA"/>
        </w:rPr>
        <w:t>’</w:t>
      </w:r>
      <w:r w:rsidRPr="00336568">
        <w:rPr>
          <w:lang w:val="fr-CA"/>
        </w:rPr>
        <w:t>atmosphère est un élément important de la durabilité, comme le fait ressortir le projet de directive 5, il est néanmoins important d</w:t>
      </w:r>
      <w:r>
        <w:rPr>
          <w:lang w:val="fr-CA"/>
        </w:rPr>
        <w:t>’</w:t>
      </w:r>
      <w:r w:rsidRPr="00336568">
        <w:rPr>
          <w:lang w:val="fr-CA"/>
        </w:rPr>
        <w:t>en faire un principe autonome</w:t>
      </w:r>
      <w:r w:rsidRPr="00F22925">
        <w:rPr>
          <w:lang w:val="fr-CA"/>
        </w:rPr>
        <w:t>.</w:t>
      </w:r>
      <w:r w:rsidRPr="00336568">
        <w:rPr>
          <w:lang w:val="fr-CA"/>
        </w:rPr>
        <w:t xml:space="preserve"> Comme celle du projet de directive 5, la formulation </w:t>
      </w:r>
      <w:r>
        <w:rPr>
          <w:lang w:val="fr-CA"/>
        </w:rPr>
        <w:t>du projet de</w:t>
      </w:r>
      <w:r w:rsidRPr="00336568">
        <w:rPr>
          <w:lang w:val="fr-CA"/>
        </w:rPr>
        <w:t xml:space="preserve"> directive </w:t>
      </w:r>
      <w:r>
        <w:rPr>
          <w:lang w:val="fr-CA"/>
        </w:rPr>
        <w:t xml:space="preserve">6 </w:t>
      </w:r>
      <w:r w:rsidRPr="00336568">
        <w:rPr>
          <w:lang w:val="fr-CA"/>
        </w:rPr>
        <w:t>est abstraite et très générale</w:t>
      </w:r>
      <w:r w:rsidRPr="00F22925">
        <w:rPr>
          <w:lang w:val="fr-CA"/>
        </w:rPr>
        <w:t>.</w:t>
      </w:r>
      <w:r w:rsidRPr="00336568">
        <w:rPr>
          <w:lang w:val="fr-CA"/>
        </w:rPr>
        <w:t xml:space="preserve"> </w:t>
      </w:r>
    </w:p>
    <w:p w14:paraId="4121A266" w14:textId="77777777" w:rsidR="00D01ECD" w:rsidRPr="00336568" w:rsidRDefault="00D01ECD" w:rsidP="00D01ECD">
      <w:pPr>
        <w:pStyle w:val="SingleTxtG"/>
        <w:rPr>
          <w:lang w:val="fr-CA"/>
        </w:rPr>
      </w:pPr>
      <w:r w:rsidRPr="00336568">
        <w:rPr>
          <w:lang w:val="fr-CA"/>
        </w:rPr>
        <w:t>2)</w:t>
      </w:r>
      <w:r w:rsidRPr="00336568">
        <w:rPr>
          <w:lang w:val="fr-CA"/>
        </w:rPr>
        <w:tab/>
        <w:t>Le projet de directive est formulé en termes généraux dans le souci d</w:t>
      </w:r>
      <w:r>
        <w:rPr>
          <w:lang w:val="fr-CA"/>
        </w:rPr>
        <w:t>’</w:t>
      </w:r>
      <w:r w:rsidRPr="00336568">
        <w:rPr>
          <w:lang w:val="fr-CA"/>
        </w:rPr>
        <w:t>appliquer le principe d</w:t>
      </w:r>
      <w:r>
        <w:rPr>
          <w:lang w:val="fr-CA"/>
        </w:rPr>
        <w:t>’</w:t>
      </w:r>
      <w:r w:rsidRPr="00336568">
        <w:rPr>
          <w:lang w:val="fr-CA"/>
        </w:rPr>
        <w:t>équité</w:t>
      </w:r>
      <w:r w:rsidRPr="00F22830">
        <w:rPr>
          <w:rStyle w:val="FootnoteReference"/>
        </w:rPr>
        <w:footnoteReference w:id="98"/>
      </w:r>
      <w:r w:rsidRPr="00336568">
        <w:rPr>
          <w:lang w:val="fr-CA"/>
        </w:rPr>
        <w:t xml:space="preserve"> à la protection de l</w:t>
      </w:r>
      <w:r>
        <w:rPr>
          <w:lang w:val="fr-CA"/>
        </w:rPr>
        <w:t>’</w:t>
      </w:r>
      <w:r w:rsidRPr="00336568">
        <w:rPr>
          <w:lang w:val="fr-CA"/>
        </w:rPr>
        <w:t xml:space="preserve">atmosphère en tant que ressource naturelle devant </w:t>
      </w:r>
      <w:r w:rsidRPr="00336568">
        <w:rPr>
          <w:lang w:val="fr-CA"/>
        </w:rPr>
        <w:lastRenderedPageBreak/>
        <w:t>être partagée par tous</w:t>
      </w:r>
      <w:r w:rsidRPr="00F22925">
        <w:rPr>
          <w:lang w:val="fr-CA"/>
        </w:rPr>
        <w:t>.</w:t>
      </w:r>
      <w:r w:rsidRPr="00336568">
        <w:rPr>
          <w:lang w:val="fr-CA"/>
        </w:rPr>
        <w:t xml:space="preserve"> La première partie de la phrase porte sur l</w:t>
      </w:r>
      <w:r>
        <w:rPr>
          <w:lang w:val="fr-CA"/>
        </w:rPr>
        <w:t>’</w:t>
      </w:r>
      <w:r w:rsidRPr="00336568">
        <w:rPr>
          <w:lang w:val="fr-CA"/>
        </w:rPr>
        <w:t>utilisation « équitable et raisonnable »</w:t>
      </w:r>
      <w:r w:rsidRPr="00F22925">
        <w:rPr>
          <w:lang w:val="fr-CA"/>
        </w:rPr>
        <w:t>.</w:t>
      </w:r>
      <w:r w:rsidRPr="00336568">
        <w:rPr>
          <w:lang w:val="fr-CA"/>
        </w:rPr>
        <w:t xml:space="preserve"> La formulation « l</w:t>
      </w:r>
      <w:r>
        <w:rPr>
          <w:lang w:val="fr-CA"/>
        </w:rPr>
        <w:t>’</w:t>
      </w:r>
      <w:r w:rsidRPr="00336568">
        <w:rPr>
          <w:lang w:val="fr-CA"/>
        </w:rPr>
        <w:t>atmosphère devrait être utilisée d</w:t>
      </w:r>
      <w:r>
        <w:rPr>
          <w:lang w:val="fr-CA"/>
        </w:rPr>
        <w:t>’</w:t>
      </w:r>
      <w:r w:rsidRPr="00336568">
        <w:rPr>
          <w:lang w:val="fr-CA"/>
        </w:rPr>
        <w:t>une manière équitable et raisonnable » est en partie tirée de l</w:t>
      </w:r>
      <w:r>
        <w:rPr>
          <w:lang w:val="fr-CA"/>
        </w:rPr>
        <w:t>’</w:t>
      </w:r>
      <w:r w:rsidRPr="00336568">
        <w:rPr>
          <w:lang w:val="fr-CA"/>
        </w:rPr>
        <w:t>article 5 de la Convention sur le droit relatif aux utilisations des cours d</w:t>
      </w:r>
      <w:r>
        <w:rPr>
          <w:lang w:val="fr-CA"/>
        </w:rPr>
        <w:t>’</w:t>
      </w:r>
      <w:r w:rsidRPr="00336568">
        <w:rPr>
          <w:lang w:val="fr-CA"/>
        </w:rPr>
        <w:t>eau internationaux à des fins autres que la navigation et de l</w:t>
      </w:r>
      <w:r>
        <w:rPr>
          <w:lang w:val="fr-CA"/>
        </w:rPr>
        <w:t>’</w:t>
      </w:r>
      <w:r w:rsidRPr="00336568">
        <w:rPr>
          <w:lang w:val="fr-CA"/>
        </w:rPr>
        <w:t>article 4 du projet d</w:t>
      </w:r>
      <w:r>
        <w:rPr>
          <w:lang w:val="fr-CA"/>
        </w:rPr>
        <w:t>’</w:t>
      </w:r>
      <w:r w:rsidRPr="00336568">
        <w:rPr>
          <w:lang w:val="fr-CA"/>
        </w:rPr>
        <w:t>articles sur le droit des aquifères transfrontières</w:t>
      </w:r>
      <w:r w:rsidRPr="00F22925">
        <w:rPr>
          <w:lang w:val="fr-CA"/>
        </w:rPr>
        <w:t>.</w:t>
      </w:r>
      <w:r w:rsidRPr="00336568">
        <w:rPr>
          <w:lang w:val="fr-CA"/>
        </w:rPr>
        <w:t xml:space="preserve"> Elle </w:t>
      </w:r>
      <w:r>
        <w:rPr>
          <w:lang w:val="fr-CA"/>
        </w:rPr>
        <w:t>reflète</w:t>
      </w:r>
      <w:r w:rsidRPr="00336568">
        <w:rPr>
          <w:lang w:val="fr-CA"/>
        </w:rPr>
        <w:t xml:space="preserve"> la mise en balance de différents intérêts et la prise en considération de tous les facteurs pertinents, qui peuvent être particuliers à la pollution atmosphérique ou à la dégradation atmosphérique</w:t>
      </w:r>
      <w:r w:rsidRPr="00F22925">
        <w:rPr>
          <w:lang w:val="fr-CA"/>
        </w:rPr>
        <w:t>.</w:t>
      </w:r>
    </w:p>
    <w:p w14:paraId="425FE7C4" w14:textId="77777777" w:rsidR="00D01ECD" w:rsidRPr="00336568" w:rsidRDefault="00D01ECD" w:rsidP="00D01ECD">
      <w:pPr>
        <w:pStyle w:val="SingleTxtG"/>
        <w:rPr>
          <w:lang w:val="fr-CA"/>
        </w:rPr>
      </w:pPr>
      <w:r w:rsidRPr="00336568">
        <w:rPr>
          <w:lang w:val="fr-CA"/>
        </w:rPr>
        <w:t>3)</w:t>
      </w:r>
      <w:r w:rsidRPr="00336568">
        <w:rPr>
          <w:lang w:val="fr-CA"/>
        </w:rPr>
        <w:tab/>
        <w:t xml:space="preserve">La deuxième partie </w:t>
      </w:r>
      <w:r>
        <w:rPr>
          <w:lang w:val="fr-CA"/>
        </w:rPr>
        <w:t>du projet de</w:t>
      </w:r>
      <w:r w:rsidRPr="00336568">
        <w:rPr>
          <w:lang w:val="fr-CA"/>
        </w:rPr>
        <w:t xml:space="preserve"> directive </w:t>
      </w:r>
      <w:r>
        <w:rPr>
          <w:lang w:val="fr-CA"/>
        </w:rPr>
        <w:t>concerne l’</w:t>
      </w:r>
      <w:r w:rsidRPr="00336568">
        <w:rPr>
          <w:lang w:val="fr-CA"/>
        </w:rPr>
        <w:t xml:space="preserve">équité </w:t>
      </w:r>
      <w:proofErr w:type="spellStart"/>
      <w:r w:rsidRPr="00336568">
        <w:rPr>
          <w:lang w:val="fr-CA"/>
        </w:rPr>
        <w:t>intragénérationnelle</w:t>
      </w:r>
      <w:proofErr w:type="spellEnd"/>
      <w:r w:rsidRPr="00336568">
        <w:rPr>
          <w:lang w:val="fr-CA"/>
        </w:rPr>
        <w:t xml:space="preserve"> et </w:t>
      </w:r>
      <w:r>
        <w:rPr>
          <w:lang w:val="fr-CA"/>
        </w:rPr>
        <w:t xml:space="preserve">l’équité </w:t>
      </w:r>
      <w:r w:rsidRPr="00336568">
        <w:rPr>
          <w:lang w:val="fr-CA"/>
        </w:rPr>
        <w:t>intergénérationnelle</w:t>
      </w:r>
      <w:r w:rsidRPr="00F22830">
        <w:rPr>
          <w:rStyle w:val="FootnoteReference"/>
        </w:rPr>
        <w:footnoteReference w:id="99"/>
      </w:r>
      <w:r w:rsidRPr="00F22925">
        <w:rPr>
          <w:lang w:val="fr-CA"/>
        </w:rPr>
        <w:t>.</w:t>
      </w:r>
      <w:r w:rsidRPr="00336568">
        <w:rPr>
          <w:lang w:val="fr-CA"/>
        </w:rPr>
        <w:t xml:space="preserve"> Afin de faire ressortir le lien entre </w:t>
      </w:r>
      <w:r>
        <w:rPr>
          <w:lang w:val="fr-CA"/>
        </w:rPr>
        <w:t>l’une et l’autre</w:t>
      </w:r>
      <w:r w:rsidRPr="00336568">
        <w:rPr>
          <w:lang w:val="fr-CA"/>
        </w:rPr>
        <w:t>, on a choisi d</w:t>
      </w:r>
      <w:r>
        <w:rPr>
          <w:lang w:val="fr-CA"/>
        </w:rPr>
        <w:t>’</w:t>
      </w:r>
      <w:r w:rsidRPr="00336568">
        <w:rPr>
          <w:lang w:val="fr-CA"/>
        </w:rPr>
        <w:t xml:space="preserve">employer </w:t>
      </w:r>
      <w:r>
        <w:rPr>
          <w:lang w:val="fr-CA"/>
        </w:rPr>
        <w:t>les termes</w:t>
      </w:r>
      <w:r w:rsidRPr="00336568">
        <w:rPr>
          <w:lang w:val="fr-CA"/>
        </w:rPr>
        <w:t xml:space="preserve"> « en tenant pleinement compte des intérêts des générations présentes et futures » plutôt que « pour le bénéfice des générations présentes et futures »</w:t>
      </w:r>
      <w:r w:rsidRPr="00F22925">
        <w:rPr>
          <w:lang w:val="fr-CA"/>
        </w:rPr>
        <w:t>.</w:t>
      </w:r>
      <w:r w:rsidRPr="00336568">
        <w:rPr>
          <w:lang w:val="fr-CA"/>
        </w:rPr>
        <w:t xml:space="preserve"> La formulation « des intérêts des » a été préférée à « pour le bénéfice des » parce qu</w:t>
      </w:r>
      <w:r>
        <w:rPr>
          <w:lang w:val="fr-CA"/>
        </w:rPr>
        <w:t>’</w:t>
      </w:r>
      <w:r w:rsidRPr="00336568">
        <w:rPr>
          <w:lang w:val="fr-CA"/>
        </w:rPr>
        <w:t>on souhaitait mettre en évidence la nature intégrée de l</w:t>
      </w:r>
      <w:r>
        <w:rPr>
          <w:lang w:val="fr-CA"/>
        </w:rPr>
        <w:t>’</w:t>
      </w:r>
      <w:r w:rsidRPr="00336568">
        <w:rPr>
          <w:lang w:val="fr-CA"/>
        </w:rPr>
        <w:t>atmosphère, dont l</w:t>
      </w:r>
      <w:proofErr w:type="gramStart"/>
      <w:r>
        <w:rPr>
          <w:lang w:val="fr-CA"/>
        </w:rPr>
        <w:t>’</w:t>
      </w:r>
      <w:r w:rsidRPr="00336568">
        <w:rPr>
          <w:lang w:val="fr-CA"/>
        </w:rPr>
        <w:t>«</w:t>
      </w:r>
      <w:proofErr w:type="gramEnd"/>
      <w:r w:rsidRPr="00336568">
        <w:rPr>
          <w:lang w:val="fr-CA"/>
        </w:rPr>
        <w:t> exploitation » doit tenir compte de l</w:t>
      </w:r>
      <w:r>
        <w:rPr>
          <w:lang w:val="fr-CA"/>
        </w:rPr>
        <w:t>’</w:t>
      </w:r>
      <w:r w:rsidRPr="00336568">
        <w:rPr>
          <w:lang w:val="fr-CA"/>
        </w:rPr>
        <w:t>équilibre entre les intérêts afin d</w:t>
      </w:r>
      <w:r>
        <w:rPr>
          <w:lang w:val="fr-CA"/>
        </w:rPr>
        <w:t>’</w:t>
      </w:r>
      <w:r w:rsidRPr="00336568">
        <w:rPr>
          <w:lang w:val="fr-CA"/>
        </w:rPr>
        <w:t>assurer la survie des organismes vivant sur la Terre</w:t>
      </w:r>
      <w:r w:rsidRPr="00F22925">
        <w:rPr>
          <w:lang w:val="fr-CA"/>
        </w:rPr>
        <w:t>.</w:t>
      </w:r>
      <w:r w:rsidRPr="00336568">
        <w:rPr>
          <w:lang w:val="fr-CA"/>
        </w:rPr>
        <w:t xml:space="preserve"> Le mot « pleinement » </w:t>
      </w:r>
      <w:r>
        <w:rPr>
          <w:lang w:val="fr-CA"/>
        </w:rPr>
        <w:t xml:space="preserve">vient </w:t>
      </w:r>
      <w:r w:rsidRPr="00336568">
        <w:rPr>
          <w:lang w:val="fr-CA"/>
        </w:rPr>
        <w:t>montrer l</w:t>
      </w:r>
      <w:r>
        <w:rPr>
          <w:lang w:val="fr-CA"/>
        </w:rPr>
        <w:t>’</w:t>
      </w:r>
      <w:r w:rsidRPr="00336568">
        <w:rPr>
          <w:lang w:val="fr-CA"/>
        </w:rPr>
        <w:t>importance qu</w:t>
      </w:r>
      <w:r>
        <w:rPr>
          <w:lang w:val="fr-CA"/>
        </w:rPr>
        <w:t>’</w:t>
      </w:r>
      <w:r w:rsidRPr="00336568">
        <w:rPr>
          <w:lang w:val="fr-CA"/>
        </w:rPr>
        <w:t xml:space="preserve">il y a à prendre en compte différents facteurs et éléments, et doit </w:t>
      </w:r>
      <w:r>
        <w:rPr>
          <w:lang w:val="fr-CA"/>
        </w:rPr>
        <w:t xml:space="preserve">être lu </w:t>
      </w:r>
      <w:r w:rsidRPr="00336568">
        <w:rPr>
          <w:lang w:val="fr-CA"/>
        </w:rPr>
        <w:t xml:space="preserve">à la lumière du septième alinéa du préambule, où il est reconnu </w:t>
      </w:r>
      <w:r w:rsidRPr="00336568">
        <w:rPr>
          <w:color w:val="333333"/>
          <w:szCs w:val="21"/>
          <w:shd w:val="clear" w:color="auto" w:fill="FFFFFF"/>
          <w:lang w:val="fr-CA"/>
        </w:rPr>
        <w:t>qu</w:t>
      </w:r>
      <w:r>
        <w:rPr>
          <w:color w:val="333333"/>
          <w:szCs w:val="21"/>
          <w:shd w:val="clear" w:color="auto" w:fill="FFFFFF"/>
          <w:lang w:val="fr-CA"/>
        </w:rPr>
        <w:t>’</w:t>
      </w:r>
      <w:r w:rsidRPr="00336568">
        <w:rPr>
          <w:color w:val="333333"/>
          <w:szCs w:val="21"/>
          <w:shd w:val="clear" w:color="auto" w:fill="FFFFFF"/>
          <w:lang w:val="fr-CA"/>
        </w:rPr>
        <w:t>il convient de tenir pleinement compte du fait qu</w:t>
      </w:r>
      <w:r>
        <w:rPr>
          <w:color w:val="333333"/>
          <w:szCs w:val="21"/>
          <w:shd w:val="clear" w:color="auto" w:fill="FFFFFF"/>
          <w:lang w:val="fr-CA"/>
        </w:rPr>
        <w:t>’</w:t>
      </w:r>
      <w:r w:rsidRPr="00336568">
        <w:rPr>
          <w:color w:val="333333"/>
          <w:szCs w:val="21"/>
          <w:shd w:val="clear" w:color="auto" w:fill="FFFFFF"/>
          <w:lang w:val="fr-CA"/>
        </w:rPr>
        <w:t>il est dans l</w:t>
      </w:r>
      <w:r>
        <w:rPr>
          <w:color w:val="333333"/>
          <w:szCs w:val="21"/>
          <w:shd w:val="clear" w:color="auto" w:fill="FFFFFF"/>
          <w:lang w:val="fr-CA"/>
        </w:rPr>
        <w:t>’</w:t>
      </w:r>
      <w:r w:rsidRPr="00336568">
        <w:rPr>
          <w:color w:val="333333"/>
          <w:szCs w:val="21"/>
          <w:shd w:val="clear" w:color="auto" w:fill="FFFFFF"/>
          <w:lang w:val="fr-CA"/>
        </w:rPr>
        <w:t>intérêt des générations futures de préserver durablement la qualité de l</w:t>
      </w:r>
      <w:r>
        <w:rPr>
          <w:color w:val="333333"/>
          <w:szCs w:val="21"/>
          <w:shd w:val="clear" w:color="auto" w:fill="FFFFFF"/>
          <w:lang w:val="fr-CA"/>
        </w:rPr>
        <w:t>’</w:t>
      </w:r>
      <w:r w:rsidRPr="00336568">
        <w:rPr>
          <w:color w:val="333333"/>
          <w:szCs w:val="21"/>
          <w:shd w:val="clear" w:color="auto" w:fill="FFFFFF"/>
          <w:lang w:val="fr-CA"/>
        </w:rPr>
        <w:t>atmosphère</w:t>
      </w:r>
      <w:r w:rsidRPr="00F22925">
        <w:rPr>
          <w:color w:val="333333"/>
          <w:szCs w:val="21"/>
          <w:shd w:val="clear" w:color="auto" w:fill="FFFFFF"/>
          <w:lang w:val="fr-CA"/>
        </w:rPr>
        <w:t>.</w:t>
      </w:r>
    </w:p>
    <w:p w14:paraId="744B1355" w14:textId="77777777" w:rsidR="00D01ECD" w:rsidRPr="00E164D9" w:rsidRDefault="00D01ECD" w:rsidP="00D01ECD">
      <w:pPr>
        <w:pStyle w:val="H23G"/>
        <w:ind w:left="1701" w:hanging="1701"/>
        <w:rPr>
          <w:lang w:val="fr-FR"/>
        </w:rPr>
      </w:pPr>
      <w:r w:rsidRPr="00E164D9">
        <w:rPr>
          <w:lang w:val="fr-FR"/>
        </w:rPr>
        <w:tab/>
      </w:r>
      <w:r>
        <w:rPr>
          <w:lang w:val="fr-FR"/>
        </w:rPr>
        <w:tab/>
      </w:r>
      <w:r w:rsidRPr="00E164D9">
        <w:rPr>
          <w:lang w:val="fr-FR"/>
        </w:rPr>
        <w:tab/>
      </w:r>
      <w:r>
        <w:rPr>
          <w:lang w:val="fr-FR"/>
        </w:rPr>
        <w:t>Directive</w:t>
      </w:r>
      <w:r w:rsidRPr="00E164D9">
        <w:rPr>
          <w:lang w:val="fr-FR"/>
        </w:rPr>
        <w:t xml:space="preserve"> 7 </w:t>
      </w:r>
      <w:r w:rsidRPr="00E164D9">
        <w:rPr>
          <w:lang w:val="fr-FR"/>
        </w:rPr>
        <w:br/>
      </w:r>
      <w:r>
        <w:rPr>
          <w:lang w:val="fr-FR"/>
        </w:rPr>
        <w:t>Modification intentionnelle à grande échelle de l’atmosphère</w:t>
      </w:r>
    </w:p>
    <w:p w14:paraId="7F318881" w14:textId="77777777" w:rsidR="00D01ECD" w:rsidRPr="00E164D9" w:rsidRDefault="00D01ECD" w:rsidP="00D01ECD">
      <w:pPr>
        <w:pStyle w:val="SingleTxtG"/>
        <w:ind w:left="1701" w:firstLine="567"/>
        <w:rPr>
          <w:lang w:val="fr-FR"/>
        </w:rPr>
      </w:pPr>
      <w:r w:rsidRPr="009E2208">
        <w:rPr>
          <w:lang w:val="fr-FR"/>
        </w:rPr>
        <w:t>Les activités visant à la modification intentionnelle à grande échelle de l</w:t>
      </w:r>
      <w:r>
        <w:rPr>
          <w:lang w:val="fr-FR"/>
        </w:rPr>
        <w:t>’</w:t>
      </w:r>
      <w:r w:rsidRPr="009E2208">
        <w:rPr>
          <w:lang w:val="fr-FR"/>
        </w:rPr>
        <w:t>atmosphère ne devraient être menées qu</w:t>
      </w:r>
      <w:r>
        <w:rPr>
          <w:lang w:val="fr-FR"/>
        </w:rPr>
        <w:t>’</w:t>
      </w:r>
      <w:r w:rsidRPr="009E2208">
        <w:rPr>
          <w:lang w:val="fr-FR"/>
        </w:rPr>
        <w:t>avec prudence et précaution, et sous réserve de toute règle applicable de droit international, y compris les règles relatives à l</w:t>
      </w:r>
      <w:r>
        <w:rPr>
          <w:lang w:val="fr-FR"/>
        </w:rPr>
        <w:t>’</w:t>
      </w:r>
      <w:r w:rsidRPr="009E2208">
        <w:rPr>
          <w:lang w:val="fr-FR"/>
        </w:rPr>
        <w:t>évaluation de l</w:t>
      </w:r>
      <w:r>
        <w:rPr>
          <w:lang w:val="fr-FR"/>
        </w:rPr>
        <w:t>’</w:t>
      </w:r>
      <w:r w:rsidRPr="009E2208">
        <w:rPr>
          <w:lang w:val="fr-FR"/>
        </w:rPr>
        <w:t>impact sur l</w:t>
      </w:r>
      <w:r>
        <w:rPr>
          <w:lang w:val="fr-FR"/>
        </w:rPr>
        <w:t>’</w:t>
      </w:r>
      <w:r w:rsidRPr="009E2208">
        <w:rPr>
          <w:lang w:val="fr-FR"/>
        </w:rPr>
        <w:t>environnement</w:t>
      </w:r>
      <w:r w:rsidRPr="00F22925">
        <w:rPr>
          <w:lang w:val="fr-FR"/>
        </w:rPr>
        <w:t>.</w:t>
      </w:r>
    </w:p>
    <w:p w14:paraId="2A4EBAF8" w14:textId="77777777" w:rsidR="00D01ECD" w:rsidRPr="00336568" w:rsidRDefault="00D01ECD" w:rsidP="00D01ECD">
      <w:pPr>
        <w:pStyle w:val="H23G"/>
        <w:rPr>
          <w:lang w:val="fr-CA"/>
        </w:rPr>
      </w:pPr>
      <w:r w:rsidRPr="00336568">
        <w:rPr>
          <w:lang w:val="fr-CA"/>
        </w:rPr>
        <w:tab/>
      </w:r>
      <w:r w:rsidRPr="00336568">
        <w:rPr>
          <w:lang w:val="fr-CA"/>
        </w:rPr>
        <w:tab/>
        <w:t>Commentaire</w:t>
      </w:r>
    </w:p>
    <w:p w14:paraId="29678A8C" w14:textId="77777777" w:rsidR="00D01ECD" w:rsidRPr="00336568" w:rsidRDefault="00D01ECD" w:rsidP="00D01ECD">
      <w:pPr>
        <w:pStyle w:val="SingleTxtG"/>
        <w:rPr>
          <w:lang w:val="fr-CA"/>
        </w:rPr>
      </w:pPr>
      <w:r w:rsidRPr="00336568">
        <w:rPr>
          <w:lang w:val="fr-CA"/>
        </w:rPr>
        <w:t>1)</w:t>
      </w:r>
      <w:r w:rsidRPr="00336568">
        <w:rPr>
          <w:lang w:val="fr-CA"/>
        </w:rPr>
        <w:tab/>
        <w:t>Le projet de directive 7 porte sur les activités dont l</w:t>
      </w:r>
      <w:r>
        <w:rPr>
          <w:lang w:val="fr-CA"/>
        </w:rPr>
        <w:t>’</w:t>
      </w:r>
      <w:r w:rsidRPr="00336568">
        <w:rPr>
          <w:lang w:val="fr-CA"/>
        </w:rPr>
        <w:t>objectif est de modifier les conditions atmosphériques</w:t>
      </w:r>
      <w:r w:rsidRPr="00F22925">
        <w:rPr>
          <w:lang w:val="fr-CA"/>
        </w:rPr>
        <w:t>.</w:t>
      </w:r>
      <w:r w:rsidRPr="00336568">
        <w:rPr>
          <w:lang w:val="fr-CA"/>
        </w:rPr>
        <w:t xml:space="preserve"> Comme l</w:t>
      </w:r>
      <w:r>
        <w:rPr>
          <w:lang w:val="fr-CA"/>
        </w:rPr>
        <w:t>’</w:t>
      </w:r>
      <w:r w:rsidRPr="00336568">
        <w:rPr>
          <w:lang w:val="fr-CA"/>
        </w:rPr>
        <w:t>indique le titre du projet, celui-ci ne vise que la modification intentionnelle à grande échelle de l</w:t>
      </w:r>
      <w:r>
        <w:rPr>
          <w:lang w:val="fr-CA"/>
        </w:rPr>
        <w:t>’</w:t>
      </w:r>
      <w:r w:rsidRPr="00336568">
        <w:rPr>
          <w:lang w:val="fr-CA"/>
        </w:rPr>
        <w:t>atmosphère</w:t>
      </w:r>
      <w:r w:rsidRPr="00F22925">
        <w:rPr>
          <w:lang w:val="fr-CA"/>
        </w:rPr>
        <w:t>.</w:t>
      </w:r>
    </w:p>
    <w:p w14:paraId="043AD728" w14:textId="77777777" w:rsidR="00D01ECD" w:rsidRPr="00336568" w:rsidRDefault="00D01ECD" w:rsidP="00D01ECD">
      <w:pPr>
        <w:pStyle w:val="SingleTxtG"/>
        <w:rPr>
          <w:spacing w:val="1"/>
          <w:lang w:val="fr-CA"/>
        </w:rPr>
      </w:pPr>
      <w:r w:rsidRPr="00336568">
        <w:rPr>
          <w:lang w:val="fr-CA"/>
        </w:rPr>
        <w:t>2)</w:t>
      </w:r>
      <w:r w:rsidRPr="00336568">
        <w:rPr>
          <w:lang w:val="fr-CA"/>
        </w:rPr>
        <w:tab/>
      </w:r>
      <w:r w:rsidRPr="00336568">
        <w:rPr>
          <w:spacing w:val="1"/>
          <w:lang w:val="fr-CA"/>
        </w:rPr>
        <w:t>Le membre de phrase « activités visant à la modification intentionnelle à grande échelle de l</w:t>
      </w:r>
      <w:r>
        <w:rPr>
          <w:spacing w:val="1"/>
          <w:lang w:val="fr-CA"/>
        </w:rPr>
        <w:t>’</w:t>
      </w:r>
      <w:r w:rsidRPr="00336568">
        <w:rPr>
          <w:spacing w:val="1"/>
          <w:lang w:val="fr-CA"/>
        </w:rPr>
        <w:t>atmosphère » est partiellement repris de la définition des « techniques de modification de l</w:t>
      </w:r>
      <w:r>
        <w:rPr>
          <w:spacing w:val="1"/>
          <w:lang w:val="fr-CA"/>
        </w:rPr>
        <w:t>’</w:t>
      </w:r>
      <w:r w:rsidRPr="00336568">
        <w:rPr>
          <w:spacing w:val="1"/>
          <w:lang w:val="fr-CA"/>
        </w:rPr>
        <w:t>environnement » employée dans la Convention sur l</w:t>
      </w:r>
      <w:r>
        <w:rPr>
          <w:spacing w:val="1"/>
          <w:lang w:val="fr-CA"/>
        </w:rPr>
        <w:t>’</w:t>
      </w:r>
      <w:r w:rsidRPr="00336568">
        <w:rPr>
          <w:spacing w:val="1"/>
          <w:lang w:val="fr-CA"/>
        </w:rPr>
        <w:t>interdiction d</w:t>
      </w:r>
      <w:r>
        <w:rPr>
          <w:spacing w:val="1"/>
          <w:lang w:val="fr-CA"/>
        </w:rPr>
        <w:t>’</w:t>
      </w:r>
      <w:r w:rsidRPr="00336568">
        <w:rPr>
          <w:spacing w:val="1"/>
          <w:lang w:val="fr-CA"/>
        </w:rPr>
        <w:t>utiliser des techniques de modification de l</w:t>
      </w:r>
      <w:r>
        <w:rPr>
          <w:spacing w:val="1"/>
          <w:lang w:val="fr-CA"/>
        </w:rPr>
        <w:t>’</w:t>
      </w:r>
      <w:r w:rsidRPr="00336568">
        <w:rPr>
          <w:spacing w:val="1"/>
          <w:lang w:val="fr-CA"/>
        </w:rPr>
        <w:t>environnement à des fins militaires ou toutes autres fins hostiles</w:t>
      </w:r>
      <w:r w:rsidRPr="00F22830">
        <w:rPr>
          <w:rStyle w:val="FootnoteReference"/>
        </w:rPr>
        <w:footnoteReference w:id="100"/>
      </w:r>
      <w:r w:rsidRPr="00336568">
        <w:rPr>
          <w:spacing w:val="1"/>
          <w:lang w:val="fr-CA"/>
        </w:rPr>
        <w:t xml:space="preserve"> pour désigner les techniques ayant pour objet de modifier − grâce à </w:t>
      </w:r>
      <w:r w:rsidRPr="00336568">
        <w:rPr>
          <w:lang w:val="fr-CA"/>
        </w:rPr>
        <w:t>une manipulation délibérée de processus naturels − la dynamique, la composition ou la structure de la Terre, y compris ses biotes, sa lithosphère, son hydrosphère et son atmosphère, ou l</w:t>
      </w:r>
      <w:r>
        <w:rPr>
          <w:lang w:val="fr-CA"/>
        </w:rPr>
        <w:t>’</w:t>
      </w:r>
      <w:r w:rsidRPr="00336568">
        <w:rPr>
          <w:lang w:val="fr-CA"/>
        </w:rPr>
        <w:t>espace extra</w:t>
      </w:r>
      <w:r w:rsidRPr="00336568">
        <w:rPr>
          <w:lang w:val="fr-CA"/>
        </w:rPr>
        <w:noBreakHyphen/>
        <w:t>atmosphérique</w:t>
      </w:r>
      <w:r w:rsidRPr="00F22925">
        <w:rPr>
          <w:lang w:val="fr-CA"/>
        </w:rPr>
        <w:t>.</w:t>
      </w:r>
    </w:p>
    <w:p w14:paraId="605CD925" w14:textId="77777777" w:rsidR="00D01ECD" w:rsidRPr="00336568" w:rsidRDefault="00D01ECD" w:rsidP="00D01ECD">
      <w:pPr>
        <w:pStyle w:val="SingleTxtG"/>
        <w:rPr>
          <w:lang w:val="fr-CA"/>
        </w:rPr>
      </w:pPr>
      <w:r w:rsidRPr="00336568">
        <w:rPr>
          <w:lang w:val="fr-CA"/>
        </w:rPr>
        <w:t>3)</w:t>
      </w:r>
      <w:r w:rsidRPr="00336568">
        <w:rPr>
          <w:lang w:val="fr-CA"/>
        </w:rPr>
        <w:tab/>
        <w:t>Parmi ces activités figurent celles communément considérées comme relevant de la « géo-ingénierie », qui recouvre des méthodes et techniques visant à l</w:t>
      </w:r>
      <w:r>
        <w:rPr>
          <w:lang w:val="fr-CA"/>
        </w:rPr>
        <w:t>’</w:t>
      </w:r>
      <w:r w:rsidRPr="00336568">
        <w:rPr>
          <w:lang w:val="fr-CA"/>
        </w:rPr>
        <w:t xml:space="preserve">élimination du </w:t>
      </w:r>
      <w:r w:rsidRPr="00336568">
        <w:rPr>
          <w:lang w:val="fr-CA"/>
        </w:rPr>
        <w:lastRenderedPageBreak/>
        <w:t>dioxyde de carbone et à la gestion du rayonnement solaire</w:t>
      </w:r>
      <w:r w:rsidRPr="00F22830">
        <w:rPr>
          <w:rStyle w:val="FootnoteReference"/>
        </w:rPr>
        <w:footnoteReference w:id="101"/>
      </w:r>
      <w:r w:rsidRPr="00F22925">
        <w:rPr>
          <w:lang w:val="fr-CA"/>
        </w:rPr>
        <w:t>.</w:t>
      </w:r>
      <w:r w:rsidRPr="00336568">
        <w:rPr>
          <w:lang w:val="fr-CA"/>
        </w:rPr>
        <w:t xml:space="preserve"> Les activités relatives à l</w:t>
      </w:r>
      <w:r>
        <w:rPr>
          <w:lang w:val="fr-CA"/>
        </w:rPr>
        <w:t>’</w:t>
      </w:r>
      <w:r w:rsidRPr="00336568">
        <w:rPr>
          <w:lang w:val="fr-CA"/>
        </w:rPr>
        <w:t>élimination du dioxyde de carbone se pratiquent dans les océans et sur la surface terrestre et font intervenir des procédés techniques visant à éliminer ce dioxyde de l</w:t>
      </w:r>
      <w:r>
        <w:rPr>
          <w:lang w:val="fr-CA"/>
        </w:rPr>
        <w:t>’</w:t>
      </w:r>
      <w:r w:rsidRPr="00336568">
        <w:rPr>
          <w:lang w:val="fr-CA"/>
        </w:rPr>
        <w:t>atmosphère au moyen de puits naturels ou grâce au génie chimique</w:t>
      </w:r>
      <w:r w:rsidRPr="00F22925">
        <w:rPr>
          <w:lang w:val="fr-CA"/>
        </w:rPr>
        <w:t>.</w:t>
      </w:r>
      <w:r w:rsidRPr="00336568">
        <w:rPr>
          <w:lang w:val="fr-CA"/>
        </w:rPr>
        <w:t xml:space="preserve"> Parmi les procédés proposés, on peut citer la fixation du carbone du sol, la séquestration du carbone, le captage de l</w:t>
      </w:r>
      <w:r>
        <w:rPr>
          <w:lang w:val="fr-CA"/>
        </w:rPr>
        <w:t>’</w:t>
      </w:r>
      <w:r w:rsidRPr="00336568">
        <w:rPr>
          <w:lang w:val="fr-CA"/>
        </w:rPr>
        <w:t>air ambiant, la fertilisation des océans, l</w:t>
      </w:r>
      <w:r>
        <w:rPr>
          <w:lang w:val="fr-CA"/>
        </w:rPr>
        <w:t>’</w:t>
      </w:r>
      <w:r w:rsidRPr="00336568">
        <w:rPr>
          <w:lang w:val="fr-CA"/>
        </w:rPr>
        <w:t>augmentation de l</w:t>
      </w:r>
      <w:r>
        <w:rPr>
          <w:lang w:val="fr-CA"/>
        </w:rPr>
        <w:t>’</w:t>
      </w:r>
      <w:r w:rsidRPr="00336568">
        <w:rPr>
          <w:lang w:val="fr-CA"/>
        </w:rPr>
        <w:t>alcalinité des océans et l</w:t>
      </w:r>
      <w:r>
        <w:rPr>
          <w:lang w:val="fr-CA"/>
        </w:rPr>
        <w:t>’</w:t>
      </w:r>
      <w:r w:rsidRPr="00336568">
        <w:rPr>
          <w:lang w:val="fr-CA"/>
        </w:rPr>
        <w:t>amélioration de la résistance aux intempéries</w:t>
      </w:r>
      <w:r w:rsidRPr="00F22925">
        <w:rPr>
          <w:lang w:val="fr-CA"/>
        </w:rPr>
        <w:t>.</w:t>
      </w:r>
    </w:p>
    <w:p w14:paraId="65034272" w14:textId="77777777" w:rsidR="00D01ECD" w:rsidRPr="00336568" w:rsidRDefault="00D01ECD" w:rsidP="00D01ECD">
      <w:pPr>
        <w:pStyle w:val="SingleTxtG"/>
        <w:rPr>
          <w:lang w:val="fr-CA"/>
        </w:rPr>
      </w:pPr>
      <w:r w:rsidRPr="00336568">
        <w:rPr>
          <w:lang w:val="fr-CA"/>
        </w:rPr>
        <w:t>4)</w:t>
      </w:r>
      <w:r w:rsidRPr="00336568">
        <w:rPr>
          <w:lang w:val="fr-CA"/>
        </w:rPr>
        <w:tab/>
        <w:t>D</w:t>
      </w:r>
      <w:r>
        <w:rPr>
          <w:lang w:val="fr-CA"/>
        </w:rPr>
        <w:t>’</w:t>
      </w:r>
      <w:r w:rsidRPr="00336568">
        <w:rPr>
          <w:lang w:val="fr-CA"/>
        </w:rPr>
        <w:t>après les scientifiques, la gestion du rayonnement solaire doit permettre d</w:t>
      </w:r>
      <w:r>
        <w:rPr>
          <w:lang w:val="fr-CA"/>
        </w:rPr>
        <w:t>’</w:t>
      </w:r>
      <w:r w:rsidRPr="00336568">
        <w:rPr>
          <w:lang w:val="fr-CA"/>
        </w:rPr>
        <w:t>atténuer les effets négatifs des changements climatiques en réduisant intentionnellement les températures de la surface terrestre</w:t>
      </w:r>
      <w:r w:rsidRPr="00F22925">
        <w:rPr>
          <w:lang w:val="fr-CA"/>
        </w:rPr>
        <w:t>.</w:t>
      </w:r>
      <w:r w:rsidRPr="00336568">
        <w:rPr>
          <w:lang w:val="fr-CA"/>
        </w:rPr>
        <w:t xml:space="preserve"> Parmi les méthodes envisagées à cette fin, on peut citer « l</w:t>
      </w:r>
      <w:r>
        <w:rPr>
          <w:lang w:val="fr-CA"/>
        </w:rPr>
        <w:t>’</w:t>
      </w:r>
      <w:r w:rsidRPr="00336568">
        <w:rPr>
          <w:lang w:val="fr-CA"/>
        </w:rPr>
        <w:t>amélioration de l</w:t>
      </w:r>
      <w:r>
        <w:rPr>
          <w:lang w:val="fr-CA"/>
        </w:rPr>
        <w:t>’</w:t>
      </w:r>
      <w:r w:rsidRPr="00336568">
        <w:rPr>
          <w:lang w:val="fr-CA"/>
        </w:rPr>
        <w:t>albédo », qui consiste à accroître le pouvoir réfléchissant des nuages ou de la surface terrestre de manière à ce que la chaleur du soleil soit davantage réfléchie dans l</w:t>
      </w:r>
      <w:r>
        <w:rPr>
          <w:lang w:val="fr-CA"/>
        </w:rPr>
        <w:t>’</w:t>
      </w:r>
      <w:r w:rsidRPr="00336568">
        <w:rPr>
          <w:lang w:val="fr-CA"/>
        </w:rPr>
        <w:t>espace ; la méthode des aérosols atmosphériques, qui consiste à introduire de fines particules réfléchissantes dans la haute atmosphère afin que la lumière du soleil soit réfléchie avant d</w:t>
      </w:r>
      <w:r>
        <w:rPr>
          <w:lang w:val="fr-CA"/>
        </w:rPr>
        <w:t>’</w:t>
      </w:r>
      <w:r w:rsidRPr="00336568">
        <w:rPr>
          <w:lang w:val="fr-CA"/>
        </w:rPr>
        <w:t>avoir atteint la surface de la Terre ; et la méthode des réflecteurs spatiaux, qui consiste à bloquer une petite quantité de lumière solaire avant qu</w:t>
      </w:r>
      <w:r>
        <w:rPr>
          <w:lang w:val="fr-CA"/>
        </w:rPr>
        <w:t>’</w:t>
      </w:r>
      <w:r w:rsidRPr="00336568">
        <w:rPr>
          <w:lang w:val="fr-CA"/>
        </w:rPr>
        <w:t>elle n</w:t>
      </w:r>
      <w:r>
        <w:rPr>
          <w:lang w:val="fr-CA"/>
        </w:rPr>
        <w:t>’</w:t>
      </w:r>
      <w:r w:rsidRPr="00336568">
        <w:rPr>
          <w:lang w:val="fr-CA"/>
        </w:rPr>
        <w:t>atteigne la Terre</w:t>
      </w:r>
      <w:r w:rsidRPr="00F22925">
        <w:rPr>
          <w:lang w:val="fr-CA"/>
        </w:rPr>
        <w:t>.</w:t>
      </w:r>
    </w:p>
    <w:p w14:paraId="4918FFBB" w14:textId="77777777" w:rsidR="00D01ECD" w:rsidRPr="00336568" w:rsidRDefault="00D01ECD" w:rsidP="00D01ECD">
      <w:pPr>
        <w:pStyle w:val="SingleTxtG"/>
        <w:rPr>
          <w:lang w:val="fr-CA"/>
        </w:rPr>
      </w:pPr>
      <w:r w:rsidRPr="00336568">
        <w:rPr>
          <w:lang w:val="fr-CA"/>
        </w:rPr>
        <w:t>5)</w:t>
      </w:r>
      <w:r w:rsidRPr="00336568">
        <w:rPr>
          <w:lang w:val="fr-CA"/>
        </w:rPr>
        <w:tab/>
        <w:t>Le terme « activités » s</w:t>
      </w:r>
      <w:r>
        <w:rPr>
          <w:lang w:val="fr-CA"/>
        </w:rPr>
        <w:t>’</w:t>
      </w:r>
      <w:r w:rsidRPr="00336568">
        <w:rPr>
          <w:lang w:val="fr-CA"/>
        </w:rPr>
        <w:t>entend au sens large</w:t>
      </w:r>
      <w:r w:rsidRPr="00F22925">
        <w:rPr>
          <w:lang w:val="fr-CA"/>
        </w:rPr>
        <w:t>.</w:t>
      </w:r>
      <w:r w:rsidRPr="00336568">
        <w:rPr>
          <w:lang w:val="fr-CA"/>
        </w:rPr>
        <w:t xml:space="preserve"> Toutefois, certaines activités sont interdites par le droit international, notamment par la Convention sur l</w:t>
      </w:r>
      <w:r>
        <w:rPr>
          <w:lang w:val="fr-CA"/>
        </w:rPr>
        <w:t>’</w:t>
      </w:r>
      <w:r w:rsidRPr="00336568">
        <w:rPr>
          <w:lang w:val="fr-CA"/>
        </w:rPr>
        <w:t>interdiction d</w:t>
      </w:r>
      <w:r>
        <w:rPr>
          <w:lang w:val="fr-CA"/>
        </w:rPr>
        <w:t>’</w:t>
      </w:r>
      <w:r w:rsidRPr="00336568">
        <w:rPr>
          <w:lang w:val="fr-CA"/>
        </w:rPr>
        <w:t>utiliser des techniques de modification de l</w:t>
      </w:r>
      <w:r>
        <w:rPr>
          <w:lang w:val="fr-CA"/>
        </w:rPr>
        <w:t>’</w:t>
      </w:r>
      <w:r w:rsidRPr="00336568">
        <w:rPr>
          <w:lang w:val="fr-CA"/>
        </w:rPr>
        <w:t>environnement à des fins militaires ou toutes autres fins hostiles</w:t>
      </w:r>
      <w:r w:rsidRPr="00F22830">
        <w:rPr>
          <w:rStyle w:val="FootnoteReference"/>
        </w:rPr>
        <w:footnoteReference w:id="102"/>
      </w:r>
      <w:r w:rsidRPr="00336568">
        <w:rPr>
          <w:lang w:val="fr-CA"/>
        </w:rPr>
        <w:t xml:space="preserve"> et le Protocole additionnel I aux Conventions de Genève de 1949</w:t>
      </w:r>
      <w:r w:rsidRPr="00F22830">
        <w:rPr>
          <w:rStyle w:val="FootnoteReference"/>
        </w:rPr>
        <w:footnoteReference w:id="103"/>
      </w:r>
      <w:r w:rsidRPr="00336568">
        <w:rPr>
          <w:lang w:val="fr-CA"/>
        </w:rPr>
        <w:t xml:space="preserve">, et sont </w:t>
      </w:r>
      <w:r>
        <w:rPr>
          <w:lang w:val="fr-CA"/>
        </w:rPr>
        <w:t>de ce fait</w:t>
      </w:r>
      <w:r w:rsidRPr="00336568">
        <w:rPr>
          <w:lang w:val="fr-CA"/>
        </w:rPr>
        <w:t xml:space="preserve"> exclues du projet de directive</w:t>
      </w:r>
      <w:r w:rsidRPr="00F22925">
        <w:rPr>
          <w:lang w:val="fr-CA"/>
        </w:rPr>
        <w:t>.</w:t>
      </w:r>
      <w:r w:rsidRPr="00336568">
        <w:rPr>
          <w:lang w:val="fr-CA"/>
        </w:rPr>
        <w:t xml:space="preserve"> Celui-ci s</w:t>
      </w:r>
      <w:r>
        <w:rPr>
          <w:lang w:val="fr-CA"/>
        </w:rPr>
        <w:t>’</w:t>
      </w:r>
      <w:r w:rsidRPr="00336568">
        <w:rPr>
          <w:lang w:val="fr-CA"/>
        </w:rPr>
        <w:t>applique donc uniquement aux activités « non militaires »</w:t>
      </w:r>
      <w:r w:rsidRPr="00F22925">
        <w:rPr>
          <w:lang w:val="fr-CA"/>
        </w:rPr>
        <w:t>.</w:t>
      </w:r>
      <w:r w:rsidRPr="00336568">
        <w:rPr>
          <w:lang w:val="fr-CA"/>
        </w:rPr>
        <w:t xml:space="preserve"> Les activités militaires entraînant des modifications délibérées de l</w:t>
      </w:r>
      <w:r>
        <w:rPr>
          <w:lang w:val="fr-CA"/>
        </w:rPr>
        <w:t>’</w:t>
      </w:r>
      <w:r w:rsidRPr="00336568">
        <w:rPr>
          <w:lang w:val="fr-CA"/>
        </w:rPr>
        <w:t>atmosphère n</w:t>
      </w:r>
      <w:r>
        <w:rPr>
          <w:lang w:val="fr-CA"/>
        </w:rPr>
        <w:t>’</w:t>
      </w:r>
      <w:r w:rsidRPr="00336568">
        <w:rPr>
          <w:lang w:val="fr-CA"/>
        </w:rPr>
        <w:t>entrent pas dans son champ d</w:t>
      </w:r>
      <w:r>
        <w:rPr>
          <w:lang w:val="fr-CA"/>
        </w:rPr>
        <w:t>’</w:t>
      </w:r>
      <w:r w:rsidRPr="00336568">
        <w:rPr>
          <w:lang w:val="fr-CA"/>
        </w:rPr>
        <w:t>application</w:t>
      </w:r>
      <w:r w:rsidRPr="00F22925">
        <w:rPr>
          <w:lang w:val="fr-CA"/>
        </w:rPr>
        <w:t>.</w:t>
      </w:r>
    </w:p>
    <w:p w14:paraId="5F178D7C" w14:textId="77777777" w:rsidR="00D01ECD" w:rsidRPr="00336568" w:rsidRDefault="00D01ECD" w:rsidP="00D01ECD">
      <w:pPr>
        <w:pStyle w:val="SingleTxtG"/>
        <w:rPr>
          <w:spacing w:val="-2"/>
          <w:lang w:val="fr-CA"/>
        </w:rPr>
      </w:pPr>
      <w:r w:rsidRPr="00336568">
        <w:rPr>
          <w:spacing w:val="-2"/>
          <w:lang w:val="fr-CA"/>
        </w:rPr>
        <w:t>6)</w:t>
      </w:r>
      <w:r w:rsidRPr="00336568">
        <w:rPr>
          <w:spacing w:val="-2"/>
          <w:lang w:val="fr-CA"/>
        </w:rPr>
        <w:tab/>
      </w:r>
      <w:r>
        <w:rPr>
          <w:spacing w:val="-2"/>
          <w:lang w:val="fr-CA"/>
        </w:rPr>
        <w:t>Aussi, d’</w:t>
      </w:r>
      <w:r w:rsidRPr="00336568">
        <w:rPr>
          <w:spacing w:val="-2"/>
          <w:lang w:val="fr-CA"/>
        </w:rPr>
        <w:t xml:space="preserve">autres activités </w:t>
      </w:r>
      <w:r>
        <w:rPr>
          <w:spacing w:val="-2"/>
          <w:lang w:val="fr-CA"/>
        </w:rPr>
        <w:t>sont régies par divers mécanismes</w:t>
      </w:r>
      <w:r w:rsidRPr="00F22925">
        <w:rPr>
          <w:spacing w:val="-2"/>
          <w:lang w:val="fr-CA"/>
        </w:rPr>
        <w:t>.</w:t>
      </w:r>
      <w:r w:rsidRPr="00336568">
        <w:rPr>
          <w:spacing w:val="-2"/>
          <w:lang w:val="fr-CA"/>
        </w:rPr>
        <w:t xml:space="preserve"> Par exemple, le boisement est visé par le Protocole de Kyoto à la Convention</w:t>
      </w:r>
      <w:r w:rsidRPr="00336568">
        <w:rPr>
          <w:spacing w:val="-2"/>
          <w:lang w:val="fr-CA"/>
        </w:rPr>
        <w:noBreakHyphen/>
        <w:t>cadre des Nations Unies sur les changements climatiques</w:t>
      </w:r>
      <w:r w:rsidRPr="00F22830">
        <w:rPr>
          <w:rStyle w:val="FootnoteReference"/>
        </w:rPr>
        <w:footnoteReference w:id="104"/>
      </w:r>
      <w:r w:rsidRPr="00336568">
        <w:rPr>
          <w:spacing w:val="-2"/>
          <w:lang w:val="fr-CA"/>
        </w:rPr>
        <w:t xml:space="preserve"> et l</w:t>
      </w:r>
      <w:r>
        <w:rPr>
          <w:spacing w:val="-2"/>
          <w:lang w:val="fr-CA"/>
        </w:rPr>
        <w:t>’</w:t>
      </w:r>
      <w:r w:rsidRPr="00336568">
        <w:rPr>
          <w:spacing w:val="-2"/>
          <w:lang w:val="fr-CA"/>
        </w:rPr>
        <w:t>Accord de Paris (art</w:t>
      </w:r>
      <w:r w:rsidRPr="00F22925">
        <w:rPr>
          <w:spacing w:val="-2"/>
          <w:lang w:val="fr-CA"/>
        </w:rPr>
        <w:t>.</w:t>
      </w:r>
      <w:r w:rsidRPr="00336568">
        <w:rPr>
          <w:spacing w:val="-2"/>
          <w:lang w:val="fr-CA"/>
        </w:rPr>
        <w:t> 5, par</w:t>
      </w:r>
      <w:r w:rsidRPr="00F22925">
        <w:rPr>
          <w:spacing w:val="-2"/>
          <w:lang w:val="fr-CA"/>
        </w:rPr>
        <w:t>.</w:t>
      </w:r>
      <w:r w:rsidRPr="00336568">
        <w:rPr>
          <w:spacing w:val="-2"/>
          <w:lang w:val="fr-CA"/>
        </w:rPr>
        <w:t> 2)</w:t>
      </w:r>
      <w:r w:rsidRPr="00F22925">
        <w:rPr>
          <w:spacing w:val="-2"/>
          <w:lang w:val="fr-CA"/>
        </w:rPr>
        <w:t>.</w:t>
      </w:r>
      <w:r w:rsidRPr="00336568">
        <w:rPr>
          <w:spacing w:val="-2"/>
          <w:lang w:val="fr-CA"/>
        </w:rPr>
        <w:t xml:space="preserve"> Certains instruments juridiques internationaux prévoient des mesures tendant à réglementer la séquestration du carbone</w:t>
      </w:r>
      <w:r w:rsidRPr="00F22925">
        <w:rPr>
          <w:spacing w:val="-2"/>
          <w:lang w:val="fr-CA"/>
        </w:rPr>
        <w:t>.</w:t>
      </w:r>
      <w:r w:rsidRPr="00336568">
        <w:rPr>
          <w:spacing w:val="-2"/>
          <w:lang w:val="fr-CA"/>
        </w:rPr>
        <w:t xml:space="preserve"> Le Protocole de 1996 (le « Protocole de Londres »)</w:t>
      </w:r>
      <w:r w:rsidRPr="00F22830">
        <w:rPr>
          <w:rStyle w:val="FootnoteReference"/>
        </w:rPr>
        <w:footnoteReference w:id="105"/>
      </w:r>
      <w:r w:rsidRPr="00336568">
        <w:rPr>
          <w:spacing w:val="-2"/>
          <w:lang w:val="fr-CA"/>
        </w:rPr>
        <w:t xml:space="preserve"> à la Convention de 1972 sur la prévention de la pollution des mers résultant de l</w:t>
      </w:r>
      <w:r>
        <w:rPr>
          <w:spacing w:val="-2"/>
          <w:lang w:val="fr-CA"/>
        </w:rPr>
        <w:t>’</w:t>
      </w:r>
      <w:r w:rsidRPr="00336568">
        <w:rPr>
          <w:spacing w:val="-2"/>
          <w:lang w:val="fr-CA"/>
        </w:rPr>
        <w:t xml:space="preserve">immersion de déchets et autres matières comporte à présent une disposition et une annexe modifiées, ainsi que de nouvelles </w:t>
      </w:r>
      <w:r w:rsidRPr="00336568">
        <w:rPr>
          <w:spacing w:val="-2"/>
          <w:lang w:val="fr-CA"/>
        </w:rPr>
        <w:lastRenderedPageBreak/>
        <w:t>directives concernant le contrôle de la mise en décharge des déchets et d</w:t>
      </w:r>
      <w:r>
        <w:rPr>
          <w:spacing w:val="-2"/>
          <w:lang w:val="fr-CA"/>
        </w:rPr>
        <w:t>’</w:t>
      </w:r>
      <w:r w:rsidRPr="00336568">
        <w:rPr>
          <w:spacing w:val="-2"/>
          <w:lang w:val="fr-CA"/>
        </w:rPr>
        <w:t>autres matières</w:t>
      </w:r>
      <w:r w:rsidRPr="00F22830">
        <w:rPr>
          <w:rStyle w:val="FootnoteReference"/>
        </w:rPr>
        <w:footnoteReference w:id="106"/>
      </w:r>
      <w:r w:rsidRPr="00F22925">
        <w:rPr>
          <w:spacing w:val="-2"/>
          <w:lang w:val="fr-CA"/>
        </w:rPr>
        <w:t>.</w:t>
      </w:r>
      <w:r w:rsidRPr="00336568">
        <w:rPr>
          <w:spacing w:val="-2"/>
          <w:lang w:val="fr-CA"/>
        </w:rPr>
        <w:t xml:space="preserve"> Dans la mesure où la « fertilisation des océans par apport de fer »</w:t>
      </w:r>
      <w:r w:rsidRPr="00336568">
        <w:rPr>
          <w:bCs/>
          <w:spacing w:val="-2"/>
          <w:lang w:val="fr-CA"/>
        </w:rPr>
        <w:t xml:space="preserve"> </w:t>
      </w:r>
      <w:r w:rsidRPr="00336568">
        <w:rPr>
          <w:spacing w:val="-2"/>
          <w:lang w:val="fr-CA"/>
        </w:rPr>
        <w:t>et « l</w:t>
      </w:r>
      <w:r>
        <w:rPr>
          <w:spacing w:val="-2"/>
          <w:lang w:val="fr-CA"/>
        </w:rPr>
        <w:t>’</w:t>
      </w:r>
      <w:r w:rsidRPr="00336568">
        <w:rPr>
          <w:spacing w:val="-2"/>
          <w:lang w:val="fr-CA"/>
        </w:rPr>
        <w:t>augmentation de l</w:t>
      </w:r>
      <w:r>
        <w:rPr>
          <w:spacing w:val="-2"/>
          <w:lang w:val="fr-CA"/>
        </w:rPr>
        <w:t>’</w:t>
      </w:r>
      <w:r w:rsidRPr="00336568">
        <w:rPr>
          <w:spacing w:val="-2"/>
          <w:lang w:val="fr-CA"/>
        </w:rPr>
        <w:t>alcalinité des océans » ont trait à l</w:t>
      </w:r>
      <w:r>
        <w:rPr>
          <w:spacing w:val="-2"/>
          <w:lang w:val="fr-CA"/>
        </w:rPr>
        <w:t>’</w:t>
      </w:r>
      <w:r w:rsidRPr="00336568">
        <w:rPr>
          <w:spacing w:val="-2"/>
          <w:lang w:val="fr-CA"/>
        </w:rPr>
        <w:t>immersion en mer, la Convention de 1972 et le Protocole de Londres sont pertinents</w:t>
      </w:r>
      <w:r w:rsidRPr="00F22925">
        <w:rPr>
          <w:spacing w:val="-2"/>
          <w:lang w:val="fr-CA"/>
        </w:rPr>
        <w:t>.</w:t>
      </w:r>
    </w:p>
    <w:p w14:paraId="259BC51C" w14:textId="77777777" w:rsidR="00D01ECD" w:rsidRPr="00336568" w:rsidRDefault="00D01ECD" w:rsidP="00D01ECD">
      <w:pPr>
        <w:pStyle w:val="SingleTxtG"/>
        <w:rPr>
          <w:lang w:val="fr-CA"/>
        </w:rPr>
      </w:pPr>
      <w:r w:rsidRPr="00336568">
        <w:rPr>
          <w:lang w:val="fr-CA"/>
        </w:rPr>
        <w:t>7)</w:t>
      </w:r>
      <w:r w:rsidRPr="00336568">
        <w:rPr>
          <w:lang w:val="fr-CA"/>
        </w:rPr>
        <w:tab/>
        <w:t>Les activités visant à la modification intentionnelle à grande échelle de l</w:t>
      </w:r>
      <w:r>
        <w:rPr>
          <w:lang w:val="fr-CA"/>
        </w:rPr>
        <w:t>’</w:t>
      </w:r>
      <w:r w:rsidRPr="00336568">
        <w:rPr>
          <w:lang w:val="fr-CA"/>
        </w:rPr>
        <w:t>atmosphère peuvent largement contribuer à prévenir, contrer, limiter et atténuer les risques de catastrophe et les effets nuisibles de celles-ci, notamment la sécheresse, les ouragans et les tornades, ainsi qu</w:t>
      </w:r>
      <w:r>
        <w:rPr>
          <w:lang w:val="fr-CA"/>
        </w:rPr>
        <w:t>’</w:t>
      </w:r>
      <w:r w:rsidRPr="00336568">
        <w:rPr>
          <w:lang w:val="fr-CA"/>
        </w:rPr>
        <w:t>à accroître la production agricole et améliorer l</w:t>
      </w:r>
      <w:r>
        <w:rPr>
          <w:lang w:val="fr-CA"/>
        </w:rPr>
        <w:t>’</w:t>
      </w:r>
      <w:r w:rsidRPr="00336568">
        <w:rPr>
          <w:lang w:val="fr-CA"/>
        </w:rPr>
        <w:t>approvisionnement en eau</w:t>
      </w:r>
      <w:r w:rsidRPr="00F22925">
        <w:rPr>
          <w:lang w:val="fr-CA"/>
        </w:rPr>
        <w:t>.</w:t>
      </w:r>
      <w:r w:rsidRPr="00336568">
        <w:rPr>
          <w:lang w:val="fr-CA"/>
        </w:rPr>
        <w:t xml:space="preserve"> Néanmoins, elles peuvent aussi avoir des effets inattendus et à long terme sur les conditions climatiques actuelles, qui ne s</w:t>
      </w:r>
      <w:r>
        <w:rPr>
          <w:lang w:val="fr-CA"/>
        </w:rPr>
        <w:t>’</w:t>
      </w:r>
      <w:r w:rsidRPr="00336568">
        <w:rPr>
          <w:lang w:val="fr-CA"/>
        </w:rPr>
        <w:t>arrêtent pas aux frontières nationales</w:t>
      </w:r>
      <w:r w:rsidRPr="00F22925">
        <w:rPr>
          <w:lang w:val="fr-CA"/>
        </w:rPr>
        <w:t>.</w:t>
      </w:r>
      <w:r w:rsidRPr="00336568">
        <w:rPr>
          <w:lang w:val="fr-CA"/>
        </w:rPr>
        <w:t xml:space="preserve"> Comme l</w:t>
      </w:r>
      <w:r>
        <w:rPr>
          <w:lang w:val="fr-CA"/>
        </w:rPr>
        <w:t>’</w:t>
      </w:r>
      <w:r w:rsidRPr="00336568">
        <w:rPr>
          <w:lang w:val="fr-CA"/>
        </w:rPr>
        <w:t>Organisation météorologique mondiale l</w:t>
      </w:r>
      <w:r>
        <w:rPr>
          <w:lang w:val="fr-CA"/>
        </w:rPr>
        <w:t>’</w:t>
      </w:r>
      <w:r w:rsidRPr="00336568">
        <w:rPr>
          <w:lang w:val="fr-CA"/>
        </w:rPr>
        <w:t>a fait observer au sujet de la modification du temps, la complexité des mécanismes atmosphériques est telle que pareille modification dans une partie du monde aurait nécessairement des répercussions ailleurs et, avant de l</w:t>
      </w:r>
      <w:r>
        <w:rPr>
          <w:lang w:val="fr-CA"/>
        </w:rPr>
        <w:t>’</w:t>
      </w:r>
      <w:r w:rsidRPr="00336568">
        <w:rPr>
          <w:lang w:val="fr-CA"/>
        </w:rPr>
        <w:t>expérimenter à grande échelle, il faudra évaluer scrupuleusement les conséquences possibles et souhaitables de la démarche et conclure des arrangements internationaux satisfaisants</w:t>
      </w:r>
      <w:r w:rsidRPr="00F22830">
        <w:rPr>
          <w:rStyle w:val="FootnoteReference"/>
        </w:rPr>
        <w:footnoteReference w:id="107"/>
      </w:r>
      <w:r w:rsidRPr="00F22925">
        <w:rPr>
          <w:lang w:val="fr-CA"/>
        </w:rPr>
        <w:t>.</w:t>
      </w:r>
    </w:p>
    <w:p w14:paraId="63E58EB3" w14:textId="77777777" w:rsidR="00D01ECD" w:rsidRPr="00336568" w:rsidRDefault="00D01ECD" w:rsidP="00D01ECD">
      <w:pPr>
        <w:pStyle w:val="SingleTxtG"/>
        <w:rPr>
          <w:lang w:val="fr-CA"/>
        </w:rPr>
      </w:pPr>
      <w:r w:rsidRPr="00336568">
        <w:rPr>
          <w:lang w:val="fr-CA"/>
        </w:rPr>
        <w:t>8)</w:t>
      </w:r>
      <w:r w:rsidRPr="00336568">
        <w:rPr>
          <w:lang w:val="fr-CA"/>
        </w:rPr>
        <w:tab/>
        <w:t>Le projet de directive n</w:t>
      </w:r>
      <w:r>
        <w:rPr>
          <w:lang w:val="fr-CA"/>
        </w:rPr>
        <w:t>’</w:t>
      </w:r>
      <w:r w:rsidRPr="00336568">
        <w:rPr>
          <w:lang w:val="fr-CA"/>
        </w:rPr>
        <w:t>a pas pour objectif de freiner l</w:t>
      </w:r>
      <w:r>
        <w:rPr>
          <w:lang w:val="fr-CA"/>
        </w:rPr>
        <w:t>’</w:t>
      </w:r>
      <w:r w:rsidRPr="00336568">
        <w:rPr>
          <w:lang w:val="fr-CA"/>
        </w:rPr>
        <w:t>innovation et le progrès scientifique</w:t>
      </w:r>
      <w:r w:rsidRPr="00F22925">
        <w:rPr>
          <w:lang w:val="fr-CA"/>
        </w:rPr>
        <w:t>.</w:t>
      </w:r>
      <w:r w:rsidRPr="00336568">
        <w:rPr>
          <w:lang w:val="fr-CA"/>
        </w:rPr>
        <w:t xml:space="preserve"> De fait, les principes 7 et 9 de la Déclaration de Rio consacrent l</w:t>
      </w:r>
      <w:r>
        <w:rPr>
          <w:lang w:val="fr-CA"/>
        </w:rPr>
        <w:t>’</w:t>
      </w:r>
      <w:r w:rsidRPr="00336568">
        <w:rPr>
          <w:lang w:val="fr-CA"/>
        </w:rPr>
        <w:t>importance des technologies nouvelles et novatrices et de la coopération à cet égard</w:t>
      </w:r>
      <w:r w:rsidRPr="00F22925">
        <w:rPr>
          <w:lang w:val="fr-CA"/>
        </w:rPr>
        <w:t>.</w:t>
      </w:r>
      <w:r w:rsidRPr="00336568">
        <w:rPr>
          <w:lang w:val="fr-CA"/>
        </w:rPr>
        <w:t xml:space="preserve"> Toutefois, il ne s</w:t>
      </w:r>
      <w:r>
        <w:rPr>
          <w:lang w:val="fr-CA"/>
        </w:rPr>
        <w:t>’</w:t>
      </w:r>
      <w:r w:rsidRPr="00336568">
        <w:rPr>
          <w:lang w:val="fr-CA"/>
        </w:rPr>
        <w:t>ensuit pas nécessairement que les activités en question ont toujours des effets positifs</w:t>
      </w:r>
      <w:r w:rsidRPr="00F22925">
        <w:rPr>
          <w:lang w:val="fr-CA"/>
        </w:rPr>
        <w:t>.</w:t>
      </w:r>
    </w:p>
    <w:p w14:paraId="78A04676" w14:textId="77777777" w:rsidR="00D01ECD" w:rsidRPr="00336568" w:rsidRDefault="00D01ECD" w:rsidP="00D01ECD">
      <w:pPr>
        <w:pStyle w:val="SingleTxtG"/>
        <w:rPr>
          <w:lang w:val="fr-CA"/>
        </w:rPr>
      </w:pPr>
      <w:r w:rsidRPr="00336568">
        <w:rPr>
          <w:lang w:val="fr-CA"/>
        </w:rPr>
        <w:t>9)</w:t>
      </w:r>
      <w:r w:rsidRPr="00336568">
        <w:rPr>
          <w:lang w:val="fr-CA"/>
        </w:rPr>
        <w:tab/>
        <w:t xml:space="preserve">Partant, le projet de directive </w:t>
      </w:r>
      <w:r>
        <w:rPr>
          <w:lang w:val="fr-CA"/>
        </w:rPr>
        <w:t>ne vient ni</w:t>
      </w:r>
      <w:r w:rsidRPr="00336568">
        <w:rPr>
          <w:lang w:val="fr-CA"/>
        </w:rPr>
        <w:t xml:space="preserve"> autoriser ni interdire </w:t>
      </w:r>
      <w:r>
        <w:rPr>
          <w:lang w:val="fr-CA"/>
        </w:rPr>
        <w:t>les</w:t>
      </w:r>
      <w:r w:rsidRPr="00336568">
        <w:rPr>
          <w:lang w:val="fr-CA"/>
        </w:rPr>
        <w:t xml:space="preserve"> activités</w:t>
      </w:r>
      <w:r>
        <w:rPr>
          <w:lang w:val="fr-CA"/>
        </w:rPr>
        <w:t xml:space="preserve"> visées</w:t>
      </w:r>
      <w:r w:rsidRPr="00336568">
        <w:rPr>
          <w:lang w:val="fr-CA"/>
        </w:rPr>
        <w:t xml:space="preserve">, </w:t>
      </w:r>
      <w:r>
        <w:rPr>
          <w:lang w:val="fr-CA"/>
        </w:rPr>
        <w:t>sauf ce dont</w:t>
      </w:r>
      <w:r w:rsidRPr="00336568">
        <w:rPr>
          <w:lang w:val="fr-CA"/>
        </w:rPr>
        <w:t xml:space="preserve"> les États </w:t>
      </w:r>
      <w:r>
        <w:rPr>
          <w:lang w:val="fr-CA"/>
        </w:rPr>
        <w:t>décideront</w:t>
      </w:r>
      <w:r w:rsidRPr="00F22925">
        <w:rPr>
          <w:lang w:val="fr-CA"/>
        </w:rPr>
        <w:t>.</w:t>
      </w:r>
      <w:r w:rsidRPr="00336568">
        <w:rPr>
          <w:lang w:val="fr-CA"/>
        </w:rPr>
        <w:t xml:space="preserve"> Il énonce simplement le principe selon lequel </w:t>
      </w:r>
      <w:r>
        <w:rPr>
          <w:lang w:val="fr-FR"/>
        </w:rPr>
        <w:t xml:space="preserve">les éventuelles </w:t>
      </w:r>
      <w:r w:rsidRPr="00336568">
        <w:rPr>
          <w:color w:val="333333"/>
          <w:szCs w:val="21"/>
          <w:shd w:val="clear" w:color="auto" w:fill="FFFFFF"/>
          <w:lang w:val="fr-CA"/>
        </w:rPr>
        <w:t>activités visant à la modification intentionnelle à grande échelle</w:t>
      </w:r>
      <w:r>
        <w:rPr>
          <w:lang w:val="fr-FR"/>
        </w:rPr>
        <w:t xml:space="preserve"> de l’atmosphère </w:t>
      </w:r>
      <w:r>
        <w:rPr>
          <w:lang w:val="fr-CA"/>
        </w:rPr>
        <w:t xml:space="preserve">ne devraient </w:t>
      </w:r>
      <w:r w:rsidRPr="00336568">
        <w:rPr>
          <w:lang w:val="fr-CA"/>
        </w:rPr>
        <w:t xml:space="preserve">être </w:t>
      </w:r>
      <w:r>
        <w:rPr>
          <w:lang w:val="fr-CA"/>
        </w:rPr>
        <w:t>menées qu’</w:t>
      </w:r>
      <w:r w:rsidRPr="00336568">
        <w:rPr>
          <w:lang w:val="fr-CA"/>
        </w:rPr>
        <w:t>avec prudence et précaution</w:t>
      </w:r>
      <w:r w:rsidRPr="00F22925">
        <w:rPr>
          <w:lang w:val="fr-CA"/>
        </w:rPr>
        <w:t>.</w:t>
      </w:r>
      <w:r w:rsidRPr="00336568">
        <w:rPr>
          <w:lang w:val="fr-CA"/>
        </w:rPr>
        <w:t xml:space="preserve"> L</w:t>
      </w:r>
      <w:r>
        <w:rPr>
          <w:lang w:val="fr-CA"/>
        </w:rPr>
        <w:t>’</w:t>
      </w:r>
      <w:r w:rsidRPr="00336568">
        <w:rPr>
          <w:lang w:val="fr-CA"/>
        </w:rPr>
        <w:t>emploi des termes « </w:t>
      </w:r>
      <w:r w:rsidRPr="009E2208">
        <w:rPr>
          <w:lang w:val="fr-FR"/>
        </w:rPr>
        <w:t>qu</w:t>
      </w:r>
      <w:r>
        <w:rPr>
          <w:lang w:val="fr-FR"/>
        </w:rPr>
        <w:t>’</w:t>
      </w:r>
      <w:r w:rsidRPr="009E2208">
        <w:rPr>
          <w:lang w:val="fr-FR"/>
        </w:rPr>
        <w:t>avec</w:t>
      </w:r>
      <w:r>
        <w:rPr>
          <w:lang w:val="fr-FR"/>
        </w:rPr>
        <w:t> » vient insister sur l’importance de la prudence et la précaution dans l’exécution de ce type d’activités</w:t>
      </w:r>
      <w:r w:rsidRPr="00F22925">
        <w:rPr>
          <w:lang w:val="fr-FR"/>
        </w:rPr>
        <w:t>.</w:t>
      </w:r>
      <w:r>
        <w:rPr>
          <w:lang w:val="fr-FR"/>
        </w:rPr>
        <w:t xml:space="preserve"> La suite de la directive indique clairement que les activités </w:t>
      </w:r>
      <w:r w:rsidRPr="00336568">
        <w:rPr>
          <w:color w:val="333333"/>
          <w:szCs w:val="21"/>
          <w:shd w:val="clear" w:color="auto" w:fill="FFFFFF"/>
          <w:lang w:val="fr-CA"/>
        </w:rPr>
        <w:t xml:space="preserve">visant à la modification intentionnelle à grande échelle </w:t>
      </w:r>
      <w:r>
        <w:rPr>
          <w:color w:val="333333"/>
          <w:szCs w:val="21"/>
          <w:shd w:val="clear" w:color="auto" w:fill="FFFFFF"/>
          <w:lang w:val="fr-CA"/>
        </w:rPr>
        <w:t xml:space="preserve">de l’atmosphère </w:t>
      </w:r>
      <w:r w:rsidRPr="00336568">
        <w:rPr>
          <w:color w:val="333333"/>
          <w:szCs w:val="21"/>
          <w:shd w:val="clear" w:color="auto" w:fill="FFFFFF"/>
          <w:lang w:val="fr-CA"/>
        </w:rPr>
        <w:t>sont soumises à toute règle de droit international applicable</w:t>
      </w:r>
      <w:r w:rsidRPr="00F22925">
        <w:rPr>
          <w:color w:val="333333"/>
          <w:szCs w:val="21"/>
          <w:shd w:val="clear" w:color="auto" w:fill="FFFFFF"/>
          <w:lang w:val="fr-CA"/>
        </w:rPr>
        <w:t>.</w:t>
      </w:r>
      <w:r w:rsidRPr="00336568">
        <w:rPr>
          <w:color w:val="333333"/>
          <w:szCs w:val="21"/>
          <w:shd w:val="clear" w:color="auto" w:fill="FFFFFF"/>
          <w:lang w:val="fr-CA"/>
        </w:rPr>
        <w:t xml:space="preserve"> </w:t>
      </w:r>
    </w:p>
    <w:p w14:paraId="37BC0A1D" w14:textId="77777777" w:rsidR="00D01ECD" w:rsidRPr="00336568" w:rsidRDefault="00D01ECD" w:rsidP="00D01ECD">
      <w:pPr>
        <w:pStyle w:val="SingleTxtG"/>
        <w:rPr>
          <w:lang w:val="fr-CA"/>
        </w:rPr>
      </w:pPr>
      <w:r w:rsidRPr="00336568">
        <w:rPr>
          <w:lang w:val="fr-CA"/>
        </w:rPr>
        <w:t>10)</w:t>
      </w:r>
      <w:r w:rsidRPr="00336568">
        <w:rPr>
          <w:lang w:val="fr-CA"/>
        </w:rPr>
        <w:tab/>
        <w:t xml:space="preserve">Le libellé « prudence et précaution » est inspiré de la formulation employée par le Tribunal international du droit de la mer dans les affaires du </w:t>
      </w:r>
      <w:r w:rsidRPr="00336568">
        <w:rPr>
          <w:i/>
          <w:lang w:val="fr-CA"/>
        </w:rPr>
        <w:t>Thon à nageoire bleue</w:t>
      </w:r>
      <w:r w:rsidRPr="00F22830">
        <w:rPr>
          <w:rStyle w:val="FootnoteReference"/>
        </w:rPr>
        <w:footnoteReference w:id="108"/>
      </w:r>
      <w:r w:rsidRPr="00336568">
        <w:rPr>
          <w:i/>
          <w:lang w:val="fr-CA"/>
        </w:rPr>
        <w:t xml:space="preserve"> </w:t>
      </w:r>
      <w:r w:rsidRPr="00336568">
        <w:rPr>
          <w:iCs/>
          <w:lang w:val="fr-CA"/>
        </w:rPr>
        <w:t>et</w:t>
      </w:r>
      <w:r w:rsidRPr="00336568">
        <w:rPr>
          <w:lang w:val="fr-CA"/>
        </w:rPr>
        <w:t xml:space="preserve"> de l</w:t>
      </w:r>
      <w:r>
        <w:rPr>
          <w:lang w:val="fr-CA"/>
        </w:rPr>
        <w:t>’</w:t>
      </w:r>
      <w:r w:rsidRPr="00336568">
        <w:rPr>
          <w:i/>
          <w:lang w:val="fr-CA"/>
        </w:rPr>
        <w:t>Usine M</w:t>
      </w:r>
      <w:r>
        <w:rPr>
          <w:i/>
          <w:lang w:val="fr-CA"/>
        </w:rPr>
        <w:t>OX</w:t>
      </w:r>
      <w:r w:rsidRPr="00F22830">
        <w:rPr>
          <w:rStyle w:val="FootnoteReference"/>
        </w:rPr>
        <w:footnoteReference w:id="109"/>
      </w:r>
      <w:r w:rsidRPr="00336568">
        <w:rPr>
          <w:i/>
          <w:lang w:val="fr-CA"/>
        </w:rPr>
        <w:t xml:space="preserve"> </w:t>
      </w:r>
      <w:r w:rsidRPr="00336568">
        <w:rPr>
          <w:lang w:val="fr-CA"/>
        </w:rPr>
        <w:t>et l</w:t>
      </w:r>
      <w:r>
        <w:rPr>
          <w:lang w:val="fr-CA"/>
        </w:rPr>
        <w:t>’</w:t>
      </w:r>
      <w:r w:rsidRPr="00336568">
        <w:rPr>
          <w:lang w:val="fr-CA"/>
        </w:rPr>
        <w:t>affaire relative aux</w:t>
      </w:r>
      <w:r w:rsidRPr="00336568">
        <w:rPr>
          <w:i/>
          <w:lang w:val="fr-CA"/>
        </w:rPr>
        <w:t xml:space="preserve"> Travaux de poldérisation </w:t>
      </w:r>
      <w:r w:rsidRPr="00336568">
        <w:rPr>
          <w:i/>
          <w:iCs/>
          <w:lang w:val="fr-CA"/>
        </w:rPr>
        <w:t xml:space="preserve">par Singapour à </w:t>
      </w:r>
      <w:r w:rsidRPr="00336568">
        <w:rPr>
          <w:i/>
          <w:iCs/>
          <w:lang w:val="fr-CA"/>
        </w:rPr>
        <w:lastRenderedPageBreak/>
        <w:t>l</w:t>
      </w:r>
      <w:r>
        <w:rPr>
          <w:i/>
          <w:iCs/>
          <w:lang w:val="fr-CA"/>
        </w:rPr>
        <w:t>’</w:t>
      </w:r>
      <w:r w:rsidRPr="00336568">
        <w:rPr>
          <w:i/>
          <w:iCs/>
          <w:lang w:val="fr-CA"/>
        </w:rPr>
        <w:t>intérieur et à proximité du détroit de Johor</w:t>
      </w:r>
      <w:r w:rsidRPr="00F22830">
        <w:rPr>
          <w:rStyle w:val="FootnoteReference"/>
        </w:rPr>
        <w:footnoteReference w:id="110"/>
      </w:r>
      <w:r w:rsidRPr="00F22925">
        <w:rPr>
          <w:lang w:val="fr-CA"/>
        </w:rPr>
        <w:t>.</w:t>
      </w:r>
      <w:r w:rsidRPr="00336568">
        <w:rPr>
          <w:lang w:val="fr-CA"/>
        </w:rPr>
        <w:t xml:space="preserve"> Dans cette dernière, le Tribunal a dit ce qui suit : « </w:t>
      </w:r>
      <w:r w:rsidRPr="00336568">
        <w:rPr>
          <w:i/>
          <w:lang w:val="fr-CA"/>
        </w:rPr>
        <w:t>Considérant</w:t>
      </w:r>
      <w:r w:rsidRPr="00336568">
        <w:rPr>
          <w:lang w:val="fr-CA"/>
        </w:rPr>
        <w:t xml:space="preserve"> que, étant donné l</w:t>
      </w:r>
      <w:r>
        <w:rPr>
          <w:lang w:val="fr-CA"/>
        </w:rPr>
        <w:t>’</w:t>
      </w:r>
      <w:r w:rsidRPr="00336568">
        <w:rPr>
          <w:lang w:val="fr-CA"/>
        </w:rPr>
        <w:t>incidence possible des travaux de poldérisation sur le milieu marin, la circonspection et la prudence commandent à la Malaisie et à Singapour de mettre en place des mécanismes en vue d</w:t>
      </w:r>
      <w:r>
        <w:rPr>
          <w:lang w:val="fr-CA"/>
        </w:rPr>
        <w:t>’</w:t>
      </w:r>
      <w:r w:rsidRPr="00336568">
        <w:rPr>
          <w:lang w:val="fr-CA"/>
        </w:rPr>
        <w:t>un échange d</w:t>
      </w:r>
      <w:r>
        <w:rPr>
          <w:lang w:val="fr-CA"/>
        </w:rPr>
        <w:t>’</w:t>
      </w:r>
      <w:r w:rsidRPr="00336568">
        <w:rPr>
          <w:lang w:val="fr-CA"/>
        </w:rPr>
        <w:t>informations et de l</w:t>
      </w:r>
      <w:r>
        <w:rPr>
          <w:lang w:val="fr-CA"/>
        </w:rPr>
        <w:t>’</w:t>
      </w:r>
      <w:r w:rsidRPr="00336568">
        <w:rPr>
          <w:lang w:val="fr-CA"/>
        </w:rPr>
        <w:t>évaluation des risques ou effets que pourraient entraîner les travaux de poldérisation, et de trouver des moyens d</w:t>
      </w:r>
      <w:r>
        <w:rPr>
          <w:lang w:val="fr-CA"/>
        </w:rPr>
        <w:t>’</w:t>
      </w:r>
      <w:r w:rsidRPr="00336568">
        <w:rPr>
          <w:lang w:val="fr-CA"/>
        </w:rPr>
        <w:t>y faire face dans les zones affectées […] »</w:t>
      </w:r>
      <w:r w:rsidRPr="00F22925">
        <w:rPr>
          <w:lang w:val="fr-CA"/>
        </w:rPr>
        <w:t>.</w:t>
      </w:r>
      <w:r w:rsidRPr="00336568">
        <w:rPr>
          <w:lang w:val="fr-CA"/>
        </w:rPr>
        <w:t xml:space="preserve"> Le projet de directive est rédigé de manière à encourager l</w:t>
      </w:r>
      <w:r>
        <w:rPr>
          <w:lang w:val="fr-CA"/>
        </w:rPr>
        <w:t>’</w:t>
      </w:r>
      <w:r w:rsidRPr="00336568">
        <w:rPr>
          <w:lang w:val="fr-CA"/>
        </w:rPr>
        <w:t>élaboration de règles régissant ce type d</w:t>
      </w:r>
      <w:r>
        <w:rPr>
          <w:lang w:val="fr-CA"/>
        </w:rPr>
        <w:t>’</w:t>
      </w:r>
      <w:r w:rsidRPr="00336568">
        <w:rPr>
          <w:lang w:val="fr-CA"/>
        </w:rPr>
        <w:t>activités dans le cadre des dispositifs applicables aux divers domaines ayant un rapport avec la pollution et la dégradation atmosphériques</w:t>
      </w:r>
      <w:r w:rsidRPr="00F22925">
        <w:rPr>
          <w:lang w:val="fr-CA"/>
        </w:rPr>
        <w:t>.</w:t>
      </w:r>
    </w:p>
    <w:p w14:paraId="43DCCE15" w14:textId="77777777" w:rsidR="00D01ECD" w:rsidRPr="00336568" w:rsidRDefault="00D01ECD" w:rsidP="00D01ECD">
      <w:pPr>
        <w:pStyle w:val="SingleTxtG"/>
        <w:rPr>
          <w:lang w:val="fr-CA"/>
        </w:rPr>
      </w:pPr>
      <w:r w:rsidRPr="00336568">
        <w:rPr>
          <w:lang w:val="fr-CA"/>
        </w:rPr>
        <w:t>11)</w:t>
      </w:r>
      <w:r w:rsidRPr="00336568">
        <w:rPr>
          <w:lang w:val="fr-CA"/>
        </w:rPr>
        <w:tab/>
        <w:t>Le membre de phrase « </w:t>
      </w:r>
      <w:r w:rsidRPr="009E2208">
        <w:rPr>
          <w:lang w:val="fr-FR"/>
        </w:rPr>
        <w:t>y compris les règles relatives à l</w:t>
      </w:r>
      <w:r>
        <w:rPr>
          <w:lang w:val="fr-FR"/>
        </w:rPr>
        <w:t>’</w:t>
      </w:r>
      <w:r w:rsidRPr="009E2208">
        <w:rPr>
          <w:lang w:val="fr-FR"/>
        </w:rPr>
        <w:t>évaluation de l</w:t>
      </w:r>
      <w:r>
        <w:rPr>
          <w:lang w:val="fr-FR"/>
        </w:rPr>
        <w:t>’</w:t>
      </w:r>
      <w:r w:rsidRPr="009E2208">
        <w:rPr>
          <w:lang w:val="fr-FR"/>
        </w:rPr>
        <w:t>impact sur l</w:t>
      </w:r>
      <w:r>
        <w:rPr>
          <w:lang w:val="fr-FR"/>
        </w:rPr>
        <w:t>’</w:t>
      </w:r>
      <w:r w:rsidRPr="009E2208">
        <w:rPr>
          <w:lang w:val="fr-FR"/>
        </w:rPr>
        <w:t>environnement</w:t>
      </w:r>
      <w:r>
        <w:rPr>
          <w:lang w:val="fr-FR"/>
        </w:rPr>
        <w:t xml:space="preserve"> » par lequel se termine la directive accentue l’importance des </w:t>
      </w:r>
      <w:r w:rsidRPr="00336568">
        <w:rPr>
          <w:spacing w:val="-1"/>
          <w:lang w:val="fr-CA"/>
        </w:rPr>
        <w:t>évaluations de l</w:t>
      </w:r>
      <w:r>
        <w:rPr>
          <w:spacing w:val="-1"/>
          <w:lang w:val="fr-CA"/>
        </w:rPr>
        <w:t>’</w:t>
      </w:r>
      <w:r w:rsidRPr="00336568">
        <w:rPr>
          <w:spacing w:val="-1"/>
          <w:lang w:val="fr-CA"/>
        </w:rPr>
        <w:t>impact sur l</w:t>
      </w:r>
      <w:r>
        <w:rPr>
          <w:spacing w:val="-1"/>
          <w:lang w:val="fr-CA"/>
        </w:rPr>
        <w:t>’</w:t>
      </w:r>
      <w:r w:rsidRPr="00336568">
        <w:rPr>
          <w:spacing w:val="-1"/>
          <w:lang w:val="fr-CA"/>
        </w:rPr>
        <w:t>environnement, déjà soulignée dans le projet de directive 4</w:t>
      </w:r>
      <w:r w:rsidRPr="00F22925">
        <w:rPr>
          <w:spacing w:val="-1"/>
          <w:lang w:val="fr-CA"/>
        </w:rPr>
        <w:t>.</w:t>
      </w:r>
      <w:r w:rsidRPr="00336568">
        <w:rPr>
          <w:spacing w:val="-1"/>
          <w:lang w:val="fr-CA"/>
        </w:rPr>
        <w:t xml:space="preserve"> Les </w:t>
      </w:r>
      <w:r w:rsidRPr="009E2208">
        <w:rPr>
          <w:lang w:val="fr-FR"/>
        </w:rPr>
        <w:t>activités visant à la modification intentionnelle à grande échelle de l</w:t>
      </w:r>
      <w:r>
        <w:rPr>
          <w:lang w:val="fr-FR"/>
        </w:rPr>
        <w:t>’</w:t>
      </w:r>
      <w:r w:rsidRPr="009E2208">
        <w:rPr>
          <w:lang w:val="fr-FR"/>
        </w:rPr>
        <w:t>atmosphère</w:t>
      </w:r>
      <w:r w:rsidRPr="00336568">
        <w:rPr>
          <w:spacing w:val="-1"/>
          <w:lang w:val="fr-CA"/>
        </w:rPr>
        <w:t xml:space="preserve"> devraient être menées publiquement et en toute transparence, et il se peut de ce fait qu</w:t>
      </w:r>
      <w:r>
        <w:rPr>
          <w:spacing w:val="-1"/>
          <w:lang w:val="fr-CA"/>
        </w:rPr>
        <w:t>’</w:t>
      </w:r>
      <w:r w:rsidRPr="00336568">
        <w:rPr>
          <w:spacing w:val="-1"/>
          <w:lang w:val="fr-CA"/>
        </w:rPr>
        <w:t>elles nécessitent la réalisation de l</w:t>
      </w:r>
      <w:r>
        <w:rPr>
          <w:spacing w:val="-1"/>
          <w:lang w:val="fr-CA"/>
        </w:rPr>
        <w:t>’</w:t>
      </w:r>
      <w:r w:rsidRPr="00336568">
        <w:rPr>
          <w:spacing w:val="-1"/>
          <w:lang w:val="fr-CA"/>
        </w:rPr>
        <w:t>évaluation de l</w:t>
      </w:r>
      <w:r>
        <w:rPr>
          <w:spacing w:val="-1"/>
          <w:lang w:val="fr-CA"/>
        </w:rPr>
        <w:t>’</w:t>
      </w:r>
      <w:r w:rsidRPr="00336568">
        <w:rPr>
          <w:spacing w:val="-1"/>
          <w:lang w:val="fr-CA"/>
        </w:rPr>
        <w:t>impact sur l</w:t>
      </w:r>
      <w:r>
        <w:rPr>
          <w:spacing w:val="-1"/>
          <w:lang w:val="fr-CA"/>
        </w:rPr>
        <w:t>’</w:t>
      </w:r>
      <w:r w:rsidRPr="00336568">
        <w:rPr>
          <w:spacing w:val="-1"/>
          <w:lang w:val="fr-CA"/>
        </w:rPr>
        <w:t>environnement prévue au projet de directive 4</w:t>
      </w:r>
      <w:r w:rsidRPr="00F22925">
        <w:rPr>
          <w:spacing w:val="-1"/>
          <w:lang w:val="fr-CA"/>
        </w:rPr>
        <w:t>.</w:t>
      </w:r>
      <w:r w:rsidRPr="00336568">
        <w:rPr>
          <w:spacing w:val="-1"/>
          <w:lang w:val="fr-CA"/>
        </w:rPr>
        <w:t xml:space="preserve"> On estime que tout projet entraînant une </w:t>
      </w:r>
      <w:r w:rsidRPr="00336568">
        <w:rPr>
          <w:lang w:val="fr-CA"/>
        </w:rPr>
        <w:t>modification intentionnelle et à grande échelle de l</w:t>
      </w:r>
      <w:r>
        <w:rPr>
          <w:lang w:val="fr-CA"/>
        </w:rPr>
        <w:t>’</w:t>
      </w:r>
      <w:r w:rsidRPr="00336568">
        <w:rPr>
          <w:lang w:val="fr-CA"/>
        </w:rPr>
        <w:t xml:space="preserve">atmosphère peut </w:t>
      </w:r>
      <w:r>
        <w:rPr>
          <w:lang w:val="fr-CA"/>
        </w:rPr>
        <w:t xml:space="preserve">avoir d’importantes conséquences négatives </w:t>
      </w:r>
      <w:r w:rsidRPr="00336568">
        <w:rPr>
          <w:lang w:val="fr-CA"/>
        </w:rPr>
        <w:t>et nécessite donc</w:t>
      </w:r>
      <w:r>
        <w:rPr>
          <w:lang w:val="fr-CA"/>
        </w:rPr>
        <w:t xml:space="preserve"> </w:t>
      </w:r>
      <w:r w:rsidRPr="00336568">
        <w:rPr>
          <w:lang w:val="fr-CA"/>
        </w:rPr>
        <w:t>une évaluation d</w:t>
      </w:r>
      <w:r>
        <w:rPr>
          <w:lang w:val="fr-CA"/>
        </w:rPr>
        <w:t>’</w:t>
      </w:r>
      <w:r w:rsidRPr="00336568">
        <w:rPr>
          <w:lang w:val="fr-CA"/>
        </w:rPr>
        <w:t>impact</w:t>
      </w:r>
      <w:r w:rsidRPr="00F22925">
        <w:rPr>
          <w:lang w:val="fr-CA"/>
        </w:rPr>
        <w:t>.</w:t>
      </w:r>
    </w:p>
    <w:p w14:paraId="08DAC36A" w14:textId="77777777" w:rsidR="00D01ECD" w:rsidRPr="000A0208" w:rsidRDefault="00D01ECD" w:rsidP="00D01ECD">
      <w:pPr>
        <w:pStyle w:val="H23G"/>
        <w:ind w:left="1701" w:hanging="1701"/>
        <w:rPr>
          <w:lang w:val="fr-FR"/>
        </w:rPr>
      </w:pPr>
      <w:bookmarkStart w:id="17" w:name="_Toc427938094"/>
      <w:r>
        <w:rPr>
          <w:lang w:val="fr-FR"/>
        </w:rPr>
        <w:tab/>
      </w:r>
      <w:r>
        <w:rPr>
          <w:lang w:val="fr-FR"/>
        </w:rPr>
        <w:tab/>
      </w:r>
      <w:r>
        <w:rPr>
          <w:lang w:val="fr-FR"/>
        </w:rPr>
        <w:tab/>
      </w:r>
      <w:r w:rsidRPr="000A0208">
        <w:rPr>
          <w:lang w:val="fr-FR"/>
        </w:rPr>
        <w:t>Directive 8</w:t>
      </w:r>
      <w:r w:rsidRPr="000A0208">
        <w:rPr>
          <w:sz w:val="16"/>
          <w:szCs w:val="16"/>
          <w:lang w:val="fr-FR"/>
        </w:rPr>
        <w:t xml:space="preserve"> </w:t>
      </w:r>
      <w:r w:rsidRPr="000A0208">
        <w:rPr>
          <w:lang w:val="fr-FR"/>
        </w:rPr>
        <w:br/>
        <w:t>Coopération internationale</w:t>
      </w:r>
    </w:p>
    <w:p w14:paraId="4B876D6F" w14:textId="77777777" w:rsidR="00D01ECD" w:rsidRPr="000A0208" w:rsidRDefault="00D01ECD" w:rsidP="00D01ECD">
      <w:pPr>
        <w:pStyle w:val="SingleTxtG"/>
        <w:ind w:left="1701"/>
        <w:rPr>
          <w:lang w:val="fr-FR"/>
        </w:rPr>
      </w:pPr>
      <w:r w:rsidRPr="000A0208">
        <w:rPr>
          <w:lang w:val="fr-FR"/>
        </w:rPr>
        <w:t>1</w:t>
      </w:r>
      <w:r w:rsidRPr="00F22925">
        <w:rPr>
          <w:lang w:val="fr-FR"/>
        </w:rPr>
        <w:t>.</w:t>
      </w:r>
      <w:r w:rsidRPr="000A0208">
        <w:rPr>
          <w:lang w:val="fr-FR"/>
        </w:rPr>
        <w:tab/>
        <w:t>Les États ont l</w:t>
      </w:r>
      <w:r>
        <w:rPr>
          <w:lang w:val="fr-FR"/>
        </w:rPr>
        <w:t>’</w:t>
      </w:r>
      <w:r w:rsidRPr="000A0208">
        <w:rPr>
          <w:lang w:val="fr-FR"/>
        </w:rPr>
        <w:t>obligation de coopérer, selon qu</w:t>
      </w:r>
      <w:r>
        <w:rPr>
          <w:lang w:val="fr-FR"/>
        </w:rPr>
        <w:t>’</w:t>
      </w:r>
      <w:r w:rsidRPr="000A0208">
        <w:rPr>
          <w:lang w:val="fr-FR"/>
        </w:rPr>
        <w:t>il convient, entre eux et avec les organisations internationales pertinentes pour protéger l</w:t>
      </w:r>
      <w:r>
        <w:rPr>
          <w:lang w:val="fr-FR"/>
        </w:rPr>
        <w:t>’</w:t>
      </w:r>
      <w:r w:rsidRPr="000A0208">
        <w:rPr>
          <w:lang w:val="fr-FR"/>
        </w:rPr>
        <w:t>atmosphère contre la pollution atmosphérique et la dégradation atmosphérique</w:t>
      </w:r>
      <w:r w:rsidRPr="00F22925">
        <w:rPr>
          <w:lang w:val="fr-FR"/>
        </w:rPr>
        <w:t>.</w:t>
      </w:r>
    </w:p>
    <w:p w14:paraId="257E1072" w14:textId="77777777" w:rsidR="00D01ECD" w:rsidRPr="000A0208" w:rsidRDefault="00D01ECD" w:rsidP="00D01ECD">
      <w:pPr>
        <w:pStyle w:val="SingleTxtG"/>
        <w:ind w:left="1701"/>
        <w:rPr>
          <w:lang w:val="fr-FR"/>
        </w:rPr>
      </w:pPr>
      <w:r w:rsidRPr="000A0208">
        <w:rPr>
          <w:lang w:val="fr-FR"/>
        </w:rPr>
        <w:t>2</w:t>
      </w:r>
      <w:r w:rsidRPr="00F22925">
        <w:rPr>
          <w:lang w:val="fr-FR"/>
        </w:rPr>
        <w:t>.</w:t>
      </w:r>
      <w:r w:rsidRPr="000A0208">
        <w:rPr>
          <w:lang w:val="fr-FR"/>
        </w:rPr>
        <w:tab/>
        <w:t xml:space="preserve">Les États devraient </w:t>
      </w:r>
      <w:proofErr w:type="gramStart"/>
      <w:r w:rsidRPr="000A0208">
        <w:rPr>
          <w:lang w:val="fr-FR"/>
        </w:rPr>
        <w:t>coopérer ensemble</w:t>
      </w:r>
      <w:proofErr w:type="gramEnd"/>
      <w:r w:rsidRPr="000A0208">
        <w:rPr>
          <w:lang w:val="fr-FR"/>
        </w:rPr>
        <w:t xml:space="preserve"> au développement des connaissances scientifiques et techniques sur les causes et les répercussions de la pollution atmosphérique et de la dégradation atmosphérique</w:t>
      </w:r>
      <w:r w:rsidRPr="00F22925">
        <w:rPr>
          <w:lang w:val="fr-FR"/>
        </w:rPr>
        <w:t>.</w:t>
      </w:r>
      <w:r w:rsidRPr="000A0208">
        <w:rPr>
          <w:lang w:val="fr-FR"/>
        </w:rPr>
        <w:t xml:space="preserve"> Cette coopération pourrait prendre la forme d</w:t>
      </w:r>
      <w:r>
        <w:rPr>
          <w:lang w:val="fr-FR"/>
        </w:rPr>
        <w:t>’</w:t>
      </w:r>
      <w:r w:rsidRPr="000A0208">
        <w:rPr>
          <w:lang w:val="fr-FR"/>
        </w:rPr>
        <w:t>un échange d</w:t>
      </w:r>
      <w:r>
        <w:rPr>
          <w:lang w:val="fr-FR"/>
        </w:rPr>
        <w:t>’</w:t>
      </w:r>
      <w:r w:rsidRPr="000A0208">
        <w:rPr>
          <w:lang w:val="fr-FR"/>
        </w:rPr>
        <w:t>informations et d</w:t>
      </w:r>
      <w:r>
        <w:rPr>
          <w:lang w:val="fr-FR"/>
        </w:rPr>
        <w:t>’</w:t>
      </w:r>
      <w:r w:rsidRPr="000A0208">
        <w:rPr>
          <w:lang w:val="fr-FR"/>
        </w:rPr>
        <w:t>un suivi conjoint</w:t>
      </w:r>
      <w:r w:rsidRPr="00F22925">
        <w:rPr>
          <w:lang w:val="fr-FR"/>
        </w:rPr>
        <w:t>.</w:t>
      </w:r>
      <w:r w:rsidRPr="000A0208">
        <w:rPr>
          <w:lang w:val="fr-FR"/>
        </w:rPr>
        <w:t xml:space="preserve"> </w:t>
      </w:r>
    </w:p>
    <w:bookmarkEnd w:id="17"/>
    <w:p w14:paraId="7049A613" w14:textId="77777777" w:rsidR="00D01ECD" w:rsidRPr="000A0208" w:rsidRDefault="00D01ECD" w:rsidP="00D01ECD">
      <w:pPr>
        <w:pStyle w:val="H23G"/>
        <w:rPr>
          <w:lang w:val="fr-FR"/>
        </w:rPr>
      </w:pPr>
      <w:r w:rsidRPr="000A0208">
        <w:rPr>
          <w:lang w:val="fr-FR"/>
        </w:rPr>
        <w:tab/>
      </w:r>
      <w:r w:rsidRPr="000A0208">
        <w:rPr>
          <w:lang w:val="fr-FR"/>
        </w:rPr>
        <w:tab/>
      </w:r>
      <w:bookmarkStart w:id="18" w:name="_Toc427938095"/>
      <w:bookmarkStart w:id="19" w:name="_Toc522896341"/>
      <w:bookmarkStart w:id="20" w:name="_Toc523727651"/>
      <w:r w:rsidRPr="000A0208">
        <w:rPr>
          <w:lang w:val="fr-FR"/>
        </w:rPr>
        <w:t>Commenta</w:t>
      </w:r>
      <w:bookmarkEnd w:id="18"/>
      <w:bookmarkEnd w:id="19"/>
      <w:bookmarkEnd w:id="20"/>
      <w:r>
        <w:rPr>
          <w:lang w:val="fr-FR"/>
        </w:rPr>
        <w:t xml:space="preserve">ire </w:t>
      </w:r>
    </w:p>
    <w:p w14:paraId="54751DBD" w14:textId="77777777" w:rsidR="00D01ECD" w:rsidRPr="00336568" w:rsidRDefault="00D01ECD" w:rsidP="00D01ECD">
      <w:pPr>
        <w:pStyle w:val="SingleTxtG"/>
        <w:rPr>
          <w:lang w:val="fr-CA"/>
        </w:rPr>
      </w:pPr>
      <w:r w:rsidRPr="000A0208">
        <w:rPr>
          <w:lang w:val="fr-FR"/>
        </w:rPr>
        <w:t>1)</w:t>
      </w:r>
      <w:r w:rsidRPr="000A0208">
        <w:rPr>
          <w:lang w:val="fr-FR"/>
        </w:rPr>
        <w:tab/>
      </w:r>
      <w:r w:rsidRPr="00336568">
        <w:rPr>
          <w:lang w:val="fr-CA"/>
        </w:rPr>
        <w:t>La coopération internationale est au cœur de l</w:t>
      </w:r>
      <w:r>
        <w:rPr>
          <w:lang w:val="fr-CA"/>
        </w:rPr>
        <w:t>’</w:t>
      </w:r>
      <w:r w:rsidRPr="00336568">
        <w:rPr>
          <w:lang w:val="fr-CA"/>
        </w:rPr>
        <w:t>ensemble du projet de directives sur la protection de l</w:t>
      </w:r>
      <w:r>
        <w:rPr>
          <w:lang w:val="fr-CA"/>
        </w:rPr>
        <w:t>’</w:t>
      </w:r>
      <w:r w:rsidRPr="00336568">
        <w:rPr>
          <w:lang w:val="fr-CA"/>
        </w:rPr>
        <w:t>atmosphère</w:t>
      </w:r>
      <w:r w:rsidRPr="00F22925">
        <w:rPr>
          <w:lang w:val="fr-CA"/>
        </w:rPr>
        <w:t>.</w:t>
      </w:r>
      <w:r w:rsidRPr="00336568">
        <w:rPr>
          <w:lang w:val="fr-CA"/>
        </w:rPr>
        <w:t xml:space="preserve"> La notion de coopération internationale au sens du droit international a beaucoup évolué</w:t>
      </w:r>
      <w:r w:rsidRPr="00F22830">
        <w:rPr>
          <w:rStyle w:val="FootnoteReference"/>
        </w:rPr>
        <w:footnoteReference w:id="111"/>
      </w:r>
      <w:r w:rsidRPr="00336568">
        <w:rPr>
          <w:lang w:val="fr-CA"/>
        </w:rPr>
        <w:t xml:space="preserve"> et repose aujourd</w:t>
      </w:r>
      <w:r>
        <w:rPr>
          <w:lang w:val="fr-CA"/>
        </w:rPr>
        <w:t>’</w:t>
      </w:r>
      <w:r w:rsidRPr="00336568">
        <w:rPr>
          <w:lang w:val="fr-CA"/>
        </w:rPr>
        <w:t>hui dans une large mesure sur la notion des intérêts communs de la communauté internationale</w:t>
      </w:r>
      <w:r>
        <w:rPr>
          <w:lang w:val="fr-CA"/>
        </w:rPr>
        <w:t xml:space="preserve"> tout entière</w:t>
      </w:r>
      <w:r w:rsidRPr="00F22830">
        <w:rPr>
          <w:rStyle w:val="FootnoteReference"/>
        </w:rPr>
        <w:footnoteReference w:id="112"/>
      </w:r>
      <w:r w:rsidRPr="00F22925">
        <w:rPr>
          <w:lang w:val="fr-CA"/>
        </w:rPr>
        <w:t>.</w:t>
      </w:r>
      <w:r w:rsidRPr="00336568">
        <w:rPr>
          <w:lang w:val="fr-CA"/>
        </w:rPr>
        <w:t xml:space="preserve"> </w:t>
      </w:r>
      <w:r>
        <w:rPr>
          <w:lang w:val="fr-CA"/>
        </w:rPr>
        <w:t>À cet égard, il convient de rappeler que</w:t>
      </w:r>
      <w:r w:rsidRPr="00336568">
        <w:rPr>
          <w:lang w:val="fr-CA"/>
        </w:rPr>
        <w:t xml:space="preserve"> le troisième alinéa du préambule du présent projet de directives</w:t>
      </w:r>
      <w:r>
        <w:rPr>
          <w:lang w:val="fr-CA"/>
        </w:rPr>
        <w:t xml:space="preserve"> </w:t>
      </w:r>
      <w:r w:rsidRPr="00336568">
        <w:rPr>
          <w:lang w:val="fr-CA"/>
        </w:rPr>
        <w:lastRenderedPageBreak/>
        <w:t xml:space="preserve">dispose que la </w:t>
      </w:r>
      <w:r w:rsidRPr="009E2208">
        <w:rPr>
          <w:lang w:val="fr-FR"/>
        </w:rPr>
        <w:t xml:space="preserve">pollution atmosphérique et la dégradation atmosphérique sont </w:t>
      </w:r>
      <w:r>
        <w:rPr>
          <w:lang w:val="fr-FR"/>
        </w:rPr>
        <w:t>« </w:t>
      </w:r>
      <w:r w:rsidRPr="009E2208">
        <w:rPr>
          <w:lang w:val="fr-FR"/>
        </w:rPr>
        <w:t>un sujet de préoccupation pour l</w:t>
      </w:r>
      <w:r>
        <w:rPr>
          <w:lang w:val="fr-FR"/>
        </w:rPr>
        <w:t>’</w:t>
      </w:r>
      <w:r w:rsidRPr="009E2208">
        <w:rPr>
          <w:lang w:val="fr-FR"/>
        </w:rPr>
        <w:t>humanité tout entière</w:t>
      </w:r>
      <w:r>
        <w:rPr>
          <w:lang w:val="fr-FR"/>
        </w:rPr>
        <w:t> »</w:t>
      </w:r>
      <w:r w:rsidRPr="00F22925">
        <w:rPr>
          <w:lang w:val="fr-CA"/>
        </w:rPr>
        <w:t>.</w:t>
      </w:r>
    </w:p>
    <w:p w14:paraId="2C02B8CC" w14:textId="77777777" w:rsidR="00D01ECD" w:rsidRDefault="00D01ECD" w:rsidP="00D01ECD">
      <w:pPr>
        <w:pStyle w:val="SingleTxtG"/>
        <w:rPr>
          <w:lang w:val="fr-FR"/>
        </w:rPr>
      </w:pPr>
      <w:r w:rsidRPr="000A0208">
        <w:rPr>
          <w:lang w:val="fr-FR"/>
        </w:rPr>
        <w:t>2)</w:t>
      </w:r>
      <w:r w:rsidRPr="000A0208">
        <w:rPr>
          <w:lang w:val="fr-FR"/>
        </w:rPr>
        <w:tab/>
      </w:r>
      <w:r>
        <w:rPr>
          <w:lang w:val="fr-FR"/>
        </w:rPr>
        <w:t>L</w:t>
      </w:r>
      <w:r w:rsidRPr="009C6444">
        <w:rPr>
          <w:lang w:val="fr-FR"/>
        </w:rPr>
        <w:t>e paragraphe</w:t>
      </w:r>
      <w:r w:rsidRPr="00336568">
        <w:rPr>
          <w:lang w:val="fr-CA"/>
        </w:rPr>
        <w:t> </w:t>
      </w:r>
      <w:r w:rsidRPr="009C6444">
        <w:rPr>
          <w:lang w:val="fr-FR"/>
        </w:rPr>
        <w:t xml:space="preserve">1 </w:t>
      </w:r>
      <w:r>
        <w:rPr>
          <w:lang w:val="fr-FR"/>
        </w:rPr>
        <w:t>du présent projet de</w:t>
      </w:r>
      <w:r w:rsidRPr="009C6444">
        <w:rPr>
          <w:lang w:val="fr-FR"/>
        </w:rPr>
        <w:t xml:space="preserve"> directive énonce l</w:t>
      </w:r>
      <w:r>
        <w:rPr>
          <w:lang w:val="fr-FR"/>
        </w:rPr>
        <w:t>’</w:t>
      </w:r>
      <w:r w:rsidRPr="009C6444">
        <w:rPr>
          <w:lang w:val="fr-FR"/>
        </w:rPr>
        <w:t>obligation qu</w:t>
      </w:r>
      <w:r>
        <w:rPr>
          <w:lang w:val="fr-FR"/>
        </w:rPr>
        <w:t>’</w:t>
      </w:r>
      <w:r w:rsidRPr="009C6444">
        <w:rPr>
          <w:lang w:val="fr-FR"/>
        </w:rPr>
        <w:t>ont les États de coopérer selon qu</w:t>
      </w:r>
      <w:r>
        <w:rPr>
          <w:lang w:val="fr-FR"/>
        </w:rPr>
        <w:t>’</w:t>
      </w:r>
      <w:r w:rsidRPr="009C6444">
        <w:rPr>
          <w:lang w:val="fr-FR"/>
        </w:rPr>
        <w:t>il convient</w:t>
      </w:r>
      <w:r w:rsidRPr="00F22925">
        <w:rPr>
          <w:lang w:val="fr-FR"/>
        </w:rPr>
        <w:t>.</w:t>
      </w:r>
      <w:r w:rsidRPr="009C6444">
        <w:rPr>
          <w:lang w:val="fr-FR"/>
        </w:rPr>
        <w:t xml:space="preserve"> Concrètement, les États ont l</w:t>
      </w:r>
      <w:r>
        <w:rPr>
          <w:lang w:val="fr-FR"/>
        </w:rPr>
        <w:t>’</w:t>
      </w:r>
      <w:r w:rsidRPr="009C6444">
        <w:rPr>
          <w:lang w:val="fr-FR"/>
        </w:rPr>
        <w:t xml:space="preserve">obligation de coopérer entre eux et avec les organisations internationales </w:t>
      </w:r>
      <w:r>
        <w:rPr>
          <w:lang w:val="fr-FR"/>
        </w:rPr>
        <w:t>pertinentes</w:t>
      </w:r>
      <w:r w:rsidRPr="00F22925">
        <w:rPr>
          <w:lang w:val="fr-FR"/>
        </w:rPr>
        <w:t>.</w:t>
      </w:r>
      <w:r w:rsidRPr="009C6444">
        <w:rPr>
          <w:lang w:val="fr-FR"/>
        </w:rPr>
        <w:t xml:space="preserve"> L</w:t>
      </w:r>
      <w:r>
        <w:rPr>
          <w:lang w:val="fr-FR"/>
        </w:rPr>
        <w:t>’emploi de l’</w:t>
      </w:r>
      <w:r w:rsidRPr="009C6444">
        <w:rPr>
          <w:lang w:val="fr-FR"/>
        </w:rPr>
        <w:t>expression «</w:t>
      </w:r>
      <w:r w:rsidRPr="00336568">
        <w:rPr>
          <w:lang w:val="fr-CA"/>
        </w:rPr>
        <w:t> </w:t>
      </w:r>
      <w:r w:rsidRPr="009C6444">
        <w:rPr>
          <w:lang w:val="fr-FR"/>
        </w:rPr>
        <w:t>selon qu</w:t>
      </w:r>
      <w:r>
        <w:rPr>
          <w:lang w:val="fr-FR"/>
        </w:rPr>
        <w:t>’</w:t>
      </w:r>
      <w:r w:rsidRPr="009C6444">
        <w:rPr>
          <w:lang w:val="fr-FR"/>
        </w:rPr>
        <w:t>il convient</w:t>
      </w:r>
      <w:r w:rsidRPr="00336568">
        <w:rPr>
          <w:lang w:val="fr-CA"/>
        </w:rPr>
        <w:t> </w:t>
      </w:r>
      <w:r w:rsidRPr="009C6444">
        <w:rPr>
          <w:lang w:val="fr-FR"/>
        </w:rPr>
        <w:t xml:space="preserve">» vise à laisser une certaine souplesse aux États pour </w:t>
      </w:r>
      <w:r>
        <w:rPr>
          <w:lang w:val="fr-FR"/>
        </w:rPr>
        <w:t xml:space="preserve">ce qui est de </w:t>
      </w:r>
      <w:r w:rsidRPr="009C6444">
        <w:rPr>
          <w:lang w:val="fr-FR"/>
        </w:rPr>
        <w:t>s</w:t>
      </w:r>
      <w:r>
        <w:rPr>
          <w:lang w:val="fr-FR"/>
        </w:rPr>
        <w:t>’</w:t>
      </w:r>
      <w:r w:rsidRPr="009C6444">
        <w:rPr>
          <w:lang w:val="fr-FR"/>
        </w:rPr>
        <w:t xml:space="preserve">acquitter de </w:t>
      </w:r>
      <w:r>
        <w:rPr>
          <w:lang w:val="fr-FR"/>
        </w:rPr>
        <w:t xml:space="preserve">cette </w:t>
      </w:r>
      <w:r w:rsidRPr="009C6444">
        <w:rPr>
          <w:lang w:val="fr-FR"/>
        </w:rPr>
        <w:t>obligation en fonction de la nature et de l</w:t>
      </w:r>
      <w:r>
        <w:rPr>
          <w:lang w:val="fr-FR"/>
        </w:rPr>
        <w:t>’</w:t>
      </w:r>
      <w:r w:rsidRPr="009C6444">
        <w:rPr>
          <w:lang w:val="fr-FR"/>
        </w:rPr>
        <w:t>objet de la coopération</w:t>
      </w:r>
      <w:r>
        <w:rPr>
          <w:lang w:val="fr-FR"/>
        </w:rPr>
        <w:t xml:space="preserve"> et des règles de droit international applicables</w:t>
      </w:r>
      <w:r w:rsidRPr="00F22925">
        <w:rPr>
          <w:lang w:val="fr-FR"/>
        </w:rPr>
        <w:t>.</w:t>
      </w:r>
      <w:r w:rsidRPr="009C6444">
        <w:rPr>
          <w:lang w:val="fr-FR"/>
        </w:rPr>
        <w:t xml:space="preserve"> Les formes de coopération peuvent aussi varier selon la situation</w:t>
      </w:r>
      <w:r>
        <w:rPr>
          <w:lang w:val="fr-FR"/>
        </w:rPr>
        <w:t xml:space="preserve">, et </w:t>
      </w:r>
      <w:r w:rsidRPr="009C6444">
        <w:rPr>
          <w:lang w:val="fr-FR"/>
        </w:rPr>
        <w:t>une certaine marge d</w:t>
      </w:r>
      <w:r>
        <w:rPr>
          <w:lang w:val="fr-FR"/>
        </w:rPr>
        <w:t>’</w:t>
      </w:r>
      <w:r w:rsidRPr="009C6444">
        <w:rPr>
          <w:lang w:val="fr-FR"/>
        </w:rPr>
        <w:t xml:space="preserve">appréciation </w:t>
      </w:r>
      <w:r>
        <w:rPr>
          <w:lang w:val="fr-FR"/>
        </w:rPr>
        <w:t>est permise, dans le respect des règles de droit international applicables</w:t>
      </w:r>
      <w:r w:rsidRPr="00F22925">
        <w:rPr>
          <w:lang w:val="fr-FR"/>
        </w:rPr>
        <w:t>.</w:t>
      </w:r>
      <w:r w:rsidRPr="009C6444">
        <w:rPr>
          <w:lang w:val="fr-FR"/>
        </w:rPr>
        <w:t xml:space="preserve"> La coopération peut s</w:t>
      </w:r>
      <w:r>
        <w:rPr>
          <w:lang w:val="fr-FR"/>
        </w:rPr>
        <w:t>’</w:t>
      </w:r>
      <w:r w:rsidRPr="009C6444">
        <w:rPr>
          <w:lang w:val="fr-FR"/>
        </w:rPr>
        <w:t xml:space="preserve">exercer </w:t>
      </w:r>
      <w:proofErr w:type="gramStart"/>
      <w:r w:rsidRPr="009C6444">
        <w:rPr>
          <w:lang w:val="fr-FR"/>
        </w:rPr>
        <w:t>aux niveaux bilatéral</w:t>
      </w:r>
      <w:proofErr w:type="gramEnd"/>
      <w:r w:rsidRPr="009C6444">
        <w:rPr>
          <w:lang w:val="fr-FR"/>
        </w:rPr>
        <w:t>, régional ou multilatéral</w:t>
      </w:r>
      <w:r w:rsidRPr="00F22925">
        <w:rPr>
          <w:lang w:val="fr-FR"/>
        </w:rPr>
        <w:t>.</w:t>
      </w:r>
      <w:r w:rsidRPr="009C6444">
        <w:rPr>
          <w:lang w:val="fr-FR"/>
        </w:rPr>
        <w:t xml:space="preserve"> Les</w:t>
      </w:r>
      <w:r>
        <w:rPr>
          <w:lang w:val="fr-FR"/>
        </w:rPr>
        <w:t xml:space="preserve"> </w:t>
      </w:r>
      <w:r w:rsidRPr="009C6444">
        <w:rPr>
          <w:lang w:val="fr-FR"/>
        </w:rPr>
        <w:t xml:space="preserve">États peuvent aussi prendre individuellement </w:t>
      </w:r>
      <w:r>
        <w:rPr>
          <w:lang w:val="fr-FR"/>
        </w:rPr>
        <w:t xml:space="preserve">les </w:t>
      </w:r>
      <w:r w:rsidRPr="009C6444">
        <w:rPr>
          <w:lang w:val="fr-FR"/>
        </w:rPr>
        <w:t xml:space="preserve">mesures </w:t>
      </w:r>
      <w:r>
        <w:rPr>
          <w:lang w:val="fr-FR"/>
        </w:rPr>
        <w:t>qui conviennent</w:t>
      </w:r>
      <w:r w:rsidRPr="00F22925">
        <w:rPr>
          <w:lang w:val="fr-FR"/>
        </w:rPr>
        <w:t>.</w:t>
      </w:r>
    </w:p>
    <w:p w14:paraId="7F783B7A" w14:textId="77777777" w:rsidR="00D01ECD" w:rsidRDefault="00D01ECD" w:rsidP="00D01ECD">
      <w:pPr>
        <w:pStyle w:val="SingleTxtG"/>
        <w:rPr>
          <w:lang w:val="fr-FR"/>
        </w:rPr>
      </w:pPr>
      <w:r w:rsidRPr="000A0208">
        <w:rPr>
          <w:lang w:val="fr-FR"/>
        </w:rPr>
        <w:t>3)</w:t>
      </w:r>
      <w:r w:rsidRPr="000A0208">
        <w:rPr>
          <w:lang w:val="fr-FR"/>
        </w:rPr>
        <w:tab/>
      </w:r>
      <w:r w:rsidRPr="00336568">
        <w:rPr>
          <w:lang w:val="fr-CA"/>
        </w:rPr>
        <w:t>Dans l</w:t>
      </w:r>
      <w:r>
        <w:rPr>
          <w:lang w:val="fr-CA"/>
        </w:rPr>
        <w:t>’</w:t>
      </w:r>
      <w:r w:rsidRPr="00336568">
        <w:rPr>
          <w:lang w:val="fr-CA"/>
        </w:rPr>
        <w:t>affaire relative à des</w:t>
      </w:r>
      <w:r w:rsidRPr="00336568">
        <w:rPr>
          <w:i/>
          <w:lang w:val="fr-CA"/>
        </w:rPr>
        <w:t xml:space="preserve"> Usines de pâte à papier</w:t>
      </w:r>
      <w:r w:rsidRPr="00336568">
        <w:rPr>
          <w:lang w:val="fr-CA"/>
        </w:rPr>
        <w:t>, la Cour internationale de Justice a insisté sur les liens entre l</w:t>
      </w:r>
      <w:r>
        <w:rPr>
          <w:lang w:val="fr-CA"/>
        </w:rPr>
        <w:t>’</w:t>
      </w:r>
      <w:r w:rsidRPr="00336568">
        <w:rPr>
          <w:lang w:val="fr-CA"/>
        </w:rPr>
        <w:t>obligation de coopération entre les parties et l</w:t>
      </w:r>
      <w:r>
        <w:rPr>
          <w:lang w:val="fr-CA"/>
        </w:rPr>
        <w:t>’</w:t>
      </w:r>
      <w:r w:rsidRPr="00336568">
        <w:rPr>
          <w:lang w:val="fr-CA"/>
        </w:rPr>
        <w:t>obligation de prévention</w:t>
      </w:r>
      <w:r w:rsidRPr="00F22925">
        <w:rPr>
          <w:lang w:val="fr-CA"/>
        </w:rPr>
        <w:t>.</w:t>
      </w:r>
      <w:r w:rsidRPr="00336568">
        <w:rPr>
          <w:lang w:val="fr-CA"/>
        </w:rPr>
        <w:t xml:space="preserve"> La Cour a estimé que « c</w:t>
      </w:r>
      <w:r>
        <w:rPr>
          <w:lang w:val="fr-CA"/>
        </w:rPr>
        <w:t>’</w:t>
      </w:r>
      <w:r w:rsidRPr="00336568">
        <w:rPr>
          <w:lang w:val="fr-CA"/>
        </w:rPr>
        <w:t>est en coopérant que les États concernés peuvent gérer en commun les risques de dommages à l</w:t>
      </w:r>
      <w:r>
        <w:rPr>
          <w:lang w:val="fr-CA"/>
        </w:rPr>
        <w:t>’</w:t>
      </w:r>
      <w:r w:rsidRPr="00336568">
        <w:rPr>
          <w:lang w:val="fr-CA"/>
        </w:rPr>
        <w:t>environnement […] de manière à prévenir les dommages en question</w:t>
      </w:r>
      <w:r w:rsidRPr="00F22830">
        <w:rPr>
          <w:rStyle w:val="FootnoteReference"/>
        </w:rPr>
        <w:footnoteReference w:id="113"/>
      </w:r>
      <w:r w:rsidRPr="00336568">
        <w:rPr>
          <w:lang w:val="fr-CA"/>
        </w:rPr>
        <w:t> »</w:t>
      </w:r>
      <w:r w:rsidRPr="00F22925">
        <w:rPr>
          <w:lang w:val="fr-CA"/>
        </w:rPr>
        <w:t>.</w:t>
      </w:r>
    </w:p>
    <w:p w14:paraId="428EC190" w14:textId="77777777" w:rsidR="00D01ECD" w:rsidRPr="00357990" w:rsidRDefault="00D01ECD" w:rsidP="00D01ECD">
      <w:pPr>
        <w:pStyle w:val="SingleTxtG"/>
        <w:rPr>
          <w:lang w:val="fr-CA"/>
        </w:rPr>
      </w:pPr>
      <w:r w:rsidRPr="000A0208">
        <w:rPr>
          <w:lang w:val="fr-FR"/>
        </w:rPr>
        <w:t>4)</w:t>
      </w:r>
      <w:r w:rsidRPr="000A0208">
        <w:rPr>
          <w:lang w:val="fr-FR"/>
        </w:rPr>
        <w:tab/>
      </w:r>
      <w:r w:rsidRPr="00336568">
        <w:rPr>
          <w:lang w:val="fr-CA"/>
        </w:rPr>
        <w:t>Il est fait référence à la notion de coopération internationale dans plusieurs instruments multilatéraux intéressant la protection de l</w:t>
      </w:r>
      <w:r>
        <w:rPr>
          <w:lang w:val="fr-CA"/>
        </w:rPr>
        <w:t>’</w:t>
      </w:r>
      <w:r w:rsidRPr="00336568">
        <w:rPr>
          <w:lang w:val="fr-CA"/>
        </w:rPr>
        <w:t>environnement</w:t>
      </w:r>
      <w:r w:rsidRPr="00F22925">
        <w:rPr>
          <w:lang w:val="fr-CA"/>
        </w:rPr>
        <w:t>.</w:t>
      </w:r>
      <w:r w:rsidRPr="00336568">
        <w:rPr>
          <w:lang w:val="fr-CA"/>
        </w:rPr>
        <w:t xml:space="preserve"> Tant le principe 24 de la Déclaration de Stockholm que le principe 27 de la Déclaration de Rio soulignent l</w:t>
      </w:r>
      <w:r>
        <w:rPr>
          <w:lang w:val="fr-CA"/>
        </w:rPr>
        <w:t>’</w:t>
      </w:r>
      <w:r w:rsidRPr="00336568">
        <w:rPr>
          <w:lang w:val="fr-CA"/>
        </w:rPr>
        <w:t>importance de la coopération, et donc de la bonne foi et de l</w:t>
      </w:r>
      <w:r>
        <w:rPr>
          <w:lang w:val="fr-CA"/>
        </w:rPr>
        <w:t>’</w:t>
      </w:r>
      <w:r w:rsidRPr="00336568">
        <w:rPr>
          <w:lang w:val="fr-CA"/>
        </w:rPr>
        <w:t>esprit de solidarité</w:t>
      </w:r>
      <w:r w:rsidRPr="00F22830">
        <w:rPr>
          <w:rStyle w:val="FootnoteReference"/>
        </w:rPr>
        <w:footnoteReference w:id="114"/>
      </w:r>
      <w:r w:rsidRPr="00F22925">
        <w:rPr>
          <w:lang w:val="fr-CA"/>
        </w:rPr>
        <w:t>.</w:t>
      </w:r>
      <w:r w:rsidRPr="00336568">
        <w:rPr>
          <w:lang w:val="fr-CA"/>
        </w:rPr>
        <w:t xml:space="preserve"> En outre, parmi certains des traités en vigueur, la Convention de Vienne pour la protection de la couche d</w:t>
      </w:r>
      <w:r>
        <w:rPr>
          <w:lang w:val="fr-CA"/>
        </w:rPr>
        <w:t>’</w:t>
      </w:r>
      <w:r w:rsidRPr="00336568">
        <w:rPr>
          <w:lang w:val="fr-CA"/>
        </w:rPr>
        <w:t>ozone dispose, dans son préambule, que les Parties à cette convention sont « [</w:t>
      </w:r>
      <w:r w:rsidRPr="00336568">
        <w:rPr>
          <w:i/>
          <w:lang w:val="fr-CA"/>
        </w:rPr>
        <w:t>c</w:t>
      </w:r>
      <w:r w:rsidRPr="00336568">
        <w:rPr>
          <w:lang w:val="fr-CA"/>
        </w:rPr>
        <w:t>]</w:t>
      </w:r>
      <w:proofErr w:type="spellStart"/>
      <w:r w:rsidRPr="00336568">
        <w:rPr>
          <w:i/>
          <w:lang w:val="fr-CA"/>
        </w:rPr>
        <w:t>onscientes</w:t>
      </w:r>
      <w:proofErr w:type="spellEnd"/>
      <w:r w:rsidRPr="00336568">
        <w:rPr>
          <w:lang w:val="fr-CA"/>
        </w:rPr>
        <w:t xml:space="preserve"> que l</w:t>
      </w:r>
      <w:r>
        <w:rPr>
          <w:lang w:val="fr-CA"/>
        </w:rPr>
        <w:t>’</w:t>
      </w:r>
      <w:r w:rsidRPr="00336568">
        <w:rPr>
          <w:lang w:val="fr-CA"/>
        </w:rPr>
        <w:t>adoption de mesures visant à protéger la couche d</w:t>
      </w:r>
      <w:r>
        <w:rPr>
          <w:lang w:val="fr-CA"/>
        </w:rPr>
        <w:t>’</w:t>
      </w:r>
      <w:r w:rsidRPr="00336568">
        <w:rPr>
          <w:lang w:val="fr-CA"/>
        </w:rPr>
        <w:t>ozone des modifications imputables aux activités humaines ne peut se faire que dans le contexte d</w:t>
      </w:r>
      <w:r>
        <w:rPr>
          <w:lang w:val="fr-CA"/>
        </w:rPr>
        <w:t>’</w:t>
      </w:r>
      <w:r w:rsidRPr="00336568">
        <w:rPr>
          <w:lang w:val="fr-CA"/>
        </w:rPr>
        <w:t>une coopération et d</w:t>
      </w:r>
      <w:r>
        <w:rPr>
          <w:lang w:val="fr-CA"/>
        </w:rPr>
        <w:t>’</w:t>
      </w:r>
      <w:r w:rsidRPr="00336568">
        <w:rPr>
          <w:lang w:val="fr-CA"/>
        </w:rPr>
        <w:t>une action internationales »</w:t>
      </w:r>
      <w:r w:rsidRPr="00F22925">
        <w:rPr>
          <w:lang w:val="fr-CA"/>
        </w:rPr>
        <w:t>.</w:t>
      </w:r>
      <w:r w:rsidRPr="00336568">
        <w:rPr>
          <w:lang w:val="fr-CA"/>
        </w:rPr>
        <w:t xml:space="preserve"> De surcroît, dans le préambule de la Convention-cadre des Nations Unies sur les changements climatiques, les Parties se disent conscientes que « le caractère planétaire des changements climatiques requiert de tous les pays qu</w:t>
      </w:r>
      <w:r>
        <w:rPr>
          <w:lang w:val="fr-CA"/>
        </w:rPr>
        <w:t>’</w:t>
      </w:r>
      <w:r w:rsidRPr="00336568">
        <w:rPr>
          <w:lang w:val="fr-CA"/>
        </w:rPr>
        <w:t>ils coopèrent le plus possible et participent à une action internationale, efficace et appropriée », et réaffirment que « le principe de la souveraineté des États doit présider à la coopération internationale destinée à faire face aux changements climatiques</w:t>
      </w:r>
      <w:r w:rsidRPr="00F22925">
        <w:rPr>
          <w:lang w:val="fr-CA"/>
        </w:rPr>
        <w:t>.</w:t>
      </w:r>
      <w:r w:rsidRPr="00336568">
        <w:rPr>
          <w:lang w:val="fr-CA"/>
        </w:rPr>
        <w:t> »</w:t>
      </w:r>
      <w:r w:rsidRPr="00F22830">
        <w:rPr>
          <w:rStyle w:val="FootnoteReference"/>
        </w:rPr>
        <w:footnoteReference w:id="115"/>
      </w:r>
      <w:r w:rsidRPr="00F22925">
        <w:rPr>
          <w:lang w:val="fr-CA"/>
        </w:rPr>
        <w:t>.</w:t>
      </w:r>
      <w:r w:rsidRPr="00336568">
        <w:rPr>
          <w:lang w:val="fr-CA"/>
        </w:rPr>
        <w:t xml:space="preserve"> Aux termes de l</w:t>
      </w:r>
      <w:r>
        <w:rPr>
          <w:lang w:val="fr-CA"/>
        </w:rPr>
        <w:t>’</w:t>
      </w:r>
      <w:r w:rsidRPr="00336568">
        <w:rPr>
          <w:lang w:val="fr-CA"/>
        </w:rPr>
        <w:t>article 7 de l</w:t>
      </w:r>
      <w:r>
        <w:rPr>
          <w:lang w:val="fr-CA"/>
        </w:rPr>
        <w:t>’</w:t>
      </w:r>
      <w:r w:rsidRPr="00336568">
        <w:rPr>
          <w:lang w:val="fr-CA"/>
        </w:rPr>
        <w:t xml:space="preserve">Accord de Paris, les Parties </w:t>
      </w:r>
      <w:r w:rsidRPr="00336568">
        <w:rPr>
          <w:lang w:val="fr-CA"/>
        </w:rPr>
        <w:lastRenderedPageBreak/>
        <w:t>« reconnaissent l</w:t>
      </w:r>
      <w:r>
        <w:rPr>
          <w:lang w:val="fr-CA"/>
        </w:rPr>
        <w:t>’</w:t>
      </w:r>
      <w:r w:rsidRPr="00336568">
        <w:rPr>
          <w:lang w:val="fr-CA"/>
        </w:rPr>
        <w:t>importance de l</w:t>
      </w:r>
      <w:r>
        <w:rPr>
          <w:lang w:val="fr-CA"/>
        </w:rPr>
        <w:t>’</w:t>
      </w:r>
      <w:r w:rsidRPr="00336568">
        <w:rPr>
          <w:lang w:val="fr-CA"/>
        </w:rPr>
        <w:t>appui et de la coopération internationale aux efforts d</w:t>
      </w:r>
      <w:r>
        <w:rPr>
          <w:lang w:val="fr-CA"/>
        </w:rPr>
        <w:t>’</w:t>
      </w:r>
      <w:r w:rsidRPr="00336568">
        <w:rPr>
          <w:lang w:val="fr-CA"/>
        </w:rPr>
        <w:t>adaptation et la nécessité de prendre en considération les besoins des pays en développement parties, notamment de ceux qui sont particulièrement vulnérables aux effets néfastes des changements climatiques</w:t>
      </w:r>
      <w:r w:rsidRPr="00F22830">
        <w:rPr>
          <w:rStyle w:val="FootnoteReference"/>
        </w:rPr>
        <w:footnoteReference w:id="116"/>
      </w:r>
      <w:r w:rsidRPr="00336568">
        <w:rPr>
          <w:lang w:val="fr-CA"/>
        </w:rPr>
        <w:t> »</w:t>
      </w:r>
      <w:r w:rsidRPr="00F22925">
        <w:rPr>
          <w:lang w:val="fr-CA"/>
        </w:rPr>
        <w:t>.</w:t>
      </w:r>
      <w:r w:rsidRPr="00336568">
        <w:rPr>
          <w:lang w:val="fr-CA"/>
        </w:rPr>
        <w:t xml:space="preserve"> Dans le préambule, les Parties affirment en outre l</w:t>
      </w:r>
      <w:r>
        <w:rPr>
          <w:lang w:val="fr-CA"/>
        </w:rPr>
        <w:t>’</w:t>
      </w:r>
      <w:r w:rsidRPr="00336568">
        <w:rPr>
          <w:lang w:val="fr-CA"/>
        </w:rPr>
        <w:t>importance de l</w:t>
      </w:r>
      <w:r>
        <w:rPr>
          <w:lang w:val="fr-CA"/>
        </w:rPr>
        <w:t>’</w:t>
      </w:r>
      <w:r w:rsidRPr="00336568">
        <w:rPr>
          <w:lang w:val="fr-CA"/>
        </w:rPr>
        <w:t>éducation, de la formation, de la sensibilisation, de la participation du public, de l</w:t>
      </w:r>
      <w:r>
        <w:rPr>
          <w:lang w:val="fr-CA"/>
        </w:rPr>
        <w:t>’</w:t>
      </w:r>
      <w:r w:rsidRPr="00336568">
        <w:rPr>
          <w:lang w:val="fr-CA"/>
        </w:rPr>
        <w:t>accès de la population à l</w:t>
      </w:r>
      <w:r>
        <w:rPr>
          <w:lang w:val="fr-CA"/>
        </w:rPr>
        <w:t>’</w:t>
      </w:r>
      <w:r w:rsidRPr="00336568">
        <w:rPr>
          <w:lang w:val="fr-CA"/>
        </w:rPr>
        <w:t>information et de la coopération à tous les niveaux sur les questions traitées dans l</w:t>
      </w:r>
      <w:r>
        <w:rPr>
          <w:lang w:val="fr-CA"/>
        </w:rPr>
        <w:t>’</w:t>
      </w:r>
      <w:r w:rsidRPr="00336568">
        <w:rPr>
          <w:lang w:val="fr-CA"/>
        </w:rPr>
        <w:t>Accord</w:t>
      </w:r>
      <w:r w:rsidRPr="00F22830">
        <w:rPr>
          <w:rStyle w:val="FootnoteReference"/>
        </w:rPr>
        <w:footnoteReference w:id="117"/>
      </w:r>
      <w:r w:rsidRPr="00F22925">
        <w:rPr>
          <w:lang w:val="fr-CA"/>
        </w:rPr>
        <w:t>.</w:t>
      </w:r>
      <w:r w:rsidRPr="00336568">
        <w:rPr>
          <w:lang w:val="fr-CA"/>
        </w:rPr>
        <w:t xml:space="preserve"> </w:t>
      </w:r>
    </w:p>
    <w:p w14:paraId="79A49018" w14:textId="77777777" w:rsidR="00D01ECD" w:rsidRDefault="00D01ECD" w:rsidP="00D01ECD">
      <w:pPr>
        <w:pStyle w:val="SingleTxtG"/>
        <w:rPr>
          <w:lang w:val="fr-FR"/>
        </w:rPr>
      </w:pPr>
      <w:r>
        <w:rPr>
          <w:lang w:val="fr-FR"/>
        </w:rPr>
        <w:t>5</w:t>
      </w:r>
      <w:r w:rsidRPr="000A0208">
        <w:rPr>
          <w:lang w:val="fr-FR"/>
        </w:rPr>
        <w:t>)</w:t>
      </w:r>
      <w:r w:rsidRPr="000A0208">
        <w:rPr>
          <w:lang w:val="fr-FR"/>
        </w:rPr>
        <w:tab/>
      </w:r>
      <w:r w:rsidRPr="003013CC">
        <w:rPr>
          <w:lang w:val="fr-FR"/>
        </w:rPr>
        <w:t xml:space="preserve">Dans ses travaux, la Commission a </w:t>
      </w:r>
      <w:r>
        <w:rPr>
          <w:lang w:val="fr-FR"/>
        </w:rPr>
        <w:t>aussi affirmé l’importance de</w:t>
      </w:r>
      <w:r w:rsidRPr="003013CC">
        <w:rPr>
          <w:lang w:val="fr-FR"/>
        </w:rPr>
        <w:t xml:space="preserve"> </w:t>
      </w:r>
      <w:r>
        <w:rPr>
          <w:lang w:val="fr-FR"/>
        </w:rPr>
        <w:t>la coopération</w:t>
      </w:r>
      <w:r w:rsidRPr="00F22830">
        <w:rPr>
          <w:rStyle w:val="FootnoteReference"/>
        </w:rPr>
        <w:footnoteReference w:id="118"/>
      </w:r>
      <w:r>
        <w:rPr>
          <w:lang w:val="fr-FR"/>
        </w:rPr>
        <w:t>, qui peut</w:t>
      </w:r>
      <w:r w:rsidRPr="00B57FF7">
        <w:rPr>
          <w:lang w:val="fr-FR"/>
        </w:rPr>
        <w:t xml:space="preserve"> prendre </w:t>
      </w:r>
      <w:r>
        <w:rPr>
          <w:lang w:val="fr-FR"/>
        </w:rPr>
        <w:t>diverses</w:t>
      </w:r>
      <w:r w:rsidRPr="00B57FF7">
        <w:rPr>
          <w:lang w:val="fr-FR"/>
        </w:rPr>
        <w:t xml:space="preserve"> formes</w:t>
      </w:r>
      <w:r w:rsidRPr="00F22925">
        <w:rPr>
          <w:lang w:val="fr-FR"/>
        </w:rPr>
        <w:t>.</w:t>
      </w:r>
      <w:r w:rsidRPr="00B57FF7">
        <w:rPr>
          <w:lang w:val="fr-FR"/>
        </w:rPr>
        <w:t xml:space="preserve"> Le paragraphe</w:t>
      </w:r>
      <w:r>
        <w:rPr>
          <w:lang w:val="fr-FR"/>
        </w:rPr>
        <w:t> </w:t>
      </w:r>
      <w:r w:rsidRPr="00B57FF7">
        <w:rPr>
          <w:lang w:val="fr-FR"/>
        </w:rPr>
        <w:t>2 du projet de directive met l</w:t>
      </w:r>
      <w:r>
        <w:rPr>
          <w:lang w:val="fr-FR"/>
        </w:rPr>
        <w:t>’</w:t>
      </w:r>
      <w:r w:rsidRPr="00B57FF7">
        <w:rPr>
          <w:lang w:val="fr-FR"/>
        </w:rPr>
        <w:t>accent en particulier sur l</w:t>
      </w:r>
      <w:r>
        <w:rPr>
          <w:lang w:val="fr-FR"/>
        </w:rPr>
        <w:t>’</w:t>
      </w:r>
      <w:r w:rsidRPr="00B57FF7">
        <w:rPr>
          <w:lang w:val="fr-FR"/>
        </w:rPr>
        <w:t>importance de la coopération dans le contexte du développement des connaissances scientifiques et techniques sur les causes et les répercussions de la pollution atmosphérique et de la dégradation atmosphérique</w:t>
      </w:r>
      <w:r w:rsidRPr="00F22925">
        <w:rPr>
          <w:lang w:val="fr-FR"/>
        </w:rPr>
        <w:t>.</w:t>
      </w:r>
      <w:r w:rsidRPr="00B57FF7">
        <w:rPr>
          <w:lang w:val="fr-FR"/>
        </w:rPr>
        <w:t xml:space="preserve"> Il met aussi l</w:t>
      </w:r>
      <w:r>
        <w:rPr>
          <w:lang w:val="fr-FR"/>
        </w:rPr>
        <w:t>’</w:t>
      </w:r>
      <w:r w:rsidRPr="00B57FF7">
        <w:rPr>
          <w:lang w:val="fr-FR"/>
        </w:rPr>
        <w:t>accent sur l</w:t>
      </w:r>
      <w:r>
        <w:rPr>
          <w:lang w:val="fr-FR"/>
        </w:rPr>
        <w:t>’</w:t>
      </w:r>
      <w:r w:rsidRPr="00B57FF7">
        <w:rPr>
          <w:lang w:val="fr-FR"/>
        </w:rPr>
        <w:t>échange d</w:t>
      </w:r>
      <w:r>
        <w:rPr>
          <w:lang w:val="fr-FR"/>
        </w:rPr>
        <w:t>’</w:t>
      </w:r>
      <w:r w:rsidRPr="00B57FF7">
        <w:rPr>
          <w:lang w:val="fr-FR"/>
        </w:rPr>
        <w:t>informations et le suivi conjoint</w:t>
      </w:r>
      <w:r w:rsidRPr="00F22925">
        <w:rPr>
          <w:lang w:val="fr-FR"/>
        </w:rPr>
        <w:t>.</w:t>
      </w:r>
      <w:r>
        <w:rPr>
          <w:lang w:val="fr-FR"/>
        </w:rPr>
        <w:t xml:space="preserve"> </w:t>
      </w:r>
    </w:p>
    <w:p w14:paraId="3938E04E" w14:textId="77777777" w:rsidR="00D01ECD" w:rsidRDefault="00D01ECD" w:rsidP="00D01ECD">
      <w:pPr>
        <w:pStyle w:val="SingleTxtG"/>
        <w:keepLines/>
        <w:rPr>
          <w:lang w:val="fr-FR"/>
        </w:rPr>
      </w:pPr>
      <w:r>
        <w:rPr>
          <w:lang w:val="fr-FR"/>
        </w:rPr>
        <w:t>6</w:t>
      </w:r>
      <w:r w:rsidRPr="000A0208">
        <w:rPr>
          <w:lang w:val="fr-FR"/>
        </w:rPr>
        <w:t>)</w:t>
      </w:r>
      <w:r w:rsidRPr="000A0208">
        <w:rPr>
          <w:lang w:val="fr-FR"/>
        </w:rPr>
        <w:tab/>
      </w:r>
      <w:r w:rsidRPr="00AB608B">
        <w:rPr>
          <w:lang w:val="fr-FR"/>
        </w:rPr>
        <w:t>La Convention de Vienne pour la protection de la couche d</w:t>
      </w:r>
      <w:r>
        <w:rPr>
          <w:lang w:val="fr-FR"/>
        </w:rPr>
        <w:t>’</w:t>
      </w:r>
      <w:r w:rsidRPr="00AB608B">
        <w:rPr>
          <w:lang w:val="fr-FR"/>
        </w:rPr>
        <w:t>ozone dispose, dans son préambule, que la coopération et l</w:t>
      </w:r>
      <w:r>
        <w:rPr>
          <w:lang w:val="fr-FR"/>
        </w:rPr>
        <w:t>’</w:t>
      </w:r>
      <w:r w:rsidRPr="00AB608B">
        <w:rPr>
          <w:lang w:val="fr-FR"/>
        </w:rPr>
        <w:t>action internationales devraient être fondées «</w:t>
      </w:r>
      <w:r>
        <w:rPr>
          <w:lang w:val="fr-FR"/>
        </w:rPr>
        <w:t> </w:t>
      </w:r>
      <w:r w:rsidRPr="00AB608B">
        <w:rPr>
          <w:lang w:val="fr-FR"/>
        </w:rPr>
        <w:t>sur des données scientifiques et techniques pertinentes</w:t>
      </w:r>
      <w:r>
        <w:rPr>
          <w:lang w:val="fr-FR"/>
        </w:rPr>
        <w:t> </w:t>
      </w:r>
      <w:r w:rsidRPr="00AB608B">
        <w:rPr>
          <w:lang w:val="fr-FR"/>
        </w:rPr>
        <w:t>» et, au paragraphe</w:t>
      </w:r>
      <w:r>
        <w:rPr>
          <w:lang w:val="fr-FR"/>
        </w:rPr>
        <w:t> </w:t>
      </w:r>
      <w:r w:rsidRPr="00AB608B">
        <w:rPr>
          <w:lang w:val="fr-FR"/>
        </w:rPr>
        <w:t>1 de son article</w:t>
      </w:r>
      <w:r>
        <w:rPr>
          <w:lang w:val="fr-FR"/>
        </w:rPr>
        <w:t> </w:t>
      </w:r>
      <w:r w:rsidRPr="00AB608B">
        <w:rPr>
          <w:lang w:val="fr-FR"/>
        </w:rPr>
        <w:t>4, relatif à la coopération dans les domaines juridique, scientifique et technique, il est prévu ce qui suit</w:t>
      </w:r>
      <w:r>
        <w:rPr>
          <w:lang w:val="fr-FR"/>
        </w:rPr>
        <w:t> :</w:t>
      </w:r>
    </w:p>
    <w:p w14:paraId="5601E647" w14:textId="77777777" w:rsidR="00D01ECD" w:rsidRPr="000A0208" w:rsidRDefault="00D01ECD" w:rsidP="00D01ECD">
      <w:pPr>
        <w:pStyle w:val="SingleTxtG"/>
        <w:ind w:left="1701" w:firstLine="567"/>
        <w:rPr>
          <w:lang w:val="fr-FR"/>
        </w:rPr>
      </w:pPr>
      <w:r w:rsidRPr="00AB608B">
        <w:rPr>
          <w:lang w:val="fr-FR"/>
        </w:rPr>
        <w:t>Les Parties facilitent et encouragent l</w:t>
      </w:r>
      <w:r>
        <w:rPr>
          <w:lang w:val="fr-FR"/>
        </w:rPr>
        <w:t>’</w:t>
      </w:r>
      <w:r w:rsidRPr="00AB608B">
        <w:rPr>
          <w:lang w:val="fr-FR"/>
        </w:rPr>
        <w:t>échange des renseignements scientifiques, techniques, socioéconomiques, commerciaux et juridiques appropriés aux fins de la présente Convention et comme précisé à l</w:t>
      </w:r>
      <w:r>
        <w:rPr>
          <w:lang w:val="fr-FR"/>
        </w:rPr>
        <w:t>’</w:t>
      </w:r>
      <w:r w:rsidRPr="00AB608B">
        <w:rPr>
          <w:lang w:val="fr-FR"/>
        </w:rPr>
        <w:t>annexe</w:t>
      </w:r>
      <w:r>
        <w:rPr>
          <w:lang w:val="fr-FR"/>
        </w:rPr>
        <w:t> </w:t>
      </w:r>
      <w:r w:rsidRPr="00AB608B">
        <w:rPr>
          <w:lang w:val="fr-FR"/>
        </w:rPr>
        <w:t>II</w:t>
      </w:r>
      <w:r w:rsidRPr="00F22925">
        <w:rPr>
          <w:lang w:val="fr-FR"/>
        </w:rPr>
        <w:t>.</w:t>
      </w:r>
      <w:r w:rsidRPr="00AB608B">
        <w:rPr>
          <w:lang w:val="fr-FR"/>
        </w:rPr>
        <w:t xml:space="preserve"> Ces</w:t>
      </w:r>
      <w:r>
        <w:rPr>
          <w:lang w:val="fr-FR"/>
        </w:rPr>
        <w:t> </w:t>
      </w:r>
      <w:r w:rsidRPr="00AB608B">
        <w:rPr>
          <w:lang w:val="fr-FR"/>
        </w:rPr>
        <w:t>renseignements sont fournis aux organes agréés par les Parties</w:t>
      </w:r>
      <w:r w:rsidRPr="00F22925">
        <w:rPr>
          <w:lang w:val="fr-FR"/>
        </w:rPr>
        <w:t>.</w:t>
      </w:r>
    </w:p>
    <w:p w14:paraId="21EC18BF" w14:textId="77777777" w:rsidR="00D01ECD" w:rsidRPr="000A0208" w:rsidRDefault="00D01ECD" w:rsidP="00D01ECD">
      <w:pPr>
        <w:pStyle w:val="SingleTxtG"/>
        <w:ind w:firstLine="567"/>
        <w:rPr>
          <w:lang w:val="fr-FR"/>
        </w:rPr>
      </w:pPr>
      <w:r w:rsidRPr="00AB608B">
        <w:rPr>
          <w:lang w:val="fr-FR"/>
        </w:rPr>
        <w:lastRenderedPageBreak/>
        <w:t>L</w:t>
      </w:r>
      <w:r>
        <w:rPr>
          <w:lang w:val="fr-FR"/>
        </w:rPr>
        <w:t>’</w:t>
      </w:r>
      <w:r w:rsidRPr="00AB608B">
        <w:rPr>
          <w:lang w:val="fr-FR"/>
        </w:rPr>
        <w:t xml:space="preserve">annexe II de la Convention énumère </w:t>
      </w:r>
      <w:r>
        <w:rPr>
          <w:lang w:val="fr-FR"/>
        </w:rPr>
        <w:t>dans le détail</w:t>
      </w:r>
      <w:r w:rsidRPr="00AB608B">
        <w:rPr>
          <w:lang w:val="fr-FR"/>
        </w:rPr>
        <w:t xml:space="preserve"> les renseignements susceptibles d</w:t>
      </w:r>
      <w:r>
        <w:rPr>
          <w:lang w:val="fr-FR"/>
        </w:rPr>
        <w:t>’</w:t>
      </w:r>
      <w:r w:rsidRPr="00AB608B">
        <w:rPr>
          <w:lang w:val="fr-FR"/>
        </w:rPr>
        <w:t>être échangés</w:t>
      </w:r>
      <w:r w:rsidRPr="00F22925">
        <w:rPr>
          <w:lang w:val="fr-FR"/>
        </w:rPr>
        <w:t>.</w:t>
      </w:r>
      <w:r w:rsidRPr="00AB608B">
        <w:rPr>
          <w:lang w:val="fr-FR"/>
        </w:rPr>
        <w:t xml:space="preserve"> Le paragraphe</w:t>
      </w:r>
      <w:r>
        <w:rPr>
          <w:lang w:val="fr-FR"/>
        </w:rPr>
        <w:t> </w:t>
      </w:r>
      <w:r w:rsidRPr="00AB608B">
        <w:rPr>
          <w:lang w:val="fr-FR"/>
        </w:rPr>
        <w:t>2 de l</w:t>
      </w:r>
      <w:r>
        <w:rPr>
          <w:lang w:val="fr-FR"/>
        </w:rPr>
        <w:t>’</w:t>
      </w:r>
      <w:r w:rsidRPr="00AB608B">
        <w:rPr>
          <w:lang w:val="fr-FR"/>
        </w:rPr>
        <w:t>article</w:t>
      </w:r>
      <w:r>
        <w:rPr>
          <w:lang w:val="fr-FR"/>
        </w:rPr>
        <w:t> </w:t>
      </w:r>
      <w:r w:rsidRPr="00AB608B">
        <w:rPr>
          <w:lang w:val="fr-FR"/>
        </w:rPr>
        <w:t>4 prévoit que les Parties coopèrent dans les domaines techniques, en tenant compte des besoins des pays en développement</w:t>
      </w:r>
      <w:r w:rsidRPr="00F22925">
        <w:rPr>
          <w:lang w:val="fr-FR"/>
        </w:rPr>
        <w:t>.</w:t>
      </w:r>
      <w:r w:rsidRPr="000A0208">
        <w:rPr>
          <w:lang w:val="fr-FR"/>
        </w:rPr>
        <w:t xml:space="preserve"> </w:t>
      </w:r>
    </w:p>
    <w:p w14:paraId="797E20E3" w14:textId="77777777" w:rsidR="00D01ECD" w:rsidRPr="000A0208" w:rsidRDefault="00D01ECD" w:rsidP="00D01ECD">
      <w:pPr>
        <w:pStyle w:val="SingleTxtG"/>
        <w:rPr>
          <w:lang w:val="fr-FR"/>
        </w:rPr>
      </w:pPr>
      <w:r>
        <w:rPr>
          <w:lang w:val="fr-FR"/>
        </w:rPr>
        <w:t>7</w:t>
      </w:r>
      <w:r w:rsidRPr="000A0208">
        <w:rPr>
          <w:lang w:val="fr-FR"/>
        </w:rPr>
        <w:t>)</w:t>
      </w:r>
      <w:r>
        <w:rPr>
          <w:lang w:val="fr-FR"/>
        </w:rPr>
        <w:tab/>
      </w:r>
      <w:r w:rsidRPr="00AB608B">
        <w:rPr>
          <w:lang w:val="fr-FR"/>
        </w:rPr>
        <w:t>Le paragraphe</w:t>
      </w:r>
      <w:r>
        <w:rPr>
          <w:lang w:val="fr-FR"/>
        </w:rPr>
        <w:t> </w:t>
      </w:r>
      <w:r w:rsidRPr="00AB608B">
        <w:rPr>
          <w:lang w:val="fr-FR"/>
        </w:rPr>
        <w:t>1 de l</w:t>
      </w:r>
      <w:r>
        <w:rPr>
          <w:lang w:val="fr-FR"/>
        </w:rPr>
        <w:t>’</w:t>
      </w:r>
      <w:r w:rsidRPr="00AB608B">
        <w:rPr>
          <w:lang w:val="fr-FR"/>
        </w:rPr>
        <w:t>article</w:t>
      </w:r>
      <w:r>
        <w:rPr>
          <w:lang w:val="fr-FR"/>
        </w:rPr>
        <w:t> </w:t>
      </w:r>
      <w:r w:rsidRPr="00AB608B">
        <w:rPr>
          <w:lang w:val="fr-FR"/>
        </w:rPr>
        <w:t>4 de la Convention-cadre des Nations Unies sur les changements climatiques, relatif aux engagements, dispose</w:t>
      </w:r>
      <w:r>
        <w:rPr>
          <w:lang w:val="fr-FR"/>
        </w:rPr>
        <w:t> :</w:t>
      </w:r>
    </w:p>
    <w:p w14:paraId="76C0ABEF" w14:textId="77777777" w:rsidR="00D01ECD" w:rsidRPr="000A0208" w:rsidRDefault="00D01ECD" w:rsidP="00D01ECD">
      <w:pPr>
        <w:pStyle w:val="SingleTxtG"/>
        <w:ind w:left="1701" w:firstLine="567"/>
        <w:rPr>
          <w:lang w:val="fr-FR"/>
        </w:rPr>
      </w:pPr>
      <w:r w:rsidRPr="00AB608B">
        <w:rPr>
          <w:lang w:val="fr-FR"/>
        </w:rPr>
        <w:t>«</w:t>
      </w:r>
      <w:r>
        <w:rPr>
          <w:lang w:val="fr-FR"/>
        </w:rPr>
        <w:t> </w:t>
      </w:r>
      <w:r w:rsidRPr="00AB608B">
        <w:rPr>
          <w:lang w:val="fr-FR"/>
        </w:rPr>
        <w:t xml:space="preserve">Toutes les Parties </w:t>
      </w:r>
      <w:r>
        <w:rPr>
          <w:lang w:val="fr-FR"/>
        </w:rPr>
        <w:t>[</w:t>
      </w:r>
      <w:r w:rsidRPr="00AB608B">
        <w:rPr>
          <w:lang w:val="fr-FR"/>
        </w:rPr>
        <w:t>…</w:t>
      </w:r>
      <w:r>
        <w:rPr>
          <w:lang w:val="fr-FR"/>
        </w:rPr>
        <w:t>]</w:t>
      </w:r>
      <w:r w:rsidRPr="00AB608B">
        <w:rPr>
          <w:lang w:val="fr-FR"/>
        </w:rPr>
        <w:t xml:space="preserve"> e) [p]réparent, en coopération, l</w:t>
      </w:r>
      <w:r>
        <w:rPr>
          <w:lang w:val="fr-FR"/>
        </w:rPr>
        <w:t>’</w:t>
      </w:r>
      <w:r w:rsidRPr="00AB608B">
        <w:rPr>
          <w:lang w:val="fr-FR"/>
        </w:rPr>
        <w:t>adaptation à l</w:t>
      </w:r>
      <w:r>
        <w:rPr>
          <w:lang w:val="fr-FR"/>
        </w:rPr>
        <w:t>’</w:t>
      </w:r>
      <w:r w:rsidRPr="00AB608B">
        <w:rPr>
          <w:lang w:val="fr-FR"/>
        </w:rPr>
        <w:t>impact des changements climatiques</w:t>
      </w:r>
      <w:r>
        <w:rPr>
          <w:lang w:val="fr-FR"/>
        </w:rPr>
        <w:t> ;</w:t>
      </w:r>
      <w:r w:rsidRPr="00AB608B">
        <w:rPr>
          <w:lang w:val="fr-FR"/>
        </w:rPr>
        <w:t xml:space="preserve"> </w:t>
      </w:r>
      <w:r>
        <w:rPr>
          <w:lang w:val="fr-FR"/>
        </w:rPr>
        <w:t>[</w:t>
      </w:r>
      <w:r w:rsidRPr="00AB608B">
        <w:rPr>
          <w:lang w:val="fr-FR"/>
        </w:rPr>
        <w:t>…</w:t>
      </w:r>
      <w:r>
        <w:rPr>
          <w:lang w:val="fr-FR"/>
        </w:rPr>
        <w:t>]</w:t>
      </w:r>
      <w:r w:rsidRPr="00AB608B">
        <w:rPr>
          <w:lang w:val="fr-FR"/>
        </w:rPr>
        <w:t xml:space="preserve"> g) [e]</w:t>
      </w:r>
      <w:proofErr w:type="spellStart"/>
      <w:r w:rsidRPr="00AB608B">
        <w:rPr>
          <w:lang w:val="fr-FR"/>
        </w:rPr>
        <w:t>ncouragent</w:t>
      </w:r>
      <w:proofErr w:type="spellEnd"/>
      <w:r w:rsidRPr="00AB608B">
        <w:rPr>
          <w:lang w:val="fr-FR"/>
        </w:rPr>
        <w:t xml:space="preserve"> et soutiennent par leur coopération les travaux de recherche scientifique, technologique, technique, socioéconomique et autres, l</w:t>
      </w:r>
      <w:r>
        <w:rPr>
          <w:lang w:val="fr-FR"/>
        </w:rPr>
        <w:t>’</w:t>
      </w:r>
      <w:r w:rsidRPr="00AB608B">
        <w:rPr>
          <w:lang w:val="fr-FR"/>
        </w:rPr>
        <w:t>observation systématique et la constitution d</w:t>
      </w:r>
      <w:r>
        <w:rPr>
          <w:lang w:val="fr-FR"/>
        </w:rPr>
        <w:t>’</w:t>
      </w:r>
      <w:r w:rsidRPr="00AB608B">
        <w:rPr>
          <w:lang w:val="fr-FR"/>
        </w:rPr>
        <w:t>archives de données sur le système climatique permettant de mieux comprendre les causes, les effets, l</w:t>
      </w:r>
      <w:r>
        <w:rPr>
          <w:lang w:val="fr-FR"/>
        </w:rPr>
        <w:t>’</w:t>
      </w:r>
      <w:r w:rsidRPr="00AB608B">
        <w:rPr>
          <w:lang w:val="fr-FR"/>
        </w:rPr>
        <w:t>ampleur et l</w:t>
      </w:r>
      <w:r>
        <w:rPr>
          <w:lang w:val="fr-FR"/>
        </w:rPr>
        <w:t>’</w:t>
      </w:r>
      <w:r w:rsidRPr="00AB608B">
        <w:rPr>
          <w:lang w:val="fr-FR"/>
        </w:rPr>
        <w:t>échelonnement dans le temps des changements climatiques, ainsi que les conséquences économiques et sociales des diverses stratégies de riposte, et de réduire et dissiper les incertitudes qui subsistent à cet égard</w:t>
      </w:r>
      <w:r>
        <w:rPr>
          <w:lang w:val="fr-FR"/>
        </w:rPr>
        <w:t> ;</w:t>
      </w:r>
      <w:r w:rsidRPr="00AB608B">
        <w:rPr>
          <w:lang w:val="fr-FR"/>
        </w:rPr>
        <w:t xml:space="preserve"> h) [e]</w:t>
      </w:r>
      <w:proofErr w:type="spellStart"/>
      <w:r w:rsidRPr="00AB608B">
        <w:rPr>
          <w:lang w:val="fr-FR"/>
        </w:rPr>
        <w:t>ncouragent</w:t>
      </w:r>
      <w:proofErr w:type="spellEnd"/>
      <w:r w:rsidRPr="00AB608B">
        <w:rPr>
          <w:lang w:val="fr-FR"/>
        </w:rPr>
        <w:t xml:space="preserve"> et soutiennent par leur coopération l</w:t>
      </w:r>
      <w:r>
        <w:rPr>
          <w:lang w:val="fr-FR"/>
        </w:rPr>
        <w:t>’</w:t>
      </w:r>
      <w:r w:rsidRPr="00AB608B">
        <w:rPr>
          <w:lang w:val="fr-FR"/>
        </w:rPr>
        <w:t>échange de données scientifiques, technologiques, techniques, socioéconomiques et juridiques sur le système climatique et les changements climatiques ainsi que sur les conséquences économiques et sociales des diverses stratégies de riposte, ces données devant être échangées dans leur intégralité, librement et promptement</w:t>
      </w:r>
      <w:r>
        <w:rPr>
          <w:lang w:val="fr-FR"/>
        </w:rPr>
        <w:t> ;</w:t>
      </w:r>
      <w:r w:rsidRPr="00AB608B">
        <w:rPr>
          <w:lang w:val="fr-FR"/>
        </w:rPr>
        <w:t xml:space="preserve"> i) [e]</w:t>
      </w:r>
      <w:proofErr w:type="spellStart"/>
      <w:r w:rsidRPr="00AB608B">
        <w:rPr>
          <w:lang w:val="fr-FR"/>
        </w:rPr>
        <w:t>ncouragent</w:t>
      </w:r>
      <w:proofErr w:type="spellEnd"/>
      <w:r w:rsidRPr="00AB608B">
        <w:rPr>
          <w:lang w:val="fr-FR"/>
        </w:rPr>
        <w:t xml:space="preserve"> et soutiennent par leur coopération l</w:t>
      </w:r>
      <w:r>
        <w:rPr>
          <w:lang w:val="fr-FR"/>
        </w:rPr>
        <w:t>’</w:t>
      </w:r>
      <w:r w:rsidRPr="00AB608B">
        <w:rPr>
          <w:lang w:val="fr-FR"/>
        </w:rPr>
        <w:t>éducation, la formation et la sensibilisation du public dans le domaine des changements climatiques et encouragent la participation la plus large à ce processus, notamment celle des organisations non gouvernementales</w:t>
      </w:r>
      <w:r w:rsidRPr="00F22925">
        <w:rPr>
          <w:lang w:val="fr-FR"/>
        </w:rPr>
        <w:t>.</w:t>
      </w:r>
      <w:r>
        <w:rPr>
          <w:lang w:val="fr-FR"/>
        </w:rPr>
        <w:t> </w:t>
      </w:r>
      <w:r w:rsidRPr="00AB608B">
        <w:rPr>
          <w:lang w:val="fr-FR"/>
        </w:rPr>
        <w:t>»</w:t>
      </w:r>
      <w:r w:rsidRPr="00F22925">
        <w:rPr>
          <w:lang w:val="fr-FR"/>
        </w:rPr>
        <w:t>.</w:t>
      </w:r>
    </w:p>
    <w:p w14:paraId="5890D93F" w14:textId="77777777" w:rsidR="00D01ECD" w:rsidRDefault="00D01ECD" w:rsidP="00D01ECD">
      <w:pPr>
        <w:pStyle w:val="SingleTxtG"/>
        <w:keepNext/>
        <w:rPr>
          <w:lang w:val="fr-FR"/>
        </w:rPr>
      </w:pPr>
      <w:r>
        <w:rPr>
          <w:lang w:val="fr-FR"/>
        </w:rPr>
        <w:t>8</w:t>
      </w:r>
      <w:r w:rsidRPr="000A0208">
        <w:rPr>
          <w:lang w:val="fr-FR"/>
        </w:rPr>
        <w:t>)</w:t>
      </w:r>
      <w:r>
        <w:rPr>
          <w:lang w:val="fr-FR"/>
        </w:rPr>
        <w:tab/>
        <w:t>Dans ce contexte, l’</w:t>
      </w:r>
      <w:r w:rsidRPr="00AB608B">
        <w:rPr>
          <w:lang w:val="fr-FR"/>
        </w:rPr>
        <w:t xml:space="preserve">obligation de coopérer englobe notamment, </w:t>
      </w:r>
      <w:r>
        <w:rPr>
          <w:lang w:val="fr-FR"/>
        </w:rPr>
        <w:t xml:space="preserve">en tant que de besoin, </w:t>
      </w:r>
      <w:r w:rsidRPr="00AB608B">
        <w:rPr>
          <w:lang w:val="fr-FR"/>
        </w:rPr>
        <w:t>l</w:t>
      </w:r>
      <w:r>
        <w:rPr>
          <w:lang w:val="fr-FR"/>
        </w:rPr>
        <w:t>’</w:t>
      </w:r>
      <w:r w:rsidRPr="00AB608B">
        <w:rPr>
          <w:lang w:val="fr-FR"/>
        </w:rPr>
        <w:t>échange d</w:t>
      </w:r>
      <w:r>
        <w:rPr>
          <w:lang w:val="fr-FR"/>
        </w:rPr>
        <w:t>’</w:t>
      </w:r>
      <w:r w:rsidRPr="00AB608B">
        <w:rPr>
          <w:lang w:val="fr-FR"/>
        </w:rPr>
        <w:t>informations</w:t>
      </w:r>
      <w:r w:rsidRPr="00F22925">
        <w:rPr>
          <w:lang w:val="fr-FR"/>
        </w:rPr>
        <w:t>.</w:t>
      </w:r>
      <w:r w:rsidRPr="00AB608B">
        <w:rPr>
          <w:lang w:val="fr-FR"/>
        </w:rPr>
        <w:t xml:space="preserve"> À cet égard, on </w:t>
      </w:r>
      <w:r>
        <w:rPr>
          <w:lang w:val="fr-FR"/>
        </w:rPr>
        <w:t>retiendra</w:t>
      </w:r>
      <w:r w:rsidRPr="00AB608B">
        <w:rPr>
          <w:lang w:val="fr-FR"/>
        </w:rPr>
        <w:t xml:space="preserve"> que l</w:t>
      </w:r>
      <w:r>
        <w:rPr>
          <w:lang w:val="fr-FR"/>
        </w:rPr>
        <w:t>’</w:t>
      </w:r>
      <w:r w:rsidRPr="00AB608B">
        <w:rPr>
          <w:lang w:val="fr-FR"/>
        </w:rPr>
        <w:t>article</w:t>
      </w:r>
      <w:r>
        <w:rPr>
          <w:lang w:val="fr-FR"/>
        </w:rPr>
        <w:t> </w:t>
      </w:r>
      <w:r w:rsidRPr="00AB608B">
        <w:rPr>
          <w:lang w:val="fr-FR"/>
        </w:rPr>
        <w:t>9 de la Convention sur le droit relatif aux utilisations des cours d</w:t>
      </w:r>
      <w:r>
        <w:rPr>
          <w:lang w:val="fr-FR"/>
        </w:rPr>
        <w:t>’</w:t>
      </w:r>
      <w:r w:rsidRPr="00AB608B">
        <w:rPr>
          <w:lang w:val="fr-FR"/>
        </w:rPr>
        <w:t>eau internationaux à des fins autres que la navigation comporte un ensemble précis de dispositions concernant l</w:t>
      </w:r>
      <w:r>
        <w:rPr>
          <w:lang w:val="fr-FR"/>
        </w:rPr>
        <w:t>’</w:t>
      </w:r>
      <w:r w:rsidRPr="00AB608B">
        <w:rPr>
          <w:lang w:val="fr-FR"/>
        </w:rPr>
        <w:t>échange de données et d</w:t>
      </w:r>
      <w:r>
        <w:rPr>
          <w:lang w:val="fr-FR"/>
        </w:rPr>
        <w:t>’</w:t>
      </w:r>
      <w:r w:rsidRPr="00AB608B">
        <w:rPr>
          <w:lang w:val="fr-FR"/>
        </w:rPr>
        <w:t>informations</w:t>
      </w:r>
      <w:r w:rsidRPr="00F22925">
        <w:rPr>
          <w:lang w:val="fr-FR"/>
        </w:rPr>
        <w:t>.</w:t>
      </w:r>
      <w:r w:rsidRPr="00AB608B">
        <w:rPr>
          <w:lang w:val="fr-FR"/>
        </w:rPr>
        <w:t xml:space="preserve"> La Convention sur la pollution atmosphérique transfrontière à longue distance prévoit quant à elle, dans son article</w:t>
      </w:r>
      <w:r>
        <w:rPr>
          <w:lang w:val="fr-FR"/>
        </w:rPr>
        <w:t> </w:t>
      </w:r>
      <w:r w:rsidRPr="00AB608B">
        <w:rPr>
          <w:lang w:val="fr-FR"/>
        </w:rPr>
        <w:t>4, que «</w:t>
      </w:r>
      <w:r>
        <w:rPr>
          <w:lang w:val="fr-FR"/>
        </w:rPr>
        <w:t> </w:t>
      </w:r>
      <w:r w:rsidRPr="00AB608B">
        <w:rPr>
          <w:lang w:val="fr-FR"/>
        </w:rPr>
        <w:t>[l]es Parties contractantes échangeront des informations et procéderont à des tours d</w:t>
      </w:r>
      <w:r>
        <w:rPr>
          <w:lang w:val="fr-FR"/>
        </w:rPr>
        <w:t>’</w:t>
      </w:r>
      <w:r w:rsidRPr="00AB608B">
        <w:rPr>
          <w:lang w:val="fr-FR"/>
        </w:rPr>
        <w:t>horizon sur leurs politiques, leurs activités scientifiques et les mesures techniques ayant pour objet de combattre dans toute la mesure du possible les rejets de polluants atmosphériques qui peuvent avoir des effets dommageables, et ainsi de réduire la pollution atmosphérique, y compris la pollution atmosphérique transfrontière à longue distance</w:t>
      </w:r>
      <w:r>
        <w:rPr>
          <w:lang w:val="fr-FR"/>
        </w:rPr>
        <w:t> </w:t>
      </w:r>
      <w:r w:rsidRPr="00AB608B">
        <w:rPr>
          <w:lang w:val="fr-FR"/>
        </w:rPr>
        <w:t>»</w:t>
      </w:r>
      <w:r w:rsidRPr="00F22925">
        <w:rPr>
          <w:lang w:val="fr-FR"/>
        </w:rPr>
        <w:t>.</w:t>
      </w:r>
      <w:r w:rsidRPr="00AB608B">
        <w:rPr>
          <w:lang w:val="fr-FR"/>
        </w:rPr>
        <w:t xml:space="preserve"> La</w:t>
      </w:r>
      <w:r>
        <w:rPr>
          <w:lang w:val="fr-FR"/>
        </w:rPr>
        <w:t> </w:t>
      </w:r>
      <w:r w:rsidRPr="00AB608B">
        <w:rPr>
          <w:lang w:val="fr-FR"/>
        </w:rPr>
        <w:t>Convention comporte aussi des dispositions précises sur la coopération dans les domaines de la recherche et du développement (art</w:t>
      </w:r>
      <w:r w:rsidRPr="00F22925">
        <w:rPr>
          <w:lang w:val="fr-FR"/>
        </w:rPr>
        <w:t>.</w:t>
      </w:r>
      <w:r>
        <w:rPr>
          <w:lang w:val="fr-FR"/>
        </w:rPr>
        <w:t> </w:t>
      </w:r>
      <w:r w:rsidRPr="00AB608B">
        <w:rPr>
          <w:lang w:val="fr-FR"/>
        </w:rPr>
        <w:t>7), des échanges d</w:t>
      </w:r>
      <w:r>
        <w:rPr>
          <w:lang w:val="fr-FR"/>
        </w:rPr>
        <w:t>’</w:t>
      </w:r>
      <w:r w:rsidRPr="00AB608B">
        <w:rPr>
          <w:lang w:val="fr-FR"/>
        </w:rPr>
        <w:t>informations (art</w:t>
      </w:r>
      <w:r w:rsidRPr="00F22925">
        <w:rPr>
          <w:lang w:val="fr-FR"/>
        </w:rPr>
        <w:t>.</w:t>
      </w:r>
      <w:r>
        <w:rPr>
          <w:lang w:val="fr-FR"/>
        </w:rPr>
        <w:t> </w:t>
      </w:r>
      <w:r w:rsidRPr="00AB608B">
        <w:rPr>
          <w:lang w:val="fr-FR"/>
        </w:rPr>
        <w:t>8), et de la mise en œuvre et de l</w:t>
      </w:r>
      <w:r>
        <w:rPr>
          <w:lang w:val="fr-FR"/>
        </w:rPr>
        <w:t>’</w:t>
      </w:r>
      <w:r w:rsidRPr="00AB608B">
        <w:rPr>
          <w:lang w:val="fr-FR"/>
        </w:rPr>
        <w:t>élargissement du programme concerté de surveillance continue et d</w:t>
      </w:r>
      <w:r>
        <w:rPr>
          <w:lang w:val="fr-FR"/>
        </w:rPr>
        <w:t>’</w:t>
      </w:r>
      <w:r w:rsidRPr="00AB608B">
        <w:rPr>
          <w:lang w:val="fr-FR"/>
        </w:rPr>
        <w:t>évaluation du transport à longue distance des polluants atmosphériques en Europe (art</w:t>
      </w:r>
      <w:r w:rsidRPr="00F22925">
        <w:rPr>
          <w:lang w:val="fr-FR"/>
        </w:rPr>
        <w:t>.</w:t>
      </w:r>
      <w:r>
        <w:rPr>
          <w:lang w:val="fr-FR"/>
        </w:rPr>
        <w:t> </w:t>
      </w:r>
      <w:r w:rsidRPr="00AB608B">
        <w:rPr>
          <w:lang w:val="fr-FR"/>
        </w:rPr>
        <w:t>9)</w:t>
      </w:r>
      <w:r w:rsidRPr="00F22925">
        <w:rPr>
          <w:lang w:val="fr-FR"/>
        </w:rPr>
        <w:t>.</w:t>
      </w:r>
      <w:r>
        <w:rPr>
          <w:lang w:val="fr-FR"/>
        </w:rPr>
        <w:t xml:space="preserve"> </w:t>
      </w:r>
      <w:r w:rsidRPr="00336568">
        <w:rPr>
          <w:rFonts w:eastAsia="Calibri"/>
          <w:lang w:val="fr-CA"/>
        </w:rPr>
        <w:t>À l</w:t>
      </w:r>
      <w:r>
        <w:rPr>
          <w:rFonts w:eastAsia="Calibri"/>
          <w:lang w:val="fr-CA"/>
        </w:rPr>
        <w:t>’</w:t>
      </w:r>
      <w:r w:rsidRPr="00336568">
        <w:rPr>
          <w:rFonts w:eastAsia="Calibri"/>
          <w:lang w:val="fr-CA"/>
        </w:rPr>
        <w:t>échelle régionale, l</w:t>
      </w:r>
      <w:r>
        <w:rPr>
          <w:rFonts w:eastAsia="Calibri"/>
          <w:lang w:val="fr-CA"/>
        </w:rPr>
        <w:t>’</w:t>
      </w:r>
      <w:r w:rsidRPr="00336568">
        <w:rPr>
          <w:rFonts w:eastAsia="Calibri"/>
          <w:lang w:val="fr-CA"/>
        </w:rPr>
        <w:t>Accord-cadre régional de l</w:t>
      </w:r>
      <w:r>
        <w:rPr>
          <w:rFonts w:eastAsia="Calibri"/>
          <w:lang w:val="fr-CA"/>
        </w:rPr>
        <w:t>’</w:t>
      </w:r>
      <w:r w:rsidRPr="00336568">
        <w:rPr>
          <w:rFonts w:eastAsia="Calibri"/>
          <w:lang w:val="fr-CA"/>
        </w:rPr>
        <w:t>Afrique de l</w:t>
      </w:r>
      <w:r>
        <w:rPr>
          <w:rFonts w:eastAsia="Calibri"/>
          <w:lang w:val="fr-CA"/>
        </w:rPr>
        <w:t>’</w:t>
      </w:r>
      <w:r w:rsidRPr="00336568">
        <w:rPr>
          <w:rFonts w:eastAsia="Calibri"/>
          <w:lang w:val="fr-CA"/>
        </w:rPr>
        <w:t>Est sur la pollution atmosphérique (Accord de Nairobi, 2008)</w:t>
      </w:r>
      <w:r w:rsidRPr="00F22830">
        <w:rPr>
          <w:rStyle w:val="FootnoteReference"/>
        </w:rPr>
        <w:footnoteReference w:id="119"/>
      </w:r>
      <w:r w:rsidRPr="00336568">
        <w:rPr>
          <w:rFonts w:eastAsia="Calibri"/>
          <w:lang w:val="fr-CA"/>
        </w:rPr>
        <w:t xml:space="preserve"> et l</w:t>
      </w:r>
      <w:r>
        <w:rPr>
          <w:rFonts w:eastAsia="Calibri"/>
          <w:lang w:val="fr-CA"/>
        </w:rPr>
        <w:t>’</w:t>
      </w:r>
      <w:r w:rsidRPr="00336568">
        <w:rPr>
          <w:rFonts w:eastAsia="Calibri"/>
          <w:lang w:val="fr-CA"/>
        </w:rPr>
        <w:t>Accord-cadre régional pour l</w:t>
      </w:r>
      <w:r>
        <w:rPr>
          <w:rFonts w:eastAsia="Calibri"/>
          <w:lang w:val="fr-CA"/>
        </w:rPr>
        <w:t>’</w:t>
      </w:r>
      <w:r w:rsidRPr="00336568">
        <w:rPr>
          <w:rFonts w:eastAsia="Calibri"/>
          <w:lang w:val="fr-CA"/>
        </w:rPr>
        <w:t>Afrique occidentale et centrale sur la pollution atmosphérique (Accord d</w:t>
      </w:r>
      <w:r>
        <w:rPr>
          <w:rFonts w:eastAsia="Calibri"/>
          <w:lang w:val="fr-CA"/>
        </w:rPr>
        <w:t>’</w:t>
      </w:r>
      <w:r w:rsidRPr="00336568">
        <w:rPr>
          <w:rFonts w:eastAsia="Calibri"/>
          <w:lang w:val="fr-CA"/>
        </w:rPr>
        <w:t>Abidjan, 2009)</w:t>
      </w:r>
      <w:r w:rsidRPr="00F22830">
        <w:rPr>
          <w:rStyle w:val="FootnoteReference"/>
        </w:rPr>
        <w:footnoteReference w:id="120"/>
      </w:r>
      <w:r w:rsidRPr="00336568">
        <w:rPr>
          <w:rFonts w:eastAsia="Calibri"/>
          <w:lang w:val="fr-CA"/>
        </w:rPr>
        <w:t xml:space="preserve"> comportent aussi des dispositions − identiques − en ce qui concerne la coopération internationale</w:t>
      </w:r>
      <w:r w:rsidRPr="00F22925">
        <w:rPr>
          <w:rFonts w:eastAsia="Calibri"/>
          <w:lang w:val="fr-CA"/>
        </w:rPr>
        <w:t>.</w:t>
      </w:r>
      <w:r w:rsidRPr="00336568">
        <w:rPr>
          <w:rFonts w:eastAsia="Calibri"/>
          <w:lang w:val="fr-CA"/>
        </w:rPr>
        <w:t xml:space="preserve"> Les Parties conviennent de :</w:t>
      </w:r>
    </w:p>
    <w:p w14:paraId="47EB359B" w14:textId="77777777" w:rsidR="00D01ECD" w:rsidRDefault="00D01ECD" w:rsidP="00D01ECD">
      <w:pPr>
        <w:pStyle w:val="SingleTxtG"/>
        <w:ind w:left="1701"/>
        <w:rPr>
          <w:lang w:val="fr-FR"/>
        </w:rPr>
      </w:pPr>
      <w:r w:rsidRPr="001E546A">
        <w:rPr>
          <w:lang w:val="fr-FR"/>
        </w:rPr>
        <w:t>«</w:t>
      </w:r>
      <w:r>
        <w:rPr>
          <w:lang w:val="fr-FR"/>
        </w:rPr>
        <w:t> </w:t>
      </w:r>
      <w:r w:rsidRPr="001E546A">
        <w:rPr>
          <w:lang w:val="fr-FR"/>
        </w:rPr>
        <w:t>1</w:t>
      </w:r>
      <w:r w:rsidRPr="00F22925">
        <w:rPr>
          <w:lang w:val="fr-FR"/>
        </w:rPr>
        <w:t>.</w:t>
      </w:r>
      <w:r w:rsidRPr="001E546A">
        <w:rPr>
          <w:lang w:val="fr-FR"/>
        </w:rPr>
        <w:t>2</w:t>
      </w:r>
      <w:r>
        <w:rPr>
          <w:lang w:val="fr-FR"/>
        </w:rPr>
        <w:tab/>
      </w:r>
      <w:r w:rsidRPr="001E546A">
        <w:rPr>
          <w:lang w:val="fr-FR"/>
        </w:rPr>
        <w:t>Considérer les synergies et avantages mutuels de la prise de mesure contre les émissions de polluants atmosphériques et gaz à effet de serre</w:t>
      </w:r>
      <w:r>
        <w:rPr>
          <w:lang w:val="fr-FR"/>
        </w:rPr>
        <w:t> ;</w:t>
      </w:r>
      <w:r w:rsidRPr="001E546A">
        <w:rPr>
          <w:lang w:val="fr-FR"/>
        </w:rPr>
        <w:t xml:space="preserve"> </w:t>
      </w:r>
    </w:p>
    <w:p w14:paraId="25744E7B" w14:textId="77777777" w:rsidR="00D01ECD" w:rsidRDefault="00D01ECD" w:rsidP="00D01ECD">
      <w:pPr>
        <w:pStyle w:val="SingleTxtG"/>
        <w:ind w:left="1701"/>
        <w:rPr>
          <w:lang w:val="fr-FR"/>
        </w:rPr>
      </w:pPr>
      <w:r>
        <w:rPr>
          <w:lang w:val="fr-FR"/>
        </w:rPr>
        <w:lastRenderedPageBreak/>
        <w:t>[…]</w:t>
      </w:r>
    </w:p>
    <w:p w14:paraId="79F38FFC" w14:textId="77777777" w:rsidR="00D01ECD" w:rsidRDefault="00D01ECD" w:rsidP="00D01ECD">
      <w:pPr>
        <w:pStyle w:val="SingleTxtG"/>
        <w:ind w:left="1701"/>
        <w:rPr>
          <w:lang w:val="fr-FR"/>
        </w:rPr>
      </w:pPr>
      <w:r w:rsidRPr="001E546A">
        <w:rPr>
          <w:lang w:val="fr-FR"/>
        </w:rPr>
        <w:t>1</w:t>
      </w:r>
      <w:r w:rsidRPr="00F22925">
        <w:rPr>
          <w:lang w:val="fr-FR"/>
        </w:rPr>
        <w:t>.</w:t>
      </w:r>
      <w:r w:rsidRPr="001E546A">
        <w:rPr>
          <w:lang w:val="fr-FR"/>
        </w:rPr>
        <w:t>4</w:t>
      </w:r>
      <w:r>
        <w:rPr>
          <w:lang w:val="fr-FR"/>
        </w:rPr>
        <w:tab/>
      </w:r>
      <w:r w:rsidRPr="001E546A">
        <w:rPr>
          <w:lang w:val="fr-FR"/>
        </w:rPr>
        <w:t>Promouvoir l</w:t>
      </w:r>
      <w:r>
        <w:rPr>
          <w:lang w:val="fr-FR"/>
        </w:rPr>
        <w:t>’</w:t>
      </w:r>
      <w:r w:rsidRPr="001E546A">
        <w:rPr>
          <w:lang w:val="fr-FR"/>
        </w:rPr>
        <w:t>information sur la gestion de la qualité de l</w:t>
      </w:r>
      <w:r>
        <w:rPr>
          <w:lang w:val="fr-FR"/>
        </w:rPr>
        <w:t>’</w:t>
      </w:r>
      <w:r w:rsidRPr="001E546A">
        <w:rPr>
          <w:lang w:val="fr-FR"/>
        </w:rPr>
        <w:t>air dans le domaine éducatif et de la recherche</w:t>
      </w:r>
      <w:r>
        <w:rPr>
          <w:lang w:val="fr-FR"/>
        </w:rPr>
        <w:t> ;</w:t>
      </w:r>
      <w:r w:rsidRPr="001E546A">
        <w:rPr>
          <w:lang w:val="fr-FR"/>
        </w:rPr>
        <w:t xml:space="preserve"> </w:t>
      </w:r>
    </w:p>
    <w:p w14:paraId="0FE7A572" w14:textId="77777777" w:rsidR="00D01ECD" w:rsidRPr="000A0208" w:rsidRDefault="00D01ECD" w:rsidP="00D01ECD">
      <w:pPr>
        <w:pStyle w:val="SingleTxtG"/>
        <w:ind w:left="1701"/>
        <w:rPr>
          <w:lang w:val="fr-FR"/>
        </w:rPr>
      </w:pPr>
      <w:r w:rsidRPr="001E546A">
        <w:rPr>
          <w:lang w:val="fr-FR"/>
        </w:rPr>
        <w:t>1</w:t>
      </w:r>
      <w:r w:rsidRPr="00F22925">
        <w:rPr>
          <w:lang w:val="fr-FR"/>
        </w:rPr>
        <w:t>.</w:t>
      </w:r>
      <w:r w:rsidRPr="001E546A">
        <w:rPr>
          <w:lang w:val="fr-FR"/>
        </w:rPr>
        <w:t>5</w:t>
      </w:r>
      <w:r>
        <w:rPr>
          <w:lang w:val="fr-FR"/>
        </w:rPr>
        <w:tab/>
      </w:r>
      <w:r w:rsidRPr="001E546A">
        <w:rPr>
          <w:lang w:val="fr-FR"/>
        </w:rPr>
        <w:t>Promouvoir la coopération régionale afin de renforcer les institutions de normalisation</w:t>
      </w:r>
      <w:r w:rsidRPr="00F22925">
        <w:rPr>
          <w:lang w:val="fr-FR"/>
        </w:rPr>
        <w:t>.</w:t>
      </w:r>
      <w:r>
        <w:rPr>
          <w:lang w:val="fr-FR"/>
        </w:rPr>
        <w:t> </w:t>
      </w:r>
      <w:r w:rsidRPr="001E546A">
        <w:rPr>
          <w:lang w:val="fr-FR"/>
        </w:rPr>
        <w:t>»</w:t>
      </w:r>
      <w:r w:rsidRPr="00F22925">
        <w:rPr>
          <w:lang w:val="fr-FR"/>
        </w:rPr>
        <w:t>.</w:t>
      </w:r>
    </w:p>
    <w:p w14:paraId="44C2B34C" w14:textId="77777777" w:rsidR="00D01ECD" w:rsidRDefault="00D01ECD" w:rsidP="00D01ECD">
      <w:pPr>
        <w:pStyle w:val="SingleTxtG"/>
        <w:rPr>
          <w:lang w:val="fr-FR"/>
        </w:rPr>
      </w:pPr>
      <w:r>
        <w:rPr>
          <w:lang w:val="fr-FR"/>
        </w:rPr>
        <w:t>9</w:t>
      </w:r>
      <w:r w:rsidRPr="000A0208">
        <w:rPr>
          <w:lang w:val="fr-FR"/>
        </w:rPr>
        <w:t>)</w:t>
      </w:r>
      <w:r>
        <w:rPr>
          <w:lang w:val="fr-FR"/>
        </w:rPr>
        <w:tab/>
        <w:t>Dans ses travaux, la Commission a elle aussi affirmé l’importance des connaissances scientifiques et techniques</w:t>
      </w:r>
      <w:r w:rsidRPr="00F22830">
        <w:rPr>
          <w:rStyle w:val="FootnoteReference"/>
        </w:rPr>
        <w:footnoteReference w:id="121"/>
      </w:r>
      <w:r w:rsidRPr="00F22925">
        <w:rPr>
          <w:lang w:val="fr-FR"/>
        </w:rPr>
        <w:t>.</w:t>
      </w:r>
      <w:r>
        <w:rPr>
          <w:lang w:val="fr-FR"/>
        </w:rPr>
        <w:t xml:space="preserve"> </w:t>
      </w:r>
      <w:r w:rsidRPr="001006CF">
        <w:rPr>
          <w:lang w:val="fr-FR"/>
        </w:rPr>
        <w:t>Dans le contexte de la protection de l</w:t>
      </w:r>
      <w:r>
        <w:rPr>
          <w:lang w:val="fr-FR"/>
        </w:rPr>
        <w:t>’</w:t>
      </w:r>
      <w:r w:rsidRPr="001006CF">
        <w:rPr>
          <w:lang w:val="fr-FR"/>
        </w:rPr>
        <w:t>atmosphère, le développement des connaissances scientifiques sur les causes et les répercussions de la pollution atmosphérique et de la dégradation atmosphérique est essentiel</w:t>
      </w:r>
      <w:r w:rsidRPr="00F22925">
        <w:rPr>
          <w:lang w:val="fr-FR"/>
        </w:rPr>
        <w:t>.</w:t>
      </w:r>
      <w:r>
        <w:rPr>
          <w:lang w:val="fr-FR"/>
        </w:rPr>
        <w:t xml:space="preserve"> Il ressort de l’Accord de Paris que, pour faire face aux effets néfastes des changements climatiques, il faut éviter les pertes et préjudices liés à ces effets, les réduire au minimum et y remédier, et envisager une coopération dans les domaines </w:t>
      </w:r>
      <w:r w:rsidRPr="002B0391">
        <w:rPr>
          <w:lang w:val="fr-FR"/>
        </w:rPr>
        <w:t>suivants : a) les systèmes d</w:t>
      </w:r>
      <w:r>
        <w:rPr>
          <w:lang w:val="fr-FR"/>
        </w:rPr>
        <w:t>’</w:t>
      </w:r>
      <w:r w:rsidRPr="002B0391">
        <w:rPr>
          <w:lang w:val="fr-FR"/>
        </w:rPr>
        <w:t>alerte précoce ; b) la préparation aux situations d</w:t>
      </w:r>
      <w:r>
        <w:rPr>
          <w:lang w:val="fr-FR"/>
        </w:rPr>
        <w:t>’</w:t>
      </w:r>
      <w:r w:rsidRPr="002B0391">
        <w:rPr>
          <w:lang w:val="fr-FR"/>
        </w:rPr>
        <w:t>urgence ; c) les phénomènes qui se manifestent lentement ; d) les phénomènes susceptibles de causer des pertes et préjudices irréversibles et permanents ; e) l</w:t>
      </w:r>
      <w:r>
        <w:rPr>
          <w:lang w:val="fr-FR"/>
        </w:rPr>
        <w:t>’</w:t>
      </w:r>
      <w:r w:rsidRPr="002B0391">
        <w:rPr>
          <w:lang w:val="fr-FR"/>
        </w:rPr>
        <w:t>évaluation et la gestion complètes des risques ; f) les dispositifs d</w:t>
      </w:r>
      <w:r>
        <w:rPr>
          <w:lang w:val="fr-FR"/>
        </w:rPr>
        <w:t>’</w:t>
      </w:r>
      <w:r w:rsidRPr="002B0391">
        <w:rPr>
          <w:lang w:val="fr-FR"/>
        </w:rPr>
        <w:t>assurance dommages, la mutualisation des risques climatiques et les autres solutions en matière d</w:t>
      </w:r>
      <w:r>
        <w:rPr>
          <w:lang w:val="fr-FR"/>
        </w:rPr>
        <w:t>’</w:t>
      </w:r>
      <w:r w:rsidRPr="002B0391">
        <w:rPr>
          <w:lang w:val="fr-FR"/>
        </w:rPr>
        <w:t>assurance ; g) les pertes autres qu</w:t>
      </w:r>
      <w:r>
        <w:rPr>
          <w:lang w:val="fr-FR"/>
        </w:rPr>
        <w:t>’</w:t>
      </w:r>
      <w:r w:rsidRPr="002B0391">
        <w:rPr>
          <w:lang w:val="fr-FR"/>
        </w:rPr>
        <w:t>économiques ; h) la résilience</w:t>
      </w:r>
      <w:r>
        <w:rPr>
          <w:lang w:val="fr-FR"/>
        </w:rPr>
        <w:t xml:space="preserve"> des communautés, des moyens de subsistance et des écosystèmes</w:t>
      </w:r>
      <w:r w:rsidRPr="00F22830">
        <w:rPr>
          <w:rStyle w:val="FootnoteReference"/>
        </w:rPr>
        <w:footnoteReference w:id="122"/>
      </w:r>
      <w:r w:rsidRPr="00F22925">
        <w:rPr>
          <w:lang w:val="fr-FR"/>
        </w:rPr>
        <w:t>.</w:t>
      </w:r>
      <w:r>
        <w:rPr>
          <w:lang w:val="fr-FR"/>
        </w:rPr>
        <w:t xml:space="preserve"> </w:t>
      </w:r>
    </w:p>
    <w:p w14:paraId="7C653CE1" w14:textId="77777777" w:rsidR="00D01ECD" w:rsidRPr="000A0208" w:rsidRDefault="00D01ECD" w:rsidP="00D01ECD">
      <w:pPr>
        <w:pStyle w:val="H23G"/>
        <w:ind w:left="1701" w:hanging="1701"/>
        <w:rPr>
          <w:lang w:val="fr-FR"/>
        </w:rPr>
      </w:pPr>
      <w:r>
        <w:rPr>
          <w:lang w:val="fr-FR"/>
        </w:rPr>
        <w:tab/>
      </w:r>
      <w:r>
        <w:rPr>
          <w:lang w:val="fr-FR"/>
        </w:rPr>
        <w:tab/>
      </w:r>
      <w:r>
        <w:rPr>
          <w:lang w:val="fr-FR"/>
        </w:rPr>
        <w:tab/>
        <w:t>Directiv</w:t>
      </w:r>
      <w:r w:rsidRPr="000A0208">
        <w:rPr>
          <w:lang w:val="fr-FR"/>
        </w:rPr>
        <w:t>e 9</w:t>
      </w:r>
      <w:r>
        <w:rPr>
          <w:lang w:val="fr-FR"/>
        </w:rPr>
        <w:t xml:space="preserve"> </w:t>
      </w:r>
      <w:r w:rsidRPr="000A0208">
        <w:rPr>
          <w:lang w:val="fr-FR"/>
        </w:rPr>
        <w:br/>
      </w:r>
      <w:r>
        <w:rPr>
          <w:lang w:val="fr-FR"/>
        </w:rPr>
        <w:tab/>
        <w:t>Relations entre règles pertinentes</w:t>
      </w:r>
    </w:p>
    <w:p w14:paraId="52DD6E83" w14:textId="77777777" w:rsidR="00D01ECD" w:rsidRDefault="00D01ECD" w:rsidP="00D01ECD">
      <w:pPr>
        <w:pStyle w:val="SingleTxtG"/>
        <w:ind w:left="1701"/>
        <w:rPr>
          <w:lang w:val="fr-FR"/>
        </w:rPr>
      </w:pPr>
      <w:r w:rsidRPr="000A0208">
        <w:rPr>
          <w:lang w:val="fr-FR"/>
        </w:rPr>
        <w:t>1</w:t>
      </w:r>
      <w:r w:rsidRPr="00F22925">
        <w:rPr>
          <w:lang w:val="fr-FR"/>
        </w:rPr>
        <w:t>.</w:t>
      </w:r>
      <w:r w:rsidRPr="000A0208">
        <w:rPr>
          <w:lang w:val="fr-FR"/>
        </w:rPr>
        <w:tab/>
      </w:r>
      <w:r w:rsidRPr="00E83390">
        <w:rPr>
          <w:lang w:val="fr-FR"/>
        </w:rPr>
        <w:t>Les règles de droit international relatives à la protection de l</w:t>
      </w:r>
      <w:r>
        <w:rPr>
          <w:lang w:val="fr-FR"/>
        </w:rPr>
        <w:t>’</w:t>
      </w:r>
      <w:r w:rsidRPr="00E83390">
        <w:rPr>
          <w:lang w:val="fr-FR"/>
        </w:rPr>
        <w:t xml:space="preserve">atmosphère et les autres règles de droit international pertinentes, y compris, </w:t>
      </w:r>
      <w:r w:rsidRPr="00E83390">
        <w:rPr>
          <w:i/>
          <w:iCs/>
          <w:lang w:val="fr-FR"/>
        </w:rPr>
        <w:t>inter alia</w:t>
      </w:r>
      <w:r w:rsidRPr="00E83390">
        <w:rPr>
          <w:lang w:val="fr-FR"/>
        </w:rPr>
        <w:t>, les règles du droit international du commerce et de l</w:t>
      </w:r>
      <w:r>
        <w:rPr>
          <w:lang w:val="fr-FR"/>
        </w:rPr>
        <w:t>’</w:t>
      </w:r>
      <w:r w:rsidRPr="00E83390">
        <w:rPr>
          <w:lang w:val="fr-FR"/>
        </w:rPr>
        <w:t>investissement, du droit de la mer et du droit international des droits de l</w:t>
      </w:r>
      <w:r>
        <w:rPr>
          <w:lang w:val="fr-FR"/>
        </w:rPr>
        <w:t>’</w:t>
      </w:r>
      <w:r w:rsidRPr="00E83390">
        <w:rPr>
          <w:lang w:val="fr-FR"/>
        </w:rPr>
        <w:t>homme, devraient, dans la mesure du possible, être déterminées, interprétées et appliquées de manière à faire apparaître un ensemble unique d</w:t>
      </w:r>
      <w:r>
        <w:rPr>
          <w:lang w:val="fr-FR"/>
        </w:rPr>
        <w:t>’</w:t>
      </w:r>
      <w:r w:rsidRPr="00E83390">
        <w:rPr>
          <w:lang w:val="fr-FR"/>
        </w:rPr>
        <w:t>obligations compatibles, en conformité avec les principes de l</w:t>
      </w:r>
      <w:r>
        <w:rPr>
          <w:lang w:val="fr-FR"/>
        </w:rPr>
        <w:t>’</w:t>
      </w:r>
      <w:r w:rsidRPr="00E83390">
        <w:rPr>
          <w:lang w:val="fr-FR"/>
        </w:rPr>
        <w:t>harmonisation et de l</w:t>
      </w:r>
      <w:r>
        <w:rPr>
          <w:lang w:val="fr-FR"/>
        </w:rPr>
        <w:t>’</w:t>
      </w:r>
      <w:r w:rsidRPr="00E83390">
        <w:rPr>
          <w:lang w:val="fr-FR"/>
        </w:rPr>
        <w:t>intégration systémique et dans l</w:t>
      </w:r>
      <w:r>
        <w:rPr>
          <w:lang w:val="fr-FR"/>
        </w:rPr>
        <w:t>’</w:t>
      </w:r>
      <w:r w:rsidRPr="00E83390">
        <w:rPr>
          <w:lang w:val="fr-FR"/>
        </w:rPr>
        <w:t>objectif d</w:t>
      </w:r>
      <w:r>
        <w:rPr>
          <w:lang w:val="fr-FR"/>
        </w:rPr>
        <w:t>’</w:t>
      </w:r>
      <w:r w:rsidRPr="00E83390">
        <w:rPr>
          <w:lang w:val="fr-FR"/>
        </w:rPr>
        <w:t>éviter les conflits</w:t>
      </w:r>
      <w:r w:rsidRPr="00F22925">
        <w:rPr>
          <w:lang w:val="fr-FR"/>
        </w:rPr>
        <w:t>.</w:t>
      </w:r>
      <w:r w:rsidRPr="00E83390">
        <w:rPr>
          <w:lang w:val="fr-FR"/>
        </w:rPr>
        <w:t xml:space="preserve"> Cela devrait être fait conformément aux règles pertinentes énoncées dans la Convention de Vienne sur le droit des traités, notamment à l</w:t>
      </w:r>
      <w:r>
        <w:rPr>
          <w:lang w:val="fr-FR"/>
        </w:rPr>
        <w:t>’</w:t>
      </w:r>
      <w:r w:rsidRPr="00E83390">
        <w:rPr>
          <w:lang w:val="fr-FR"/>
        </w:rPr>
        <w:t>article</w:t>
      </w:r>
      <w:r>
        <w:rPr>
          <w:lang w:val="fr-FR"/>
        </w:rPr>
        <w:t> </w:t>
      </w:r>
      <w:r w:rsidRPr="00E83390">
        <w:rPr>
          <w:lang w:val="fr-FR"/>
        </w:rPr>
        <w:t>30 et au paragraphe</w:t>
      </w:r>
      <w:r>
        <w:rPr>
          <w:lang w:val="fr-FR"/>
        </w:rPr>
        <w:t> </w:t>
      </w:r>
      <w:r w:rsidRPr="00E83390">
        <w:rPr>
          <w:lang w:val="fr-FR"/>
        </w:rPr>
        <w:t>3</w:t>
      </w:r>
      <w:r>
        <w:rPr>
          <w:lang w:val="fr-FR"/>
        </w:rPr>
        <w:t> </w:t>
      </w:r>
      <w:r w:rsidRPr="007C7FF6">
        <w:rPr>
          <w:lang w:val="fr-FR"/>
        </w:rPr>
        <w:t>c</w:t>
      </w:r>
      <w:r w:rsidRPr="00E83390">
        <w:rPr>
          <w:lang w:val="fr-FR"/>
        </w:rPr>
        <w:t>) de l</w:t>
      </w:r>
      <w:r>
        <w:rPr>
          <w:lang w:val="fr-FR"/>
        </w:rPr>
        <w:t>’</w:t>
      </w:r>
      <w:r w:rsidRPr="00E83390">
        <w:rPr>
          <w:lang w:val="fr-FR"/>
        </w:rPr>
        <w:t>article</w:t>
      </w:r>
      <w:r>
        <w:rPr>
          <w:lang w:val="fr-FR"/>
        </w:rPr>
        <w:t> </w:t>
      </w:r>
      <w:r w:rsidRPr="00E83390">
        <w:rPr>
          <w:lang w:val="fr-FR"/>
        </w:rPr>
        <w:t>31, ainsi qu</w:t>
      </w:r>
      <w:r>
        <w:rPr>
          <w:lang w:val="fr-FR"/>
        </w:rPr>
        <w:t>’</w:t>
      </w:r>
      <w:r w:rsidRPr="00E83390">
        <w:rPr>
          <w:lang w:val="fr-FR"/>
        </w:rPr>
        <w:t>aux principes et règles du droit international coutumier</w:t>
      </w:r>
      <w:r w:rsidRPr="00F22925">
        <w:rPr>
          <w:lang w:val="fr-FR"/>
        </w:rPr>
        <w:t>.</w:t>
      </w:r>
    </w:p>
    <w:p w14:paraId="13E56B4A" w14:textId="77777777" w:rsidR="00D01ECD" w:rsidRPr="000A0208" w:rsidRDefault="00D01ECD" w:rsidP="00D01ECD">
      <w:pPr>
        <w:pStyle w:val="SingleTxtG"/>
        <w:keepLines/>
        <w:ind w:left="1701"/>
        <w:rPr>
          <w:lang w:val="fr-FR"/>
        </w:rPr>
      </w:pPr>
      <w:r w:rsidRPr="000A0208">
        <w:rPr>
          <w:lang w:val="fr-FR"/>
        </w:rPr>
        <w:t>2</w:t>
      </w:r>
      <w:r w:rsidRPr="00F22925">
        <w:rPr>
          <w:lang w:val="fr-FR"/>
        </w:rPr>
        <w:t>.</w:t>
      </w:r>
      <w:r w:rsidRPr="000A0208">
        <w:rPr>
          <w:lang w:val="fr-FR"/>
        </w:rPr>
        <w:tab/>
      </w:r>
      <w:r w:rsidRPr="00E83390">
        <w:rPr>
          <w:lang w:val="fr-FR"/>
        </w:rPr>
        <w:t>Les États devraient, dans la mesure du possible, lorsqu</w:t>
      </w:r>
      <w:r>
        <w:rPr>
          <w:lang w:val="fr-FR"/>
        </w:rPr>
        <w:t>’</w:t>
      </w:r>
      <w:r w:rsidRPr="00E83390">
        <w:rPr>
          <w:lang w:val="fr-FR"/>
        </w:rPr>
        <w:t>ils élaborent de nouvelles règles de droit international concernant la protection de l</w:t>
      </w:r>
      <w:r>
        <w:rPr>
          <w:lang w:val="fr-FR"/>
        </w:rPr>
        <w:t>’</w:t>
      </w:r>
      <w:r w:rsidRPr="00E83390">
        <w:rPr>
          <w:lang w:val="fr-FR"/>
        </w:rPr>
        <w:t>atmosphère et d</w:t>
      </w:r>
      <w:r>
        <w:rPr>
          <w:lang w:val="fr-FR"/>
        </w:rPr>
        <w:t>’</w:t>
      </w:r>
      <w:r w:rsidRPr="00E83390">
        <w:rPr>
          <w:lang w:val="fr-FR"/>
        </w:rPr>
        <w:t>autres règles pertinentes du droit international, s</w:t>
      </w:r>
      <w:r>
        <w:rPr>
          <w:lang w:val="fr-FR"/>
        </w:rPr>
        <w:t>’</w:t>
      </w:r>
      <w:r w:rsidRPr="00E83390">
        <w:rPr>
          <w:lang w:val="fr-FR"/>
        </w:rPr>
        <w:t>efforcer de le faire de manière harmonieuse</w:t>
      </w:r>
      <w:r w:rsidRPr="00F22925">
        <w:rPr>
          <w:lang w:val="fr-FR"/>
        </w:rPr>
        <w:t>.</w:t>
      </w:r>
    </w:p>
    <w:p w14:paraId="6351A53C" w14:textId="77777777" w:rsidR="00D01ECD" w:rsidRPr="000A0208" w:rsidRDefault="00D01ECD" w:rsidP="00D01ECD">
      <w:pPr>
        <w:pStyle w:val="SingleTxtG"/>
        <w:ind w:left="1701"/>
        <w:rPr>
          <w:lang w:val="fr-FR"/>
        </w:rPr>
      </w:pPr>
      <w:r w:rsidRPr="000A0208">
        <w:rPr>
          <w:lang w:val="fr-FR"/>
        </w:rPr>
        <w:t>3</w:t>
      </w:r>
      <w:r w:rsidRPr="00F22925">
        <w:rPr>
          <w:lang w:val="fr-FR"/>
        </w:rPr>
        <w:t>.</w:t>
      </w:r>
      <w:r w:rsidRPr="000A0208">
        <w:rPr>
          <w:lang w:val="fr-FR"/>
        </w:rPr>
        <w:tab/>
      </w:r>
      <w:r w:rsidRPr="00E83390">
        <w:rPr>
          <w:lang w:val="fr-FR"/>
        </w:rPr>
        <w:t>Aux fins de l</w:t>
      </w:r>
      <w:r>
        <w:rPr>
          <w:lang w:val="fr-FR"/>
        </w:rPr>
        <w:t>’</w:t>
      </w:r>
      <w:r w:rsidRPr="00E83390">
        <w:rPr>
          <w:lang w:val="fr-FR"/>
        </w:rPr>
        <w:t>application des paragraphes</w:t>
      </w:r>
      <w:r>
        <w:rPr>
          <w:lang w:val="fr-FR"/>
        </w:rPr>
        <w:t> </w:t>
      </w:r>
      <w:r w:rsidRPr="00E83390">
        <w:rPr>
          <w:lang w:val="fr-FR"/>
        </w:rPr>
        <w:t xml:space="preserve">1 et 2, les États devraient prêter une attention particulière aux personnes et aux groupes particulièrement </w:t>
      </w:r>
      <w:r w:rsidRPr="00E83390">
        <w:rPr>
          <w:lang w:val="fr-FR"/>
        </w:rPr>
        <w:lastRenderedPageBreak/>
        <w:t>vulnérables à la pollution et la dégradation atmosphériques</w:t>
      </w:r>
      <w:r w:rsidRPr="00F22925">
        <w:rPr>
          <w:lang w:val="fr-FR"/>
        </w:rPr>
        <w:t>.</w:t>
      </w:r>
      <w:r w:rsidRPr="00E83390">
        <w:rPr>
          <w:lang w:val="fr-FR"/>
        </w:rPr>
        <w:t xml:space="preserve"> Ces groupes peuvent inclure, </w:t>
      </w:r>
      <w:r w:rsidRPr="00E83390">
        <w:rPr>
          <w:i/>
          <w:iCs/>
          <w:lang w:val="fr-FR"/>
        </w:rPr>
        <w:t>inter alia</w:t>
      </w:r>
      <w:r w:rsidRPr="00E83390">
        <w:rPr>
          <w:lang w:val="fr-FR"/>
        </w:rPr>
        <w:t>, les peuples autochtones, les populations des pays les moins avancés et les populations des zones côtières de faible élévation et des petits États insulaires en développement touchés par l</w:t>
      </w:r>
      <w:r>
        <w:rPr>
          <w:lang w:val="fr-FR"/>
        </w:rPr>
        <w:t>’</w:t>
      </w:r>
      <w:r w:rsidRPr="00E83390">
        <w:rPr>
          <w:lang w:val="fr-FR"/>
        </w:rPr>
        <w:t>élévation du niveau de la mer</w:t>
      </w:r>
      <w:r w:rsidRPr="00F22925">
        <w:rPr>
          <w:lang w:val="fr-FR"/>
        </w:rPr>
        <w:t>.</w:t>
      </w:r>
    </w:p>
    <w:p w14:paraId="4E3CE735" w14:textId="77777777" w:rsidR="00D01ECD" w:rsidRPr="000A0208" w:rsidRDefault="00D01ECD" w:rsidP="00D01ECD">
      <w:pPr>
        <w:keepNext/>
        <w:keepLines/>
        <w:tabs>
          <w:tab w:val="right" w:pos="851"/>
        </w:tabs>
        <w:spacing w:before="240" w:after="120"/>
        <w:ind w:left="1134" w:right="1134" w:hanging="1134"/>
        <w:rPr>
          <w:rFonts w:eastAsia="SimSun"/>
          <w:b/>
          <w:lang w:val="fr-FR"/>
        </w:rPr>
      </w:pPr>
      <w:r w:rsidRPr="000A0208" w:rsidDel="00EF7A8A">
        <w:rPr>
          <w:rFonts w:eastAsia="SimSun"/>
          <w:lang w:val="fr-FR"/>
        </w:rPr>
        <w:t xml:space="preserve"> </w:t>
      </w:r>
      <w:r w:rsidRPr="000A0208">
        <w:rPr>
          <w:rFonts w:eastAsia="SimSun"/>
          <w:b/>
          <w:lang w:val="fr-FR"/>
        </w:rPr>
        <w:tab/>
      </w:r>
      <w:r w:rsidRPr="000A0208">
        <w:rPr>
          <w:rFonts w:eastAsia="SimSun"/>
          <w:b/>
          <w:lang w:val="fr-FR"/>
        </w:rPr>
        <w:tab/>
      </w:r>
      <w:bookmarkStart w:id="21" w:name="_Toc522896342"/>
      <w:bookmarkStart w:id="22" w:name="_Toc523727652"/>
      <w:r w:rsidRPr="000A0208">
        <w:rPr>
          <w:rFonts w:eastAsia="SimSun"/>
          <w:b/>
          <w:lang w:val="fr-FR"/>
        </w:rPr>
        <w:t>Commenta</w:t>
      </w:r>
      <w:bookmarkEnd w:id="21"/>
      <w:bookmarkEnd w:id="22"/>
      <w:r>
        <w:rPr>
          <w:rFonts w:eastAsia="SimSun"/>
          <w:b/>
          <w:lang w:val="fr-FR"/>
        </w:rPr>
        <w:t>ire</w:t>
      </w:r>
    </w:p>
    <w:p w14:paraId="117EB220" w14:textId="77777777" w:rsidR="00D01ECD" w:rsidRDefault="00D01ECD" w:rsidP="00D01ECD">
      <w:pPr>
        <w:pStyle w:val="SingleTxtG"/>
        <w:rPr>
          <w:lang w:val="fr-FR"/>
        </w:rPr>
      </w:pPr>
      <w:r w:rsidRPr="000A0208">
        <w:rPr>
          <w:lang w:val="fr-FR"/>
        </w:rPr>
        <w:t>1)</w:t>
      </w:r>
      <w:r w:rsidRPr="000A0208">
        <w:rPr>
          <w:lang w:val="fr-FR"/>
        </w:rPr>
        <w:tab/>
      </w:r>
      <w:r w:rsidRPr="00336568">
        <w:rPr>
          <w:lang w:val="fr-CA"/>
        </w:rPr>
        <w:t>Le projet de directive</w:t>
      </w:r>
      <w:r>
        <w:rPr>
          <w:lang w:val="fr-FR"/>
        </w:rPr>
        <w:t> </w:t>
      </w:r>
      <w:r w:rsidRPr="00336568">
        <w:rPr>
          <w:lang w:val="fr-CA"/>
        </w:rPr>
        <w:t>9, qui porte sur les « relations entre règles pertinentes</w:t>
      </w:r>
      <w:bookmarkStart w:id="23" w:name="_Ref520443638"/>
      <w:r w:rsidRPr="00F22830">
        <w:rPr>
          <w:rStyle w:val="FootnoteReference"/>
        </w:rPr>
        <w:footnoteReference w:id="123"/>
      </w:r>
      <w:bookmarkEnd w:id="23"/>
      <w:r w:rsidRPr="00336568">
        <w:rPr>
          <w:lang w:val="fr-CA"/>
        </w:rPr>
        <w:t> », a pour objet de mettre en lumière les relations entre les règles de droit international relatives à la protection de l</w:t>
      </w:r>
      <w:r>
        <w:rPr>
          <w:lang w:val="fr-CA"/>
        </w:rPr>
        <w:t>’</w:t>
      </w:r>
      <w:r w:rsidRPr="00336568">
        <w:rPr>
          <w:lang w:val="fr-CA"/>
        </w:rPr>
        <w:t>atmosphère et les autres règles de droit international pertinentes</w:t>
      </w:r>
      <w:r w:rsidRPr="00F22925">
        <w:rPr>
          <w:lang w:val="fr-CA"/>
        </w:rPr>
        <w:t>.</w:t>
      </w:r>
      <w:r w:rsidRPr="00336568">
        <w:rPr>
          <w:lang w:val="fr-CA"/>
        </w:rPr>
        <w:t xml:space="preserve"> Les paragraphes 1 et 2 ont une portée générale, tandis que le paragraphe 3 met l</w:t>
      </w:r>
      <w:r>
        <w:rPr>
          <w:lang w:val="fr-CA"/>
        </w:rPr>
        <w:t>’</w:t>
      </w:r>
      <w:r w:rsidRPr="00336568">
        <w:rPr>
          <w:lang w:val="fr-CA"/>
        </w:rPr>
        <w:t>accent sur la protection des groupes particulièrement vulnérables à la pollution atmosphérique et à la dégradation atmosphérique</w:t>
      </w:r>
      <w:r w:rsidRPr="00F22925">
        <w:rPr>
          <w:lang w:val="fr-CA"/>
        </w:rPr>
        <w:t>.</w:t>
      </w:r>
      <w:r w:rsidRPr="00336568">
        <w:rPr>
          <w:lang w:val="fr-CA"/>
        </w:rPr>
        <w:t xml:space="preserve"> Ces deux notions, définies dans le projet de directive 1, consacré aux définitions, recouvrent principalement la pollution et la dégradation causées « par l</w:t>
      </w:r>
      <w:r>
        <w:rPr>
          <w:lang w:val="fr-CA"/>
        </w:rPr>
        <w:t>’</w:t>
      </w:r>
      <w:r w:rsidRPr="00336568">
        <w:rPr>
          <w:lang w:val="fr-CA"/>
        </w:rPr>
        <w:t>homme »</w:t>
      </w:r>
      <w:r w:rsidRPr="00F22925">
        <w:rPr>
          <w:lang w:val="fr-CA"/>
        </w:rPr>
        <w:t>.</w:t>
      </w:r>
      <w:r w:rsidRPr="00336568">
        <w:rPr>
          <w:lang w:val="fr-CA"/>
        </w:rPr>
        <w:t xml:space="preserve"> Il s</w:t>
      </w:r>
      <w:r>
        <w:rPr>
          <w:lang w:val="fr-CA"/>
        </w:rPr>
        <w:t>’</w:t>
      </w:r>
      <w:r w:rsidRPr="00336568">
        <w:rPr>
          <w:lang w:val="fr-CA"/>
        </w:rPr>
        <w:t>ensuit nécessairement que les activités humaines régies par d</w:t>
      </w:r>
      <w:r>
        <w:rPr>
          <w:lang w:val="fr-CA"/>
        </w:rPr>
        <w:t>’</w:t>
      </w:r>
      <w:r w:rsidRPr="00336568">
        <w:rPr>
          <w:lang w:val="fr-CA"/>
        </w:rPr>
        <w:t>autres domaines du droit ont aussi une incidence sur l</w:t>
      </w:r>
      <w:r>
        <w:rPr>
          <w:lang w:val="fr-CA"/>
        </w:rPr>
        <w:t>’</w:t>
      </w:r>
      <w:r w:rsidRPr="00336568">
        <w:rPr>
          <w:lang w:val="fr-CA"/>
        </w:rPr>
        <w:t>atmosphère et sa protection</w:t>
      </w:r>
      <w:r w:rsidRPr="00F22925">
        <w:rPr>
          <w:lang w:val="fr-CA"/>
        </w:rPr>
        <w:t>.</w:t>
      </w:r>
      <w:r w:rsidRPr="00336568">
        <w:rPr>
          <w:lang w:val="fr-CA"/>
        </w:rPr>
        <w:t xml:space="preserve"> Partant, il importe d</w:t>
      </w:r>
      <w:r>
        <w:rPr>
          <w:lang w:val="fr-CA"/>
        </w:rPr>
        <w:t>’</w:t>
      </w:r>
      <w:r w:rsidRPr="00336568">
        <w:rPr>
          <w:lang w:val="fr-CA"/>
        </w:rPr>
        <w:t>éviter, dans la mesure du possible, tout conflit ou divergence entre les règles relatives à la protection de l</w:t>
      </w:r>
      <w:r>
        <w:rPr>
          <w:lang w:val="fr-CA"/>
        </w:rPr>
        <w:t>’</w:t>
      </w:r>
      <w:r w:rsidRPr="00336568">
        <w:rPr>
          <w:lang w:val="fr-CA"/>
        </w:rPr>
        <w:t>atmosphère et les autres règles de droit international</w:t>
      </w:r>
      <w:r w:rsidRPr="00F22925">
        <w:rPr>
          <w:lang w:val="fr-CA"/>
        </w:rPr>
        <w:t>.</w:t>
      </w:r>
      <w:r w:rsidRPr="00336568">
        <w:rPr>
          <w:lang w:val="fr-CA"/>
        </w:rPr>
        <w:t xml:space="preserve"> C</w:t>
      </w:r>
      <w:r>
        <w:rPr>
          <w:lang w:val="fr-CA"/>
        </w:rPr>
        <w:t>’</w:t>
      </w:r>
      <w:r w:rsidRPr="00336568">
        <w:rPr>
          <w:lang w:val="fr-CA"/>
        </w:rPr>
        <w:t>est dans cet objectif que le projet de directive 9 énonce les différents mécanismes prévus en droit international pour faire face aux éventuelles divergences entre principes et règles juridiques, que ces divergences soient une question d</w:t>
      </w:r>
      <w:r>
        <w:rPr>
          <w:lang w:val="fr-CA"/>
        </w:rPr>
        <w:t>’</w:t>
      </w:r>
      <w:r w:rsidRPr="00336568">
        <w:rPr>
          <w:lang w:val="fr-CA"/>
        </w:rPr>
        <w:t>interprétation ou qu</w:t>
      </w:r>
      <w:r>
        <w:rPr>
          <w:lang w:val="fr-CA"/>
        </w:rPr>
        <w:t>’</w:t>
      </w:r>
      <w:r w:rsidRPr="00336568">
        <w:rPr>
          <w:lang w:val="fr-CA"/>
        </w:rPr>
        <w:t>il y ait véritablement un conflit</w:t>
      </w:r>
      <w:r w:rsidRPr="00F22925">
        <w:rPr>
          <w:lang w:val="fr-CA"/>
        </w:rPr>
        <w:t>.</w:t>
      </w:r>
      <w:r w:rsidRPr="00336568">
        <w:rPr>
          <w:lang w:val="fr-CA"/>
        </w:rPr>
        <w:t xml:space="preserve"> Le libellé du projet de directive 9 est inspiré des conclusions formulées par le groupe d</w:t>
      </w:r>
      <w:r>
        <w:rPr>
          <w:lang w:val="fr-CA"/>
        </w:rPr>
        <w:t>’</w:t>
      </w:r>
      <w:r w:rsidRPr="00336568">
        <w:rPr>
          <w:lang w:val="fr-CA"/>
        </w:rPr>
        <w:t>étude chargé par la Commission d</w:t>
      </w:r>
      <w:r>
        <w:rPr>
          <w:lang w:val="fr-CA"/>
        </w:rPr>
        <w:t>’</w:t>
      </w:r>
      <w:r w:rsidRPr="00336568">
        <w:rPr>
          <w:lang w:val="fr-CA"/>
        </w:rPr>
        <w:t>examiner la question de la fragmentation du droit international et les difficultés découlant de la diversification et du développement de celui</w:t>
      </w:r>
      <w:r w:rsidRPr="00336568">
        <w:rPr>
          <w:lang w:val="fr-CA"/>
        </w:rPr>
        <w:noBreakHyphen/>
        <w:t>ci</w:t>
      </w:r>
      <w:r w:rsidRPr="00F22830">
        <w:rPr>
          <w:rStyle w:val="FootnoteReference"/>
        </w:rPr>
        <w:footnoteReference w:id="124"/>
      </w:r>
      <w:r w:rsidRPr="00F22925">
        <w:rPr>
          <w:lang w:val="fr-CA"/>
        </w:rPr>
        <w:t>.</w:t>
      </w:r>
    </w:p>
    <w:p w14:paraId="44842F3F" w14:textId="77777777" w:rsidR="00D01ECD" w:rsidRDefault="00D01ECD" w:rsidP="00D01ECD">
      <w:pPr>
        <w:pStyle w:val="SingleTxtG"/>
        <w:rPr>
          <w:lang w:val="fr-FR"/>
        </w:rPr>
      </w:pPr>
      <w:r w:rsidRPr="000A0208">
        <w:rPr>
          <w:lang w:val="fr-FR"/>
        </w:rPr>
        <w:t>2)</w:t>
      </w:r>
      <w:r w:rsidRPr="000A0208">
        <w:rPr>
          <w:lang w:val="fr-FR"/>
        </w:rPr>
        <w:tab/>
      </w:r>
      <w:r w:rsidRPr="00607DE0">
        <w:rPr>
          <w:lang w:val="fr-FR"/>
        </w:rPr>
        <w:t>Le paragraphe</w:t>
      </w:r>
      <w:r>
        <w:rPr>
          <w:lang w:val="fr-FR"/>
        </w:rPr>
        <w:t> </w:t>
      </w:r>
      <w:r w:rsidRPr="00607DE0">
        <w:rPr>
          <w:lang w:val="fr-FR"/>
        </w:rPr>
        <w:t>1 mentionne trois processus juridiques, à savoir la détermination, l</w:t>
      </w:r>
      <w:r>
        <w:rPr>
          <w:lang w:val="fr-FR"/>
        </w:rPr>
        <w:t>’</w:t>
      </w:r>
      <w:r w:rsidRPr="00607DE0">
        <w:rPr>
          <w:lang w:val="fr-FR"/>
        </w:rPr>
        <w:t>interprétation et l</w:t>
      </w:r>
      <w:r>
        <w:rPr>
          <w:lang w:val="fr-FR"/>
        </w:rPr>
        <w:t>’</w:t>
      </w:r>
      <w:r w:rsidRPr="00607DE0">
        <w:rPr>
          <w:lang w:val="fr-FR"/>
        </w:rPr>
        <w:t>application des règles pertinentes</w:t>
      </w:r>
      <w:r w:rsidRPr="00F22925">
        <w:rPr>
          <w:lang w:val="fr-FR"/>
        </w:rPr>
        <w:t>.</w:t>
      </w:r>
      <w:r w:rsidRPr="00607DE0">
        <w:rPr>
          <w:lang w:val="fr-FR"/>
        </w:rPr>
        <w:t xml:space="preserve"> </w:t>
      </w:r>
      <w:r>
        <w:rPr>
          <w:lang w:val="fr-FR"/>
        </w:rPr>
        <w:t>Les termes</w:t>
      </w:r>
      <w:r w:rsidRPr="00607DE0">
        <w:rPr>
          <w:lang w:val="fr-FR"/>
        </w:rPr>
        <w:t xml:space="preserve"> «</w:t>
      </w:r>
      <w:r>
        <w:rPr>
          <w:lang w:val="fr-FR"/>
        </w:rPr>
        <w:t xml:space="preserve"> dans l’objectif </w:t>
      </w:r>
      <w:r w:rsidRPr="00607DE0">
        <w:rPr>
          <w:lang w:val="fr-FR"/>
        </w:rPr>
        <w:t>d</w:t>
      </w:r>
      <w:r>
        <w:rPr>
          <w:lang w:val="fr-FR"/>
        </w:rPr>
        <w:t>’</w:t>
      </w:r>
      <w:r w:rsidRPr="00607DE0">
        <w:rPr>
          <w:lang w:val="fr-FR"/>
        </w:rPr>
        <w:t>éviter les conflits</w:t>
      </w:r>
      <w:r>
        <w:rPr>
          <w:lang w:val="fr-FR"/>
        </w:rPr>
        <w:t> </w:t>
      </w:r>
      <w:r w:rsidRPr="00607DE0">
        <w:rPr>
          <w:lang w:val="fr-FR"/>
        </w:rPr>
        <w:t>» employé</w:t>
      </w:r>
      <w:r>
        <w:rPr>
          <w:lang w:val="fr-FR"/>
        </w:rPr>
        <w:t>s</w:t>
      </w:r>
      <w:r w:rsidRPr="00607DE0">
        <w:rPr>
          <w:lang w:val="fr-FR"/>
        </w:rPr>
        <w:t xml:space="preserve"> à la fin de la première phrase vise</w:t>
      </w:r>
      <w:r>
        <w:rPr>
          <w:lang w:val="fr-FR"/>
        </w:rPr>
        <w:t>nt</w:t>
      </w:r>
      <w:r w:rsidRPr="00607DE0">
        <w:rPr>
          <w:lang w:val="fr-FR"/>
        </w:rPr>
        <w:t xml:space="preserve"> à établir qu</w:t>
      </w:r>
      <w:proofErr w:type="gramStart"/>
      <w:r>
        <w:rPr>
          <w:lang w:val="fr-FR"/>
        </w:rPr>
        <w:t>’</w:t>
      </w:r>
      <w:r w:rsidRPr="00607DE0">
        <w:rPr>
          <w:lang w:val="fr-FR"/>
        </w:rPr>
        <w:t>«</w:t>
      </w:r>
      <w:proofErr w:type="gramEnd"/>
      <w:r>
        <w:rPr>
          <w:lang w:val="fr-FR"/>
        </w:rPr>
        <w:t> </w:t>
      </w:r>
      <w:r w:rsidRPr="00607DE0">
        <w:rPr>
          <w:lang w:val="fr-FR"/>
        </w:rPr>
        <w:t>éviter les conflits</w:t>
      </w:r>
      <w:r>
        <w:rPr>
          <w:lang w:val="fr-FR"/>
        </w:rPr>
        <w:t> </w:t>
      </w:r>
      <w:r w:rsidRPr="00607DE0">
        <w:rPr>
          <w:lang w:val="fr-FR"/>
        </w:rPr>
        <w:t>» est l</w:t>
      </w:r>
      <w:r>
        <w:rPr>
          <w:lang w:val="fr-FR"/>
        </w:rPr>
        <w:t>’</w:t>
      </w:r>
      <w:r w:rsidRPr="00607DE0">
        <w:rPr>
          <w:lang w:val="fr-FR"/>
        </w:rPr>
        <w:t xml:space="preserve">un des principaux objectifs </w:t>
      </w:r>
      <w:r>
        <w:rPr>
          <w:lang w:val="fr-FR"/>
        </w:rPr>
        <w:t>recherchés par le</w:t>
      </w:r>
      <w:r w:rsidRPr="00607DE0">
        <w:rPr>
          <w:lang w:val="fr-FR"/>
        </w:rPr>
        <w:t xml:space="preserve"> paragraphe</w:t>
      </w:r>
      <w:r w:rsidRPr="00F22925">
        <w:rPr>
          <w:lang w:val="fr-FR"/>
        </w:rPr>
        <w:t>.</w:t>
      </w:r>
      <w:r w:rsidRPr="00607DE0">
        <w:rPr>
          <w:lang w:val="fr-FR"/>
        </w:rPr>
        <w:t xml:space="preserve"> Ce n</w:t>
      </w:r>
      <w:r>
        <w:rPr>
          <w:lang w:val="fr-FR"/>
        </w:rPr>
        <w:t>’</w:t>
      </w:r>
      <w:r w:rsidRPr="00607DE0">
        <w:rPr>
          <w:lang w:val="fr-FR"/>
        </w:rPr>
        <w:t>est toutefois pas le seul et unique objectif du projet de directive</w:t>
      </w:r>
      <w:r w:rsidRPr="00F22925">
        <w:rPr>
          <w:lang w:val="fr-FR"/>
        </w:rPr>
        <w:t>.</w:t>
      </w:r>
      <w:r w:rsidRPr="00607DE0">
        <w:rPr>
          <w:lang w:val="fr-FR"/>
        </w:rPr>
        <w:t xml:space="preserve"> Le paragraphe est formulé à la voix passive pour refléter le fait que la détermination, l</w:t>
      </w:r>
      <w:r>
        <w:rPr>
          <w:lang w:val="fr-FR"/>
        </w:rPr>
        <w:t>’</w:t>
      </w:r>
      <w:r w:rsidRPr="00607DE0">
        <w:rPr>
          <w:lang w:val="fr-FR"/>
        </w:rPr>
        <w:t>interprétation et l</w:t>
      </w:r>
      <w:r>
        <w:rPr>
          <w:lang w:val="fr-FR"/>
        </w:rPr>
        <w:t>’</w:t>
      </w:r>
      <w:r w:rsidRPr="00607DE0">
        <w:rPr>
          <w:lang w:val="fr-FR"/>
        </w:rPr>
        <w:t xml:space="preserve">application des règles pertinentes relèvent non seulement des États, mais aussi </w:t>
      </w:r>
      <w:r>
        <w:rPr>
          <w:lang w:val="fr-FR"/>
        </w:rPr>
        <w:t>d’autres acteurs, y compris les</w:t>
      </w:r>
      <w:r w:rsidRPr="00607DE0">
        <w:rPr>
          <w:lang w:val="fr-FR"/>
        </w:rPr>
        <w:t xml:space="preserve"> organisations internationales, selon qu</w:t>
      </w:r>
      <w:r>
        <w:rPr>
          <w:lang w:val="fr-FR"/>
        </w:rPr>
        <w:t>’</w:t>
      </w:r>
      <w:r w:rsidRPr="00607DE0">
        <w:rPr>
          <w:lang w:val="fr-FR"/>
        </w:rPr>
        <w:t>il convient</w:t>
      </w:r>
      <w:r w:rsidRPr="00F22925">
        <w:rPr>
          <w:lang w:val="fr-FR"/>
        </w:rPr>
        <w:t>.</w:t>
      </w:r>
      <w:r>
        <w:rPr>
          <w:lang w:val="fr-FR"/>
        </w:rPr>
        <w:t xml:space="preserve"> </w:t>
      </w:r>
    </w:p>
    <w:p w14:paraId="1E155184" w14:textId="77777777" w:rsidR="00D01ECD" w:rsidRDefault="00D01ECD" w:rsidP="00D01ECD">
      <w:pPr>
        <w:pStyle w:val="SingleTxtG"/>
        <w:rPr>
          <w:lang w:val="fr-FR"/>
        </w:rPr>
      </w:pPr>
      <w:bookmarkStart w:id="24" w:name="_Hlk74899087"/>
      <w:r w:rsidRPr="000A0208">
        <w:rPr>
          <w:lang w:val="fr-FR"/>
        </w:rPr>
        <w:t>3)</w:t>
      </w:r>
      <w:r w:rsidRPr="000A0208">
        <w:rPr>
          <w:lang w:val="fr-FR"/>
        </w:rPr>
        <w:tab/>
      </w:r>
      <w:r w:rsidRPr="00336568">
        <w:rPr>
          <w:lang w:val="fr-CA"/>
        </w:rPr>
        <w:t>Le membre de phrase « </w:t>
      </w:r>
      <w:proofErr w:type="gramStart"/>
      <w:r w:rsidRPr="00336568">
        <w:rPr>
          <w:lang w:val="fr-CA"/>
        </w:rPr>
        <w:t>devraient</w:t>
      </w:r>
      <w:proofErr w:type="gramEnd"/>
      <w:r w:rsidRPr="00336568">
        <w:rPr>
          <w:lang w:val="fr-CA"/>
        </w:rPr>
        <w:t>, dans la mesure du possible, être déterminées, interprétées et appliquées de manière à faire apparaître un ensemble unique d</w:t>
      </w:r>
      <w:r>
        <w:rPr>
          <w:lang w:val="fr-CA"/>
        </w:rPr>
        <w:t>’</w:t>
      </w:r>
      <w:r w:rsidRPr="00336568">
        <w:rPr>
          <w:lang w:val="fr-CA"/>
        </w:rPr>
        <w:t>obligations compatibles » est inspiré des conclusions formulées par le groupe d</w:t>
      </w:r>
      <w:r>
        <w:rPr>
          <w:lang w:val="fr-CA"/>
        </w:rPr>
        <w:t>’</w:t>
      </w:r>
      <w:r w:rsidRPr="00336568">
        <w:rPr>
          <w:lang w:val="fr-CA"/>
        </w:rPr>
        <w:t>étude chargé par la Commission d</w:t>
      </w:r>
      <w:r>
        <w:rPr>
          <w:lang w:val="fr-CA"/>
        </w:rPr>
        <w:t>’</w:t>
      </w:r>
      <w:r w:rsidRPr="00336568">
        <w:rPr>
          <w:lang w:val="fr-CA"/>
        </w:rPr>
        <w:t>examiner la fragmentation du droit international</w:t>
      </w:r>
      <w:r w:rsidRPr="00F22925">
        <w:rPr>
          <w:lang w:val="fr-CA"/>
        </w:rPr>
        <w:t>.</w:t>
      </w:r>
      <w:r w:rsidRPr="00336568">
        <w:rPr>
          <w:lang w:val="fr-CA"/>
        </w:rPr>
        <w:t xml:space="preserve"> Le terme « déterminées » concerne surtout les règles découlant des obligations conventionnelles et d</w:t>
      </w:r>
      <w:r>
        <w:rPr>
          <w:lang w:val="fr-CA"/>
        </w:rPr>
        <w:t>’</w:t>
      </w:r>
      <w:r w:rsidRPr="00336568">
        <w:rPr>
          <w:lang w:val="fr-CA"/>
        </w:rPr>
        <w:t>autres sources de droit international</w:t>
      </w:r>
      <w:r w:rsidRPr="00F22925">
        <w:rPr>
          <w:lang w:val="fr-CA"/>
        </w:rPr>
        <w:t>.</w:t>
      </w:r>
      <w:r w:rsidRPr="00336568">
        <w:rPr>
          <w:lang w:val="fr-CA"/>
        </w:rPr>
        <w:t xml:space="preserve"> Pour coordonner deux </w:t>
      </w:r>
      <w:r>
        <w:rPr>
          <w:lang w:val="fr-CA"/>
        </w:rPr>
        <w:t>règles</w:t>
      </w:r>
      <w:r w:rsidRPr="00336568">
        <w:rPr>
          <w:lang w:val="fr-CA"/>
        </w:rPr>
        <w:t>, il convient d</w:t>
      </w:r>
      <w:r>
        <w:rPr>
          <w:lang w:val="fr-CA"/>
        </w:rPr>
        <w:t>’</w:t>
      </w:r>
      <w:r w:rsidRPr="00336568">
        <w:rPr>
          <w:lang w:val="fr-CA"/>
        </w:rPr>
        <w:t>abord de déterminer, notamment, si l</w:t>
      </w:r>
      <w:r>
        <w:rPr>
          <w:lang w:val="fr-CA"/>
        </w:rPr>
        <w:t>’</w:t>
      </w:r>
      <w:r w:rsidRPr="00336568">
        <w:rPr>
          <w:lang w:val="fr-CA"/>
        </w:rPr>
        <w:t>une et l</w:t>
      </w:r>
      <w:r>
        <w:rPr>
          <w:lang w:val="fr-CA"/>
        </w:rPr>
        <w:t>’</w:t>
      </w:r>
      <w:r w:rsidRPr="00336568">
        <w:rPr>
          <w:lang w:val="fr-CA"/>
        </w:rPr>
        <w:t xml:space="preserve">autre traitent « de la même matière », laquelle doit être considérée comme </w:t>
      </w:r>
      <w:proofErr w:type="spellStart"/>
      <w:r w:rsidRPr="00336568">
        <w:rPr>
          <w:i/>
          <w:iCs/>
          <w:lang w:val="fr-CA"/>
        </w:rPr>
        <w:t>lex</w:t>
      </w:r>
      <w:proofErr w:type="spellEnd"/>
      <w:r w:rsidRPr="00336568">
        <w:rPr>
          <w:i/>
          <w:iCs/>
          <w:lang w:val="fr-CA"/>
        </w:rPr>
        <w:t xml:space="preserve"> </w:t>
      </w:r>
      <w:proofErr w:type="spellStart"/>
      <w:r w:rsidRPr="00336568">
        <w:rPr>
          <w:i/>
          <w:iCs/>
          <w:lang w:val="fr-CA"/>
        </w:rPr>
        <w:t>generalis</w:t>
      </w:r>
      <w:proofErr w:type="spellEnd"/>
      <w:r w:rsidRPr="00336568">
        <w:rPr>
          <w:i/>
          <w:iCs/>
          <w:lang w:val="fr-CA"/>
        </w:rPr>
        <w:t xml:space="preserve"> </w:t>
      </w:r>
      <w:r w:rsidRPr="00336568">
        <w:rPr>
          <w:lang w:val="fr-CA"/>
        </w:rPr>
        <w:t xml:space="preserve">ou </w:t>
      </w:r>
      <w:proofErr w:type="spellStart"/>
      <w:r w:rsidRPr="00336568">
        <w:rPr>
          <w:i/>
          <w:lang w:val="fr-CA"/>
        </w:rPr>
        <w:t>lex</w:t>
      </w:r>
      <w:proofErr w:type="spellEnd"/>
      <w:r w:rsidRPr="00336568">
        <w:rPr>
          <w:i/>
          <w:lang w:val="fr-CA"/>
        </w:rPr>
        <w:t xml:space="preserve"> </w:t>
      </w:r>
      <w:proofErr w:type="spellStart"/>
      <w:r w:rsidRPr="00336568">
        <w:rPr>
          <w:i/>
          <w:lang w:val="fr-CA"/>
        </w:rPr>
        <w:t>specialis</w:t>
      </w:r>
      <w:proofErr w:type="spellEnd"/>
      <w:r w:rsidRPr="00336568">
        <w:rPr>
          <w:lang w:val="fr-CA"/>
        </w:rPr>
        <w:t xml:space="preserve"> et comme </w:t>
      </w:r>
      <w:proofErr w:type="spellStart"/>
      <w:r w:rsidRPr="00336568">
        <w:rPr>
          <w:i/>
          <w:iCs/>
          <w:lang w:val="fr-CA"/>
        </w:rPr>
        <w:t>lex</w:t>
      </w:r>
      <w:proofErr w:type="spellEnd"/>
      <w:r w:rsidRPr="00336568">
        <w:rPr>
          <w:i/>
          <w:iCs/>
          <w:lang w:val="fr-CA"/>
        </w:rPr>
        <w:t xml:space="preserve"> </w:t>
      </w:r>
      <w:proofErr w:type="spellStart"/>
      <w:r w:rsidRPr="00336568">
        <w:rPr>
          <w:i/>
          <w:iCs/>
          <w:lang w:val="fr-CA"/>
        </w:rPr>
        <w:t>anterior</w:t>
      </w:r>
      <w:proofErr w:type="spellEnd"/>
      <w:r w:rsidRPr="00336568">
        <w:rPr>
          <w:i/>
          <w:iCs/>
          <w:lang w:val="fr-CA"/>
        </w:rPr>
        <w:t xml:space="preserve"> </w:t>
      </w:r>
      <w:r w:rsidRPr="00336568">
        <w:rPr>
          <w:lang w:val="fr-CA"/>
        </w:rPr>
        <w:t xml:space="preserve">ou </w:t>
      </w:r>
      <w:proofErr w:type="spellStart"/>
      <w:r w:rsidRPr="00336568">
        <w:rPr>
          <w:i/>
          <w:lang w:val="fr-CA"/>
        </w:rPr>
        <w:t>lex</w:t>
      </w:r>
      <w:proofErr w:type="spellEnd"/>
      <w:r w:rsidRPr="00336568">
        <w:rPr>
          <w:i/>
          <w:lang w:val="fr-CA"/>
        </w:rPr>
        <w:t xml:space="preserve"> </w:t>
      </w:r>
      <w:proofErr w:type="spellStart"/>
      <w:r w:rsidRPr="00336568">
        <w:rPr>
          <w:i/>
          <w:lang w:val="fr-CA"/>
        </w:rPr>
        <w:t>posterior</w:t>
      </w:r>
      <w:proofErr w:type="spellEnd"/>
      <w:r w:rsidRPr="00336568">
        <w:rPr>
          <w:i/>
          <w:lang w:val="fr-CA"/>
        </w:rPr>
        <w:t>,</w:t>
      </w:r>
      <w:r w:rsidRPr="00336568">
        <w:rPr>
          <w:lang w:val="fr-CA"/>
        </w:rPr>
        <w:t xml:space="preserve"> et si le principe </w:t>
      </w:r>
      <w:proofErr w:type="spellStart"/>
      <w:r w:rsidRPr="00336568">
        <w:rPr>
          <w:i/>
          <w:lang w:val="fr-CA"/>
        </w:rPr>
        <w:t>pacta</w:t>
      </w:r>
      <w:proofErr w:type="spellEnd"/>
      <w:r w:rsidRPr="00336568">
        <w:rPr>
          <w:i/>
          <w:lang w:val="fr-CA"/>
        </w:rPr>
        <w:t> </w:t>
      </w:r>
      <w:proofErr w:type="spellStart"/>
      <w:r w:rsidRPr="00336568">
        <w:rPr>
          <w:i/>
          <w:lang w:val="fr-CA"/>
        </w:rPr>
        <w:t>tertiis</w:t>
      </w:r>
      <w:proofErr w:type="spellEnd"/>
      <w:r w:rsidRPr="00336568">
        <w:rPr>
          <w:i/>
          <w:lang w:val="fr-CA"/>
        </w:rPr>
        <w:t xml:space="preserve"> </w:t>
      </w:r>
      <w:r w:rsidRPr="00336568">
        <w:rPr>
          <w:lang w:val="fr-CA"/>
        </w:rPr>
        <w:t>s</w:t>
      </w:r>
      <w:r>
        <w:rPr>
          <w:lang w:val="fr-CA"/>
        </w:rPr>
        <w:t>’</w:t>
      </w:r>
      <w:r w:rsidRPr="00336568">
        <w:rPr>
          <w:lang w:val="fr-CA"/>
        </w:rPr>
        <w:t>applique</w:t>
      </w:r>
      <w:r w:rsidRPr="00F22925">
        <w:rPr>
          <w:lang w:val="fr-CA"/>
        </w:rPr>
        <w:t>.</w:t>
      </w:r>
      <w:r w:rsidRPr="00336568">
        <w:rPr>
          <w:lang w:val="fr-CA"/>
        </w:rPr>
        <w:t xml:space="preserve"> </w:t>
      </w:r>
      <w:bookmarkEnd w:id="24"/>
    </w:p>
    <w:p w14:paraId="32E4EF53" w14:textId="77777777" w:rsidR="00D01ECD" w:rsidRDefault="00D01ECD" w:rsidP="00D01ECD">
      <w:pPr>
        <w:pStyle w:val="SingleTxtG"/>
        <w:rPr>
          <w:lang w:val="fr-FR"/>
        </w:rPr>
      </w:pPr>
      <w:r w:rsidRPr="000A0208">
        <w:rPr>
          <w:lang w:val="fr-FR"/>
        </w:rPr>
        <w:lastRenderedPageBreak/>
        <w:t>4)</w:t>
      </w:r>
      <w:r w:rsidRPr="000A0208">
        <w:rPr>
          <w:lang w:val="fr-FR"/>
        </w:rPr>
        <w:tab/>
      </w:r>
      <w:r w:rsidRPr="00336568">
        <w:rPr>
          <w:lang w:val="fr-CA"/>
        </w:rPr>
        <w:t>La première phrase du paragraphe 1 fait expressément référence aux principes « de l</w:t>
      </w:r>
      <w:r>
        <w:rPr>
          <w:lang w:val="fr-CA"/>
        </w:rPr>
        <w:t>’</w:t>
      </w:r>
      <w:r w:rsidRPr="00336568">
        <w:rPr>
          <w:lang w:val="fr-CA"/>
        </w:rPr>
        <w:t>harmonisation et de l</w:t>
      </w:r>
      <w:r>
        <w:rPr>
          <w:lang w:val="fr-CA"/>
        </w:rPr>
        <w:t>’</w:t>
      </w:r>
      <w:r w:rsidRPr="00336568">
        <w:rPr>
          <w:lang w:val="fr-CA"/>
        </w:rPr>
        <w:t>intégration systémique », auxquels une attention particulière est accordée dans les conclusions du Groupe d</w:t>
      </w:r>
      <w:r>
        <w:rPr>
          <w:lang w:val="fr-CA"/>
        </w:rPr>
        <w:t>’</w:t>
      </w:r>
      <w:r w:rsidRPr="00336568">
        <w:rPr>
          <w:lang w:val="fr-CA"/>
        </w:rPr>
        <w:t>étude chargé d</w:t>
      </w:r>
      <w:r>
        <w:rPr>
          <w:lang w:val="fr-CA"/>
        </w:rPr>
        <w:t>’</w:t>
      </w:r>
      <w:r w:rsidRPr="00336568">
        <w:rPr>
          <w:lang w:val="fr-CA"/>
        </w:rPr>
        <w:t>examiner la fragmentation du droit international</w:t>
      </w:r>
      <w:r w:rsidRPr="00F22925">
        <w:rPr>
          <w:lang w:val="fr-CA"/>
        </w:rPr>
        <w:t>.</w:t>
      </w:r>
      <w:r w:rsidRPr="00336568">
        <w:rPr>
          <w:lang w:val="fr-CA"/>
        </w:rPr>
        <w:t xml:space="preserve"> Selon le principe de l</w:t>
      </w:r>
      <w:r>
        <w:rPr>
          <w:lang w:val="fr-CA"/>
        </w:rPr>
        <w:t>’</w:t>
      </w:r>
      <w:r w:rsidRPr="00336568">
        <w:rPr>
          <w:lang w:val="fr-CA"/>
        </w:rPr>
        <w:t>harmonisation, exposé dans la conclusion 4), lorsque plusieurs normes ont trait à une question unique, il convient, dans la mesure du possible, de les interpréter de manière à faire apparaître « un ensemble unique d</w:t>
      </w:r>
      <w:r>
        <w:rPr>
          <w:lang w:val="fr-CA"/>
        </w:rPr>
        <w:t>’</w:t>
      </w:r>
      <w:r w:rsidRPr="00336568">
        <w:rPr>
          <w:lang w:val="fr-CA"/>
        </w:rPr>
        <w:t>obligations compatibles »</w:t>
      </w:r>
      <w:r w:rsidRPr="00F22925">
        <w:rPr>
          <w:lang w:val="fr-CA"/>
        </w:rPr>
        <w:t>.</w:t>
      </w:r>
      <w:r w:rsidRPr="00336568">
        <w:rPr>
          <w:lang w:val="fr-CA"/>
        </w:rPr>
        <w:t xml:space="preserve"> En outre, conformément au principe de l</w:t>
      </w:r>
      <w:r>
        <w:rPr>
          <w:lang w:val="fr-CA"/>
        </w:rPr>
        <w:t>’</w:t>
      </w:r>
      <w:r w:rsidRPr="00336568">
        <w:rPr>
          <w:lang w:val="fr-CA"/>
        </w:rPr>
        <w:t>intégration systémique exposé dans la conclusion 17), « quelle que soit leur matière, les traités sont une création du système juridique international »</w:t>
      </w:r>
      <w:r w:rsidRPr="00F22925">
        <w:rPr>
          <w:lang w:val="fr-CA"/>
        </w:rPr>
        <w:t>.</w:t>
      </w:r>
      <w:r w:rsidRPr="00336568">
        <w:rPr>
          <w:lang w:val="fr-CA"/>
        </w:rPr>
        <w:t xml:space="preserve"> Les traités doivent donc être interprétés </w:t>
      </w:r>
      <w:r>
        <w:rPr>
          <w:lang w:val="fr-CA"/>
        </w:rPr>
        <w:t xml:space="preserve">compte tenu </w:t>
      </w:r>
      <w:r w:rsidRPr="00336568">
        <w:rPr>
          <w:lang w:val="fr-CA"/>
        </w:rPr>
        <w:t>des divers principes</w:t>
      </w:r>
      <w:r>
        <w:rPr>
          <w:lang w:val="fr-CA"/>
        </w:rPr>
        <w:t xml:space="preserve"> et règles</w:t>
      </w:r>
      <w:r w:rsidRPr="00336568">
        <w:rPr>
          <w:lang w:val="fr-CA"/>
        </w:rPr>
        <w:t xml:space="preserve"> du droit international</w:t>
      </w:r>
      <w:r w:rsidRPr="00F22925">
        <w:rPr>
          <w:lang w:val="fr-CA"/>
        </w:rPr>
        <w:t>.</w:t>
      </w:r>
      <w:r w:rsidRPr="00336568">
        <w:rPr>
          <w:lang w:val="fr-CA"/>
        </w:rPr>
        <w:t xml:space="preserve"> </w:t>
      </w:r>
    </w:p>
    <w:p w14:paraId="13BE09BD" w14:textId="77777777" w:rsidR="00D01ECD" w:rsidRPr="00336568" w:rsidRDefault="00D01ECD" w:rsidP="00D01ECD">
      <w:pPr>
        <w:pStyle w:val="SingleTxtG"/>
        <w:rPr>
          <w:lang w:val="fr-CA"/>
        </w:rPr>
      </w:pPr>
      <w:r w:rsidRPr="000A0208">
        <w:rPr>
          <w:lang w:val="fr-FR"/>
        </w:rPr>
        <w:t>5)</w:t>
      </w:r>
      <w:r w:rsidRPr="000A0208">
        <w:rPr>
          <w:lang w:val="fr-FR"/>
        </w:rPr>
        <w:tab/>
      </w:r>
      <w:r w:rsidRPr="00336568">
        <w:rPr>
          <w:lang w:val="fr-CA"/>
        </w:rPr>
        <w:t>La deuxième phrase du paragraphe 1 vise à replacer le paragraphe dans le contexte des règles pertinentes énoncées dans la Convention de Vienne de 1969 sur les droits des traités</w:t>
      </w:r>
      <w:r w:rsidRPr="00F22830">
        <w:rPr>
          <w:rStyle w:val="FootnoteReference"/>
        </w:rPr>
        <w:footnoteReference w:id="125"/>
      </w:r>
      <w:r w:rsidRPr="00336568">
        <w:rPr>
          <w:lang w:val="fr-CA"/>
        </w:rPr>
        <w:t>, notamment en ses articles 30 et 31 (par</w:t>
      </w:r>
      <w:r w:rsidRPr="00F22925">
        <w:rPr>
          <w:lang w:val="fr-CA"/>
        </w:rPr>
        <w:t>.</w:t>
      </w:r>
      <w:r w:rsidRPr="00336568">
        <w:rPr>
          <w:lang w:val="fr-CA"/>
        </w:rPr>
        <w:t> 3 c)), et des principes et règles du droit international coutumier</w:t>
      </w:r>
      <w:r w:rsidRPr="00F22925">
        <w:rPr>
          <w:lang w:val="fr-CA"/>
        </w:rPr>
        <w:t>.</w:t>
      </w:r>
      <w:r w:rsidRPr="00336568">
        <w:rPr>
          <w:lang w:val="fr-CA"/>
        </w:rPr>
        <w:t xml:space="preserve"> Le paragraphe 3 c) de l</w:t>
      </w:r>
      <w:r>
        <w:rPr>
          <w:lang w:val="fr-CA"/>
        </w:rPr>
        <w:t>’</w:t>
      </w:r>
      <w:r w:rsidRPr="00336568">
        <w:rPr>
          <w:lang w:val="fr-CA"/>
        </w:rPr>
        <w:t>article 31 de la Convention a pour but de garantir l</w:t>
      </w:r>
      <w:proofErr w:type="gramStart"/>
      <w:r>
        <w:rPr>
          <w:lang w:val="fr-CA"/>
        </w:rPr>
        <w:t>’</w:t>
      </w:r>
      <w:r w:rsidRPr="00336568">
        <w:rPr>
          <w:lang w:val="fr-CA"/>
        </w:rPr>
        <w:t>«</w:t>
      </w:r>
      <w:proofErr w:type="gramEnd"/>
      <w:r w:rsidRPr="00336568">
        <w:rPr>
          <w:lang w:val="fr-CA"/>
        </w:rPr>
        <w:t> interprétation systémique », disposant que « toute règle pertinente de droit international applicable dans les relations entre les parties » doit être prise en considération</w:t>
      </w:r>
      <w:r w:rsidRPr="00F22830">
        <w:rPr>
          <w:rStyle w:val="FootnoteReference"/>
        </w:rPr>
        <w:footnoteReference w:id="126"/>
      </w:r>
      <w:r w:rsidRPr="00F22925">
        <w:rPr>
          <w:lang w:val="fr-CA"/>
        </w:rPr>
        <w:t>.</w:t>
      </w:r>
      <w:r w:rsidRPr="00336568">
        <w:rPr>
          <w:lang w:val="fr-CA"/>
        </w:rPr>
        <w:t xml:space="preserve"> En d</w:t>
      </w:r>
      <w:r>
        <w:rPr>
          <w:lang w:val="fr-CA"/>
        </w:rPr>
        <w:t>’</w:t>
      </w:r>
      <w:r w:rsidRPr="00336568">
        <w:rPr>
          <w:lang w:val="fr-CA"/>
        </w:rPr>
        <w:t>autres termes, ce paragraphe exprime l</w:t>
      </w:r>
      <w:r>
        <w:rPr>
          <w:lang w:val="fr-CA"/>
        </w:rPr>
        <w:t>’</w:t>
      </w:r>
      <w:r w:rsidRPr="00336568">
        <w:rPr>
          <w:lang w:val="fr-CA"/>
        </w:rPr>
        <w:t>unité du droit international public et la notion selon laquelle ses règles ne peuvent être interprétées isolément les unes des autres</w:t>
      </w:r>
      <w:r w:rsidRPr="00F22830">
        <w:rPr>
          <w:rStyle w:val="FootnoteReference"/>
        </w:rPr>
        <w:footnoteReference w:id="127"/>
      </w:r>
      <w:r w:rsidRPr="00F22925">
        <w:rPr>
          <w:lang w:val="fr-CA"/>
        </w:rPr>
        <w:t>.</w:t>
      </w:r>
      <w:r w:rsidRPr="00336568">
        <w:rPr>
          <w:lang w:val="fr-CA"/>
        </w:rPr>
        <w:t xml:space="preserve"> L</w:t>
      </w:r>
      <w:r>
        <w:rPr>
          <w:lang w:val="fr-CA"/>
        </w:rPr>
        <w:t>’</w:t>
      </w:r>
      <w:r w:rsidRPr="00336568">
        <w:rPr>
          <w:lang w:val="fr-CA"/>
        </w:rPr>
        <w:t>article 30 de la Convention énonce les principes qui président à la résolution des conflits lorsque le principe de l</w:t>
      </w:r>
      <w:r>
        <w:rPr>
          <w:lang w:val="fr-CA"/>
        </w:rPr>
        <w:t>’</w:t>
      </w:r>
      <w:r w:rsidRPr="00336568">
        <w:rPr>
          <w:lang w:val="fr-CA"/>
        </w:rPr>
        <w:t xml:space="preserve">intégration systémique ne suffit pas, à savoir les principes de la </w:t>
      </w:r>
      <w:proofErr w:type="spellStart"/>
      <w:r w:rsidRPr="00336568">
        <w:rPr>
          <w:i/>
          <w:lang w:val="fr-CA"/>
        </w:rPr>
        <w:t>lex</w:t>
      </w:r>
      <w:proofErr w:type="spellEnd"/>
      <w:r w:rsidRPr="00336568">
        <w:rPr>
          <w:i/>
          <w:lang w:val="fr-CA"/>
        </w:rPr>
        <w:t> </w:t>
      </w:r>
      <w:proofErr w:type="spellStart"/>
      <w:r w:rsidRPr="00336568">
        <w:rPr>
          <w:i/>
          <w:lang w:val="fr-CA"/>
        </w:rPr>
        <w:t>specialis</w:t>
      </w:r>
      <w:proofErr w:type="spellEnd"/>
      <w:r w:rsidRPr="00336568">
        <w:rPr>
          <w:lang w:val="fr-CA"/>
        </w:rPr>
        <w:t xml:space="preserve"> (par</w:t>
      </w:r>
      <w:r w:rsidRPr="00F22925">
        <w:rPr>
          <w:lang w:val="fr-CA"/>
        </w:rPr>
        <w:t>.</w:t>
      </w:r>
      <w:r w:rsidRPr="00336568">
        <w:rPr>
          <w:lang w:val="fr-CA"/>
        </w:rPr>
        <w:t xml:space="preserve"> 2) et de la </w:t>
      </w:r>
      <w:proofErr w:type="spellStart"/>
      <w:r w:rsidRPr="00336568">
        <w:rPr>
          <w:i/>
          <w:lang w:val="fr-CA"/>
        </w:rPr>
        <w:t>lex</w:t>
      </w:r>
      <w:proofErr w:type="spellEnd"/>
      <w:r w:rsidRPr="00336568">
        <w:rPr>
          <w:i/>
          <w:lang w:val="fr-CA"/>
        </w:rPr>
        <w:t xml:space="preserve"> </w:t>
      </w:r>
      <w:proofErr w:type="spellStart"/>
      <w:r w:rsidRPr="00336568">
        <w:rPr>
          <w:i/>
          <w:lang w:val="fr-CA"/>
        </w:rPr>
        <w:t>posterior</w:t>
      </w:r>
      <w:proofErr w:type="spellEnd"/>
      <w:r w:rsidRPr="00336568">
        <w:rPr>
          <w:lang w:val="fr-CA"/>
        </w:rPr>
        <w:t xml:space="preserve"> (par</w:t>
      </w:r>
      <w:r w:rsidRPr="00F22925">
        <w:rPr>
          <w:lang w:val="fr-CA"/>
        </w:rPr>
        <w:t>.</w:t>
      </w:r>
      <w:r w:rsidRPr="00336568">
        <w:rPr>
          <w:lang w:val="fr-CA"/>
        </w:rPr>
        <w:t xml:space="preserve"> 3) et le principe </w:t>
      </w:r>
      <w:proofErr w:type="spellStart"/>
      <w:r w:rsidRPr="00336568">
        <w:rPr>
          <w:i/>
          <w:lang w:val="fr-CA"/>
        </w:rPr>
        <w:t>pacta</w:t>
      </w:r>
      <w:proofErr w:type="spellEnd"/>
      <w:r w:rsidRPr="00336568">
        <w:rPr>
          <w:i/>
          <w:lang w:val="fr-CA"/>
        </w:rPr>
        <w:t xml:space="preserve"> </w:t>
      </w:r>
      <w:proofErr w:type="spellStart"/>
      <w:r w:rsidRPr="00336568">
        <w:rPr>
          <w:i/>
          <w:lang w:val="fr-CA"/>
        </w:rPr>
        <w:t>tertiis</w:t>
      </w:r>
      <w:proofErr w:type="spellEnd"/>
      <w:r w:rsidRPr="00336568">
        <w:rPr>
          <w:lang w:val="fr-CA"/>
        </w:rPr>
        <w:t xml:space="preserve"> (par</w:t>
      </w:r>
      <w:r w:rsidRPr="00F22925">
        <w:rPr>
          <w:lang w:val="fr-CA"/>
        </w:rPr>
        <w:t>.</w:t>
      </w:r>
      <w:r w:rsidRPr="00336568">
        <w:rPr>
          <w:lang w:val="fr-CA"/>
        </w:rPr>
        <w:t> 4)</w:t>
      </w:r>
      <w:r w:rsidRPr="00F22830">
        <w:rPr>
          <w:rStyle w:val="FootnoteReference"/>
        </w:rPr>
        <w:footnoteReference w:id="128"/>
      </w:r>
      <w:r w:rsidRPr="00F22925">
        <w:rPr>
          <w:lang w:val="fr-CA"/>
        </w:rPr>
        <w:t>.</w:t>
      </w:r>
      <w:r w:rsidRPr="00336568">
        <w:rPr>
          <w:lang w:val="fr-CA"/>
        </w:rPr>
        <w:t xml:space="preserve"> Les « règles et principes du droit international coutumier » mentionnés dans la deuxième phrase du paragraphe 1 sont les règles et principes du droit international coutumier utiles aux fins de la détermination, de l</w:t>
      </w:r>
      <w:r>
        <w:rPr>
          <w:lang w:val="fr-CA"/>
        </w:rPr>
        <w:t>’</w:t>
      </w:r>
      <w:r w:rsidRPr="00336568">
        <w:rPr>
          <w:lang w:val="fr-CA"/>
        </w:rPr>
        <w:t>interprétation et de l</w:t>
      </w:r>
      <w:r>
        <w:rPr>
          <w:lang w:val="fr-CA"/>
        </w:rPr>
        <w:t>’</w:t>
      </w:r>
      <w:r w:rsidRPr="00336568">
        <w:rPr>
          <w:lang w:val="fr-CA"/>
        </w:rPr>
        <w:t>application des règles pertinentes</w:t>
      </w:r>
      <w:r w:rsidRPr="00F22830">
        <w:rPr>
          <w:rStyle w:val="FootnoteReference"/>
        </w:rPr>
        <w:footnoteReference w:id="129"/>
      </w:r>
      <w:r w:rsidRPr="00F22925">
        <w:rPr>
          <w:lang w:val="fr-CA"/>
        </w:rPr>
        <w:t>.</w:t>
      </w:r>
      <w:r w:rsidRPr="00336568">
        <w:rPr>
          <w:lang w:val="fr-CA"/>
        </w:rPr>
        <w:t xml:space="preserve"> La référence faite dans la dernière phrase du paragraphe 1 aux « principes et règles du droit international coutumier » est sans préjudice de la pertinence éventuelle des « principes généraux du droit » dans le contexte du projet de directives</w:t>
      </w:r>
      <w:r w:rsidRPr="00F22925">
        <w:rPr>
          <w:lang w:val="fr-CA"/>
        </w:rPr>
        <w:t>.</w:t>
      </w:r>
      <w:r w:rsidRPr="00336568">
        <w:rPr>
          <w:lang w:val="fr-CA"/>
        </w:rPr>
        <w:t xml:space="preserve"> </w:t>
      </w:r>
    </w:p>
    <w:p w14:paraId="7C884F2E" w14:textId="77777777" w:rsidR="00D01ECD" w:rsidRDefault="00D01ECD" w:rsidP="00D01ECD">
      <w:pPr>
        <w:pStyle w:val="SingleTxtG"/>
        <w:rPr>
          <w:lang w:val="fr-FR"/>
        </w:rPr>
      </w:pPr>
      <w:r w:rsidRPr="000A0208">
        <w:rPr>
          <w:lang w:val="fr-FR"/>
        </w:rPr>
        <w:t>6)</w:t>
      </w:r>
      <w:r w:rsidRPr="000A0208">
        <w:rPr>
          <w:lang w:val="fr-FR"/>
        </w:rPr>
        <w:tab/>
      </w:r>
      <w:r w:rsidRPr="00336568">
        <w:rPr>
          <w:lang w:val="fr-CA"/>
        </w:rPr>
        <w:t>En précisant qu</w:t>
      </w:r>
      <w:r>
        <w:rPr>
          <w:lang w:val="fr-CA"/>
        </w:rPr>
        <w:t>’</w:t>
      </w:r>
      <w:r w:rsidRPr="00336568">
        <w:rPr>
          <w:lang w:val="fr-CA"/>
        </w:rPr>
        <w:t>il faut tenir compte « </w:t>
      </w:r>
      <w:r w:rsidRPr="00336568">
        <w:rPr>
          <w:i/>
          <w:lang w:val="fr-CA"/>
        </w:rPr>
        <w:t>inter alia</w:t>
      </w:r>
      <w:r w:rsidRPr="00336568">
        <w:rPr>
          <w:lang w:val="fr-CA"/>
        </w:rPr>
        <w:t xml:space="preserve"> [des] règles du droit international du commerce et de l</w:t>
      </w:r>
      <w:r>
        <w:rPr>
          <w:lang w:val="fr-CA"/>
        </w:rPr>
        <w:t>’</w:t>
      </w:r>
      <w:r w:rsidRPr="00336568">
        <w:rPr>
          <w:lang w:val="fr-CA"/>
        </w:rPr>
        <w:t>investissement, du droit de la mer et du droit international des droits de l</w:t>
      </w:r>
      <w:r>
        <w:rPr>
          <w:lang w:val="fr-CA"/>
        </w:rPr>
        <w:t>’</w:t>
      </w:r>
      <w:r w:rsidRPr="00336568">
        <w:rPr>
          <w:lang w:val="fr-CA"/>
        </w:rPr>
        <w:t>homme », la Commission souligne l</w:t>
      </w:r>
      <w:r>
        <w:rPr>
          <w:lang w:val="fr-CA"/>
        </w:rPr>
        <w:t>’</w:t>
      </w:r>
      <w:r w:rsidRPr="00336568">
        <w:rPr>
          <w:lang w:val="fr-CA"/>
        </w:rPr>
        <w:t>importance pratique que ces trois matières revêtent au regard de la protection de l</w:t>
      </w:r>
      <w:r>
        <w:rPr>
          <w:lang w:val="fr-CA"/>
        </w:rPr>
        <w:t>’</w:t>
      </w:r>
      <w:r w:rsidRPr="00336568">
        <w:rPr>
          <w:lang w:val="fr-CA"/>
        </w:rPr>
        <w:t>atmosphère</w:t>
      </w:r>
      <w:r w:rsidRPr="00F22925">
        <w:rPr>
          <w:lang w:val="fr-CA"/>
        </w:rPr>
        <w:t>.</w:t>
      </w:r>
      <w:r w:rsidRPr="00336568">
        <w:rPr>
          <w:lang w:val="fr-CA"/>
        </w:rPr>
        <w:t xml:space="preserve"> Ces domaines sont étroitement liés au droit international relatif à la protection de l</w:t>
      </w:r>
      <w:r>
        <w:rPr>
          <w:lang w:val="fr-CA"/>
        </w:rPr>
        <w:t>’</w:t>
      </w:r>
      <w:r w:rsidRPr="00336568">
        <w:rPr>
          <w:lang w:val="fr-CA"/>
        </w:rPr>
        <w:t xml:space="preserve">atmosphère sur le plan de la pratique </w:t>
      </w:r>
      <w:r w:rsidRPr="00336568">
        <w:rPr>
          <w:lang w:val="fr-CA"/>
        </w:rPr>
        <w:lastRenderedPageBreak/>
        <w:t>conventionnelle, de la jurisprudence et de la doctrine</w:t>
      </w:r>
      <w:r w:rsidRPr="00F22830">
        <w:rPr>
          <w:rStyle w:val="FootnoteReference"/>
        </w:rPr>
        <w:footnoteReference w:id="130"/>
      </w:r>
      <w:r w:rsidRPr="00F22925">
        <w:rPr>
          <w:lang w:val="fr-CA"/>
        </w:rPr>
        <w:t>.</w:t>
      </w:r>
      <w:r w:rsidRPr="00336568">
        <w:rPr>
          <w:lang w:val="fr-CA"/>
        </w:rPr>
        <w:t xml:space="preserve"> Les autres domaines du droit, susceptibles d</w:t>
      </w:r>
      <w:r>
        <w:rPr>
          <w:lang w:val="fr-CA"/>
        </w:rPr>
        <w:t>’</w:t>
      </w:r>
      <w:r w:rsidRPr="00336568">
        <w:rPr>
          <w:lang w:val="fr-CA"/>
        </w:rPr>
        <w:t>être tout aussi pertinents, ne sont pas pour autant exclus, la liste donnée ne se voulant pas exhaustive</w:t>
      </w:r>
      <w:r w:rsidRPr="00F22925">
        <w:rPr>
          <w:lang w:val="fr-CA"/>
        </w:rPr>
        <w:t>.</w:t>
      </w:r>
      <w:r w:rsidRPr="00336568">
        <w:rPr>
          <w:lang w:val="fr-CA"/>
        </w:rPr>
        <w:t xml:space="preserve"> De surcroît, aucune des dispositions du projet de directive 9 ne saurait être interprétée comme subordonnant les règles de droit international relevant des matières citées aux règles relatives à la protection de l</w:t>
      </w:r>
      <w:r>
        <w:rPr>
          <w:lang w:val="fr-CA"/>
        </w:rPr>
        <w:t>’</w:t>
      </w:r>
      <w:r w:rsidRPr="00336568">
        <w:rPr>
          <w:lang w:val="fr-CA"/>
        </w:rPr>
        <w:t>atmosphère ou vice-versa</w:t>
      </w:r>
      <w:r w:rsidRPr="00F22925">
        <w:rPr>
          <w:lang w:val="fr-CA"/>
        </w:rPr>
        <w:t>.</w:t>
      </w:r>
    </w:p>
    <w:p w14:paraId="14528868" w14:textId="77777777" w:rsidR="00D01ECD" w:rsidRPr="00336568" w:rsidRDefault="00D01ECD" w:rsidP="00D01ECD">
      <w:pPr>
        <w:pStyle w:val="SingleTxtG"/>
        <w:rPr>
          <w:lang w:val="fr-CA"/>
        </w:rPr>
      </w:pPr>
      <w:r w:rsidRPr="000A0208">
        <w:rPr>
          <w:lang w:val="fr-FR"/>
        </w:rPr>
        <w:t>7)</w:t>
      </w:r>
      <w:r w:rsidRPr="000A0208">
        <w:rPr>
          <w:lang w:val="fr-FR"/>
        </w:rPr>
        <w:tab/>
      </w:r>
      <w:r w:rsidRPr="00336568">
        <w:rPr>
          <w:lang w:val="fr-CA"/>
        </w:rPr>
        <w:t>L</w:t>
      </w:r>
      <w:r>
        <w:rPr>
          <w:lang w:val="fr-CA"/>
        </w:rPr>
        <w:t>’</w:t>
      </w:r>
      <w:r w:rsidRPr="00336568">
        <w:rPr>
          <w:lang w:val="fr-CA"/>
        </w:rPr>
        <w:t>émergence de la notion de renforcement mutuel a permis de concilier le droit international du commerce et le droit international de l</w:t>
      </w:r>
      <w:r>
        <w:rPr>
          <w:lang w:val="fr-CA"/>
        </w:rPr>
        <w:t>’</w:t>
      </w:r>
      <w:r w:rsidRPr="00336568">
        <w:rPr>
          <w:lang w:val="fr-CA"/>
        </w:rPr>
        <w:t>environnement, qui recouvre la protection de l</w:t>
      </w:r>
      <w:r>
        <w:rPr>
          <w:lang w:val="fr-CA"/>
        </w:rPr>
        <w:t>’</w:t>
      </w:r>
      <w:r w:rsidRPr="00336568">
        <w:rPr>
          <w:lang w:val="fr-CA"/>
        </w:rPr>
        <w:t>atmosphère</w:t>
      </w:r>
      <w:r w:rsidRPr="00F22925">
        <w:rPr>
          <w:lang w:val="fr-CA"/>
        </w:rPr>
        <w:t>.</w:t>
      </w:r>
      <w:r w:rsidRPr="00336568">
        <w:rPr>
          <w:lang w:val="fr-CA"/>
        </w:rPr>
        <w:t xml:space="preserve"> Le préambule de l</w:t>
      </w:r>
      <w:r>
        <w:rPr>
          <w:lang w:val="fr-CA"/>
        </w:rPr>
        <w:t>’</w:t>
      </w:r>
      <w:r w:rsidRPr="00336568">
        <w:rPr>
          <w:lang w:val="fr-CA"/>
        </w:rPr>
        <w:t>Accord de Marrakech de 1994 instituant l</w:t>
      </w:r>
      <w:r>
        <w:rPr>
          <w:lang w:val="fr-CA"/>
        </w:rPr>
        <w:t>’</w:t>
      </w:r>
      <w:r w:rsidRPr="00336568">
        <w:rPr>
          <w:lang w:val="fr-CA"/>
        </w:rPr>
        <w:t>Organisation mondiale du commerce</w:t>
      </w:r>
      <w:r w:rsidRPr="00F22830">
        <w:rPr>
          <w:rStyle w:val="FootnoteReference"/>
        </w:rPr>
        <w:footnoteReference w:id="131"/>
      </w:r>
      <w:r w:rsidRPr="00336568">
        <w:rPr>
          <w:lang w:val="fr-CA"/>
        </w:rPr>
        <w:t xml:space="preserve"> dispose que l</w:t>
      </w:r>
      <w:r>
        <w:rPr>
          <w:lang w:val="fr-CA"/>
        </w:rPr>
        <w:t>’</w:t>
      </w:r>
      <w:r w:rsidRPr="00336568">
        <w:rPr>
          <w:lang w:val="fr-CA"/>
        </w:rPr>
        <w:t>objectif de l</w:t>
      </w:r>
      <w:r>
        <w:rPr>
          <w:lang w:val="fr-CA"/>
        </w:rPr>
        <w:t>’</w:t>
      </w:r>
      <w:r w:rsidRPr="00336568">
        <w:rPr>
          <w:lang w:val="fr-CA"/>
        </w:rPr>
        <w:t xml:space="preserve">OMC est de </w:t>
      </w:r>
      <w:r w:rsidRPr="00336568">
        <w:rPr>
          <w:spacing w:val="-2"/>
          <w:lang w:val="fr-CA"/>
        </w:rPr>
        <w:t>concilier les objectifs de commerce et de développement avec les besoins environnementaux</w:t>
      </w:r>
      <w:r w:rsidRPr="00336568">
        <w:rPr>
          <w:lang w:val="fr-CA"/>
        </w:rPr>
        <w:t xml:space="preserve"> « conformément à l</w:t>
      </w:r>
      <w:r>
        <w:rPr>
          <w:lang w:val="fr-CA"/>
        </w:rPr>
        <w:t>’</w:t>
      </w:r>
      <w:r w:rsidRPr="00336568">
        <w:rPr>
          <w:lang w:val="fr-CA"/>
        </w:rPr>
        <w:t>objectif de développement durable</w:t>
      </w:r>
      <w:r w:rsidRPr="00F22830">
        <w:rPr>
          <w:rStyle w:val="FootnoteReference"/>
        </w:rPr>
        <w:footnoteReference w:id="132"/>
      </w:r>
      <w:r w:rsidRPr="00336568">
        <w:rPr>
          <w:lang w:val="fr-CA"/>
        </w:rPr>
        <w:t> »</w:t>
      </w:r>
      <w:r w:rsidRPr="00F22925">
        <w:rPr>
          <w:lang w:val="fr-CA"/>
        </w:rPr>
        <w:t>.</w:t>
      </w:r>
      <w:r w:rsidRPr="00336568">
        <w:rPr>
          <w:lang w:val="fr-CA"/>
        </w:rPr>
        <w:t xml:space="preserve"> Le Comité du commerce et de l</w:t>
      </w:r>
      <w:r>
        <w:rPr>
          <w:lang w:val="fr-CA"/>
        </w:rPr>
        <w:t>’</w:t>
      </w:r>
      <w:r w:rsidRPr="00336568">
        <w:rPr>
          <w:lang w:val="fr-CA"/>
        </w:rPr>
        <w:t>environnement de l</w:t>
      </w:r>
      <w:r>
        <w:rPr>
          <w:lang w:val="fr-CA"/>
        </w:rPr>
        <w:t>’</w:t>
      </w:r>
      <w:r w:rsidRPr="00336568">
        <w:rPr>
          <w:lang w:val="fr-CA"/>
        </w:rPr>
        <w:t>OMC a été créé pour « coordonner les politiques dans le domaine du commerce et de l</w:t>
      </w:r>
      <w:r>
        <w:rPr>
          <w:lang w:val="fr-CA"/>
        </w:rPr>
        <w:t>’</w:t>
      </w:r>
      <w:r w:rsidRPr="00336568">
        <w:rPr>
          <w:lang w:val="fr-CA"/>
        </w:rPr>
        <w:t>environnement</w:t>
      </w:r>
      <w:r w:rsidRPr="00F22830">
        <w:rPr>
          <w:rStyle w:val="FootnoteReference"/>
        </w:rPr>
        <w:footnoteReference w:id="133"/>
      </w:r>
      <w:r w:rsidRPr="00336568">
        <w:rPr>
          <w:lang w:val="fr-CA"/>
        </w:rPr>
        <w:t> » et, dans le rapport qu</w:t>
      </w:r>
      <w:r>
        <w:rPr>
          <w:lang w:val="fr-CA"/>
        </w:rPr>
        <w:t>’</w:t>
      </w:r>
      <w:r w:rsidRPr="00336568">
        <w:rPr>
          <w:lang w:val="fr-CA"/>
        </w:rPr>
        <w:t>il a adressé en 1996 à la Conférence ministérielle de l</w:t>
      </w:r>
      <w:r>
        <w:rPr>
          <w:lang w:val="fr-CA"/>
        </w:rPr>
        <w:t>’</w:t>
      </w:r>
      <w:r w:rsidRPr="00336568">
        <w:rPr>
          <w:lang w:val="fr-CA"/>
        </w:rPr>
        <w:t>OMC tenue à Singapour, il a rappelé que le système commercial incarné par l</w:t>
      </w:r>
      <w:r>
        <w:rPr>
          <w:lang w:val="fr-CA"/>
        </w:rPr>
        <w:t>’</w:t>
      </w:r>
      <w:r w:rsidRPr="00336568">
        <w:rPr>
          <w:lang w:val="fr-CA"/>
        </w:rPr>
        <w:t>OMC et la protection de l</w:t>
      </w:r>
      <w:r>
        <w:rPr>
          <w:lang w:val="fr-CA"/>
        </w:rPr>
        <w:t>’</w:t>
      </w:r>
      <w:r w:rsidRPr="00336568">
        <w:rPr>
          <w:lang w:val="fr-CA"/>
        </w:rPr>
        <w:t xml:space="preserve">environnement étaient « deux domaines </w:t>
      </w:r>
      <w:r w:rsidRPr="00336568">
        <w:rPr>
          <w:spacing w:val="-2"/>
          <w:lang w:val="fr-CA"/>
        </w:rPr>
        <w:t>de l</w:t>
      </w:r>
      <w:r>
        <w:rPr>
          <w:spacing w:val="-2"/>
          <w:lang w:val="fr-CA"/>
        </w:rPr>
        <w:t>’</w:t>
      </w:r>
      <w:r w:rsidRPr="00336568">
        <w:rPr>
          <w:spacing w:val="-2"/>
          <w:lang w:val="fr-CA"/>
        </w:rPr>
        <w:t>élaboration des politiques […] importants et […] devraient s</w:t>
      </w:r>
      <w:r>
        <w:rPr>
          <w:spacing w:val="-2"/>
          <w:lang w:val="fr-CA"/>
        </w:rPr>
        <w:t>’</w:t>
      </w:r>
      <w:r w:rsidRPr="00336568">
        <w:rPr>
          <w:spacing w:val="-2"/>
          <w:lang w:val="fr-CA"/>
        </w:rPr>
        <w:t>étayer mutuellement afin de promouvoir le développement durable</w:t>
      </w:r>
      <w:r w:rsidRPr="00F22830">
        <w:rPr>
          <w:rStyle w:val="FootnoteReference"/>
        </w:rPr>
        <w:footnoteReference w:id="134"/>
      </w:r>
      <w:r w:rsidRPr="00336568">
        <w:rPr>
          <w:spacing w:val="-2"/>
          <w:lang w:val="fr-CA"/>
        </w:rPr>
        <w:t> »</w:t>
      </w:r>
      <w:r w:rsidRPr="00F22925">
        <w:rPr>
          <w:spacing w:val="-2"/>
          <w:lang w:val="fr-CA"/>
        </w:rPr>
        <w:t>.</w:t>
      </w:r>
      <w:r w:rsidRPr="00336568">
        <w:rPr>
          <w:spacing w:val="-2"/>
          <w:lang w:val="fr-CA"/>
        </w:rPr>
        <w:t xml:space="preserve"> Le « renforcement mutuel » étant progressivement</w:t>
      </w:r>
      <w:r w:rsidRPr="00336568">
        <w:rPr>
          <w:lang w:val="fr-CA"/>
        </w:rPr>
        <w:t xml:space="preserve"> devenu </w:t>
      </w:r>
      <w:r w:rsidRPr="001D59D0">
        <w:rPr>
          <w:lang w:val="fr-CA"/>
        </w:rPr>
        <w:t xml:space="preserve">un standard juridique </w:t>
      </w:r>
      <w:r w:rsidRPr="00336568">
        <w:rPr>
          <w:i/>
          <w:lang w:val="fr-CA"/>
        </w:rPr>
        <w:t>interne</w:t>
      </w:r>
      <w:r w:rsidRPr="00336568">
        <w:rPr>
          <w:lang w:val="fr-CA"/>
        </w:rPr>
        <w:t xml:space="preserve"> à l</w:t>
      </w:r>
      <w:r>
        <w:rPr>
          <w:lang w:val="fr-CA"/>
        </w:rPr>
        <w:t>’</w:t>
      </w:r>
      <w:r w:rsidRPr="00336568">
        <w:rPr>
          <w:lang w:val="fr-CA"/>
        </w:rPr>
        <w:t>OMC</w:t>
      </w:r>
      <w:bookmarkStart w:id="25" w:name="_Ref520291888"/>
      <w:r w:rsidRPr="00F22830">
        <w:rPr>
          <w:rStyle w:val="FootnoteReference"/>
        </w:rPr>
        <w:footnoteReference w:id="135"/>
      </w:r>
      <w:bookmarkEnd w:id="25"/>
      <w:r w:rsidRPr="00336568">
        <w:rPr>
          <w:lang w:val="fr-CA"/>
        </w:rPr>
        <w:t>, la Déclaration ministérielle adoptée à Doha en 2001 exprime la conviction des États que « les objectifs consistant à œuvrer en faveur de la protection de l</w:t>
      </w:r>
      <w:r>
        <w:rPr>
          <w:lang w:val="fr-CA"/>
        </w:rPr>
        <w:t>’</w:t>
      </w:r>
      <w:r w:rsidRPr="00336568">
        <w:rPr>
          <w:lang w:val="fr-CA"/>
        </w:rPr>
        <w:t>environnement et du développement durable peuvent et doivent se renforcer mutuellement</w:t>
      </w:r>
      <w:r w:rsidRPr="00F22830">
        <w:rPr>
          <w:rStyle w:val="FootnoteReference"/>
        </w:rPr>
        <w:footnoteReference w:id="136"/>
      </w:r>
      <w:r w:rsidRPr="00336568">
        <w:rPr>
          <w:lang w:val="fr-CA"/>
        </w:rPr>
        <w:t> »</w:t>
      </w:r>
      <w:r w:rsidRPr="00F22925">
        <w:rPr>
          <w:lang w:val="fr-CA"/>
        </w:rPr>
        <w:t>.</w:t>
      </w:r>
      <w:r w:rsidRPr="00336568">
        <w:rPr>
          <w:lang w:val="fr-CA"/>
        </w:rPr>
        <w:t xml:space="preserve"> En outre, en droit international du commerce, le renforcement mutuel est considéré comme un aspect du principe de l</w:t>
      </w:r>
      <w:r>
        <w:rPr>
          <w:lang w:val="fr-CA"/>
        </w:rPr>
        <w:t>’</w:t>
      </w:r>
      <w:r w:rsidRPr="00336568">
        <w:rPr>
          <w:lang w:val="fr-CA"/>
        </w:rPr>
        <w:t>harmonisation lorsqu</w:t>
      </w:r>
      <w:r>
        <w:rPr>
          <w:lang w:val="fr-CA"/>
        </w:rPr>
        <w:t>’</w:t>
      </w:r>
      <w:r w:rsidRPr="00336568">
        <w:rPr>
          <w:lang w:val="fr-CA"/>
        </w:rPr>
        <w:t>il s</w:t>
      </w:r>
      <w:r>
        <w:rPr>
          <w:lang w:val="fr-CA"/>
        </w:rPr>
        <w:t>’</w:t>
      </w:r>
      <w:r w:rsidRPr="00336568">
        <w:rPr>
          <w:lang w:val="fr-CA"/>
        </w:rPr>
        <w:t>agit d</w:t>
      </w:r>
      <w:r>
        <w:rPr>
          <w:lang w:val="fr-CA"/>
        </w:rPr>
        <w:t>’</w:t>
      </w:r>
      <w:r w:rsidRPr="00336568">
        <w:rPr>
          <w:lang w:val="fr-CA"/>
        </w:rPr>
        <w:t>interpréter des règles conventionnelles conflictuelles</w:t>
      </w:r>
      <w:r w:rsidRPr="00F22925">
        <w:rPr>
          <w:lang w:val="fr-CA"/>
        </w:rPr>
        <w:t>.</w:t>
      </w:r>
      <w:r w:rsidRPr="00336568">
        <w:rPr>
          <w:lang w:val="fr-CA"/>
        </w:rPr>
        <w:t xml:space="preserve"> Entre autres affaires pertinentes examinées par le mécanisme de règlement des différends de l</w:t>
      </w:r>
      <w:r>
        <w:rPr>
          <w:lang w:val="fr-CA"/>
        </w:rPr>
        <w:t>’</w:t>
      </w:r>
      <w:r w:rsidRPr="00336568">
        <w:rPr>
          <w:lang w:val="fr-CA"/>
        </w:rPr>
        <w:t>OMC, l</w:t>
      </w:r>
      <w:r>
        <w:rPr>
          <w:lang w:val="fr-CA"/>
        </w:rPr>
        <w:t>’</w:t>
      </w:r>
      <w:r w:rsidRPr="00336568">
        <w:rPr>
          <w:lang w:val="fr-CA"/>
        </w:rPr>
        <w:t xml:space="preserve">affaire </w:t>
      </w:r>
      <w:r w:rsidRPr="00336568">
        <w:rPr>
          <w:i/>
          <w:lang w:val="fr-CA"/>
        </w:rPr>
        <w:t>États-Unis − Normes concernant l</w:t>
      </w:r>
      <w:r>
        <w:rPr>
          <w:i/>
          <w:lang w:val="fr-CA"/>
        </w:rPr>
        <w:t>’</w:t>
      </w:r>
      <w:r w:rsidRPr="00336568">
        <w:rPr>
          <w:i/>
          <w:lang w:val="fr-CA"/>
        </w:rPr>
        <w:t>essence nouvelle et ancienne formules</w:t>
      </w:r>
      <w:r w:rsidRPr="00336568">
        <w:rPr>
          <w:lang w:val="fr-CA"/>
        </w:rPr>
        <w:t xml:space="preserve"> de 1996 est particulièrement intéressante en ce que l</w:t>
      </w:r>
      <w:r>
        <w:rPr>
          <w:lang w:val="fr-CA"/>
        </w:rPr>
        <w:t>’</w:t>
      </w:r>
      <w:r w:rsidRPr="00336568">
        <w:rPr>
          <w:lang w:val="fr-CA"/>
        </w:rPr>
        <w:t>Organe d</w:t>
      </w:r>
      <w:r>
        <w:rPr>
          <w:lang w:val="fr-CA"/>
        </w:rPr>
        <w:t>’</w:t>
      </w:r>
      <w:r w:rsidRPr="00336568">
        <w:rPr>
          <w:lang w:val="fr-CA"/>
        </w:rPr>
        <w:t>appel a estimé qu</w:t>
      </w:r>
      <w:r>
        <w:rPr>
          <w:lang w:val="fr-CA"/>
        </w:rPr>
        <w:t>’</w:t>
      </w:r>
      <w:r w:rsidRPr="00336568">
        <w:rPr>
          <w:lang w:val="fr-CA"/>
        </w:rPr>
        <w:t>on ne saurait interpréter l</w:t>
      </w:r>
      <w:r>
        <w:rPr>
          <w:lang w:val="fr-CA"/>
        </w:rPr>
        <w:t>’</w:t>
      </w:r>
      <w:r w:rsidRPr="00336568">
        <w:rPr>
          <w:lang w:val="fr-CA"/>
        </w:rPr>
        <w:t xml:space="preserve">Accord général sur les tarifs douaniers et le </w:t>
      </w:r>
      <w:r w:rsidRPr="00336568">
        <w:rPr>
          <w:lang w:val="fr-CA"/>
        </w:rPr>
        <w:lastRenderedPageBreak/>
        <w:t>commerce sans tenir compte des règles d</w:t>
      </w:r>
      <w:r>
        <w:rPr>
          <w:lang w:val="fr-CA"/>
        </w:rPr>
        <w:t>’</w:t>
      </w:r>
      <w:r w:rsidRPr="00336568">
        <w:rPr>
          <w:lang w:val="fr-CA"/>
        </w:rPr>
        <w:t>interprétation du droit international public et, plus précisément, qu</w:t>
      </w:r>
      <w:r>
        <w:rPr>
          <w:lang w:val="fr-CA"/>
        </w:rPr>
        <w:t>’</w:t>
      </w:r>
      <w:r w:rsidRPr="00336568">
        <w:rPr>
          <w:lang w:val="fr-CA"/>
        </w:rPr>
        <w:t>« il ne fa[</w:t>
      </w:r>
      <w:proofErr w:type="spellStart"/>
      <w:r w:rsidRPr="00336568">
        <w:rPr>
          <w:lang w:val="fr-CA"/>
        </w:rPr>
        <w:t>llai</w:t>
      </w:r>
      <w:proofErr w:type="spellEnd"/>
      <w:r w:rsidRPr="00336568">
        <w:rPr>
          <w:lang w:val="fr-CA"/>
        </w:rPr>
        <w:t>]t pas lire l</w:t>
      </w:r>
      <w:r>
        <w:rPr>
          <w:lang w:val="fr-CA"/>
        </w:rPr>
        <w:t>’</w:t>
      </w:r>
      <w:r w:rsidRPr="00336568">
        <w:rPr>
          <w:i/>
          <w:lang w:val="fr-CA"/>
        </w:rPr>
        <w:t>Accord général en l</w:t>
      </w:r>
      <w:r>
        <w:rPr>
          <w:i/>
          <w:lang w:val="fr-CA"/>
        </w:rPr>
        <w:t>’</w:t>
      </w:r>
      <w:r w:rsidRPr="00336568">
        <w:rPr>
          <w:i/>
          <w:lang w:val="fr-CA"/>
        </w:rPr>
        <w:t xml:space="preserve">isolant cliniquement du droit international </w:t>
      </w:r>
      <w:r w:rsidRPr="002B0391">
        <w:rPr>
          <w:i/>
          <w:lang w:val="fr-CA"/>
        </w:rPr>
        <w:t>public</w:t>
      </w:r>
      <w:r w:rsidRPr="002B0391">
        <w:rPr>
          <w:rStyle w:val="FootnoteReference"/>
        </w:rPr>
        <w:footnoteReference w:id="137"/>
      </w:r>
      <w:r w:rsidRPr="002B0391">
        <w:rPr>
          <w:lang w:val="fr-CA"/>
        </w:rPr>
        <w:t> » (non souligné dans l</w:t>
      </w:r>
      <w:r>
        <w:rPr>
          <w:lang w:val="fr-CA"/>
        </w:rPr>
        <w:t>’</w:t>
      </w:r>
      <w:r w:rsidRPr="002B0391">
        <w:rPr>
          <w:lang w:val="fr-CA"/>
        </w:rPr>
        <w:t>original).</w:t>
      </w:r>
    </w:p>
    <w:p w14:paraId="3D47B873" w14:textId="77777777" w:rsidR="00D01ECD" w:rsidRDefault="00D01ECD" w:rsidP="00D01ECD">
      <w:pPr>
        <w:pStyle w:val="SingleTxtG"/>
        <w:keepLines/>
        <w:rPr>
          <w:lang w:val="fr-FR"/>
        </w:rPr>
      </w:pPr>
      <w:r w:rsidRPr="000A0208">
        <w:rPr>
          <w:lang w:val="fr-FR"/>
        </w:rPr>
        <w:t>8)</w:t>
      </w:r>
      <w:r w:rsidRPr="000A0208">
        <w:rPr>
          <w:lang w:val="fr-FR"/>
        </w:rPr>
        <w:tab/>
      </w:r>
      <w:r w:rsidRPr="00336568">
        <w:rPr>
          <w:lang w:val="fr-CA"/>
        </w:rPr>
        <w:t>Une tendance comparable se dégage en droit international de l</w:t>
      </w:r>
      <w:r>
        <w:rPr>
          <w:lang w:val="fr-CA"/>
        </w:rPr>
        <w:t>’</w:t>
      </w:r>
      <w:r w:rsidRPr="00336568">
        <w:rPr>
          <w:lang w:val="fr-CA"/>
        </w:rPr>
        <w:t>investissement</w:t>
      </w:r>
      <w:r w:rsidRPr="00F22925">
        <w:rPr>
          <w:lang w:val="fr-CA"/>
        </w:rPr>
        <w:t>.</w:t>
      </w:r>
      <w:r w:rsidRPr="00336568">
        <w:rPr>
          <w:lang w:val="fr-CA"/>
        </w:rPr>
        <w:t xml:space="preserve"> Les accords de libre</w:t>
      </w:r>
      <w:r w:rsidRPr="00336568">
        <w:rPr>
          <w:lang w:val="fr-CA"/>
        </w:rPr>
        <w:noBreakHyphen/>
        <w:t>échange</w:t>
      </w:r>
      <w:r w:rsidRPr="00F22830">
        <w:rPr>
          <w:rStyle w:val="FootnoteReference"/>
        </w:rPr>
        <w:footnoteReference w:id="138"/>
      </w:r>
      <w:r w:rsidRPr="00336568">
        <w:rPr>
          <w:lang w:val="fr-CA"/>
        </w:rPr>
        <w:t>, qui contiennent des clauses relatives aux investissements, et de nombreux traités d</w:t>
      </w:r>
      <w:r>
        <w:rPr>
          <w:lang w:val="fr-CA"/>
        </w:rPr>
        <w:t>’</w:t>
      </w:r>
      <w:r w:rsidRPr="00336568">
        <w:rPr>
          <w:lang w:val="fr-CA"/>
        </w:rPr>
        <w:t>investissement bilatéraux</w:t>
      </w:r>
      <w:r w:rsidRPr="00F22830">
        <w:rPr>
          <w:rStyle w:val="FootnoteReference"/>
        </w:rPr>
        <w:footnoteReference w:id="139"/>
      </w:r>
      <w:r w:rsidRPr="00336568">
        <w:rPr>
          <w:lang w:val="fr-CA"/>
        </w:rPr>
        <w:t xml:space="preserve"> énoncent des normes relatives à l</w:t>
      </w:r>
      <w:r>
        <w:rPr>
          <w:lang w:val="fr-CA"/>
        </w:rPr>
        <w:t>’</w:t>
      </w:r>
      <w:r w:rsidRPr="00336568">
        <w:rPr>
          <w:lang w:val="fr-CA"/>
        </w:rPr>
        <w:t>environnement, lesquelles ont été confirmées par la jurisprudence des organes de règlement des différends compétents</w:t>
      </w:r>
      <w:r w:rsidRPr="00F22925">
        <w:rPr>
          <w:lang w:val="fr-CA"/>
        </w:rPr>
        <w:t>.</w:t>
      </w:r>
      <w:r w:rsidRPr="00336568">
        <w:rPr>
          <w:lang w:val="fr-CA"/>
        </w:rPr>
        <w:t xml:space="preserve"> Certains tribunaux chargés du règlement de différends relatifs aux investissements ont souligné que les traités d</w:t>
      </w:r>
      <w:r>
        <w:rPr>
          <w:lang w:val="fr-CA"/>
        </w:rPr>
        <w:t>’</w:t>
      </w:r>
      <w:r w:rsidRPr="00336568">
        <w:rPr>
          <w:lang w:val="fr-CA"/>
        </w:rPr>
        <w:t>investissement ne sauraient être lus et interprétés indépendamment des instruments de droit international public</w:t>
      </w:r>
      <w:r w:rsidRPr="00F22830">
        <w:rPr>
          <w:rStyle w:val="FootnoteReference"/>
        </w:rPr>
        <w:footnoteReference w:id="140"/>
      </w:r>
      <w:r w:rsidRPr="00F22925">
        <w:rPr>
          <w:lang w:val="fr-CA"/>
        </w:rPr>
        <w:t>.</w:t>
      </w:r>
    </w:p>
    <w:p w14:paraId="037BF63D" w14:textId="77777777" w:rsidR="00D01ECD" w:rsidRDefault="00D01ECD" w:rsidP="00D01ECD">
      <w:pPr>
        <w:pStyle w:val="SingleTxtG"/>
        <w:rPr>
          <w:lang w:val="fr-FR"/>
        </w:rPr>
      </w:pPr>
      <w:r w:rsidRPr="000A0208">
        <w:rPr>
          <w:lang w:val="fr-FR"/>
        </w:rPr>
        <w:t>9)</w:t>
      </w:r>
      <w:r w:rsidRPr="000A0208">
        <w:rPr>
          <w:lang w:val="fr-FR"/>
        </w:rPr>
        <w:tab/>
      </w:r>
      <w:r w:rsidRPr="00336568">
        <w:rPr>
          <w:lang w:val="fr-CA"/>
        </w:rPr>
        <w:t>Il en va de même en droit de la mer</w:t>
      </w:r>
      <w:r w:rsidRPr="00F22925">
        <w:rPr>
          <w:lang w:val="fr-CA"/>
        </w:rPr>
        <w:t>.</w:t>
      </w:r>
      <w:r w:rsidRPr="00336568">
        <w:rPr>
          <w:lang w:val="fr-CA"/>
        </w:rPr>
        <w:t xml:space="preserve"> Étant donné l</w:t>
      </w:r>
      <w:r>
        <w:rPr>
          <w:lang w:val="fr-CA"/>
        </w:rPr>
        <w:t>’</w:t>
      </w:r>
      <w:r w:rsidRPr="00336568">
        <w:rPr>
          <w:lang w:val="fr-CA"/>
        </w:rPr>
        <w:t>étroite interaction physique qui existe entre l</w:t>
      </w:r>
      <w:r>
        <w:rPr>
          <w:lang w:val="fr-CA"/>
        </w:rPr>
        <w:t>’</w:t>
      </w:r>
      <w:r w:rsidRPr="00336568">
        <w:rPr>
          <w:lang w:val="fr-CA"/>
        </w:rPr>
        <w:t>atmosphère et les océans, la protection de l</w:t>
      </w:r>
      <w:r>
        <w:rPr>
          <w:lang w:val="fr-CA"/>
        </w:rPr>
        <w:t>’</w:t>
      </w:r>
      <w:r w:rsidRPr="00336568">
        <w:rPr>
          <w:lang w:val="fr-CA"/>
        </w:rPr>
        <w:t>atmosphère est intrinsèquement liée à la question des océans et, donc, au droit de la mer</w:t>
      </w:r>
      <w:r w:rsidRPr="00F22925">
        <w:rPr>
          <w:lang w:val="fr-CA"/>
        </w:rPr>
        <w:t>.</w:t>
      </w:r>
      <w:r w:rsidRPr="00336568">
        <w:rPr>
          <w:lang w:val="fr-CA"/>
        </w:rPr>
        <w:t xml:space="preserve"> Aux termes du préambule de l</w:t>
      </w:r>
      <w:r>
        <w:rPr>
          <w:lang w:val="fr-CA"/>
        </w:rPr>
        <w:t>’</w:t>
      </w:r>
      <w:r w:rsidRPr="00336568">
        <w:rPr>
          <w:lang w:val="fr-CA"/>
        </w:rPr>
        <w:t>Accord de Paris, « il importe de veiller à l</w:t>
      </w:r>
      <w:r>
        <w:rPr>
          <w:lang w:val="fr-CA"/>
        </w:rPr>
        <w:t>’</w:t>
      </w:r>
      <w:r w:rsidRPr="00336568">
        <w:rPr>
          <w:lang w:val="fr-CA"/>
        </w:rPr>
        <w:t>intégrité de tous les écosystèmes, y compris les océans »</w:t>
      </w:r>
      <w:r w:rsidRPr="00F22925">
        <w:rPr>
          <w:lang w:val="fr-CA"/>
        </w:rPr>
        <w:t>.</w:t>
      </w:r>
      <w:r w:rsidRPr="00336568">
        <w:rPr>
          <w:rFonts w:ascii="Times" w:hAnsi="Times"/>
          <w:lang w:val="fr-CA"/>
        </w:rPr>
        <w:t xml:space="preserve"> </w:t>
      </w:r>
      <w:r w:rsidRPr="00336568">
        <w:rPr>
          <w:lang w:val="fr-CA"/>
        </w:rPr>
        <w:t>Le lien qui unit l</w:t>
      </w:r>
      <w:r>
        <w:rPr>
          <w:lang w:val="fr-CA"/>
        </w:rPr>
        <w:t>’</w:t>
      </w:r>
      <w:r w:rsidRPr="00336568">
        <w:rPr>
          <w:lang w:val="fr-CA"/>
        </w:rPr>
        <w:t>atmosphère et les océans est également reconnu dans la Convention des Nations Unies sur le droit de la mer</w:t>
      </w:r>
      <w:r w:rsidRPr="00F22830">
        <w:rPr>
          <w:rStyle w:val="FootnoteReference"/>
        </w:rPr>
        <w:footnoteReference w:id="141"/>
      </w:r>
      <w:r w:rsidRPr="00336568">
        <w:rPr>
          <w:lang w:val="fr-CA"/>
        </w:rPr>
        <w:t>, dont le paragraphe 1 4) de l</w:t>
      </w:r>
      <w:r>
        <w:rPr>
          <w:lang w:val="fr-CA"/>
        </w:rPr>
        <w:t>’</w:t>
      </w:r>
      <w:r w:rsidRPr="00336568">
        <w:rPr>
          <w:lang w:val="fr-CA"/>
        </w:rPr>
        <w:t xml:space="preserve">article premier définit </w:t>
      </w:r>
      <w:r>
        <w:rPr>
          <w:lang w:val="fr-CA"/>
        </w:rPr>
        <w:t>la formule</w:t>
      </w:r>
      <w:r w:rsidRPr="00336568">
        <w:rPr>
          <w:lang w:val="fr-CA"/>
        </w:rPr>
        <w:t xml:space="preserve"> « pollution du milieu marin » de telle manière qu</w:t>
      </w:r>
      <w:r>
        <w:rPr>
          <w:lang w:val="fr-CA"/>
        </w:rPr>
        <w:t>’</w:t>
      </w:r>
      <w:r w:rsidRPr="00336568">
        <w:rPr>
          <w:lang w:val="fr-CA"/>
        </w:rPr>
        <w:t>elle recouvre l</w:t>
      </w:r>
      <w:r>
        <w:rPr>
          <w:lang w:val="fr-CA"/>
        </w:rPr>
        <w:t>’</w:t>
      </w:r>
      <w:r w:rsidRPr="00336568">
        <w:rPr>
          <w:lang w:val="fr-CA"/>
        </w:rPr>
        <w:t>introduction dans le milieu marin de toutes substances ou énergie polluantes, y compris la pollution atmosphérique provenant de sources terrestres et de navires</w:t>
      </w:r>
      <w:r w:rsidRPr="00F22830">
        <w:rPr>
          <w:rStyle w:val="FootnoteReference"/>
        </w:rPr>
        <w:footnoteReference w:id="142"/>
      </w:r>
      <w:r w:rsidRPr="00336568">
        <w:rPr>
          <w:lang w:val="fr-CA"/>
        </w:rPr>
        <w:t>, et la partie XII, en particulier les articles 192, 194, 207, 211 et 212, contient des dispositions détaillées sur la protection et la préservation du milieu marin</w:t>
      </w:r>
      <w:r w:rsidRPr="00F22925">
        <w:rPr>
          <w:lang w:val="fr-CA"/>
        </w:rPr>
        <w:t>.</w:t>
      </w:r>
      <w:r w:rsidRPr="00336568">
        <w:rPr>
          <w:lang w:val="fr-CA"/>
        </w:rPr>
        <w:t xml:space="preserve"> Plusieurs conventions régionales </w:t>
      </w:r>
      <w:r w:rsidRPr="00336568">
        <w:rPr>
          <w:lang w:val="fr-CA"/>
        </w:rPr>
        <w:lastRenderedPageBreak/>
        <w:t>traitent aussi de la pollution marine d</w:t>
      </w:r>
      <w:r>
        <w:rPr>
          <w:lang w:val="fr-CA"/>
        </w:rPr>
        <w:t>’</w:t>
      </w:r>
      <w:r w:rsidRPr="00336568">
        <w:rPr>
          <w:lang w:val="fr-CA"/>
        </w:rPr>
        <w:t>origine terrestre</w:t>
      </w:r>
      <w:r w:rsidRPr="00F22830">
        <w:rPr>
          <w:rStyle w:val="FootnoteReference"/>
        </w:rPr>
        <w:footnoteReference w:id="143"/>
      </w:r>
      <w:r w:rsidRPr="00F22925">
        <w:rPr>
          <w:lang w:val="fr-CA"/>
        </w:rPr>
        <w:t>.</w:t>
      </w:r>
      <w:r w:rsidRPr="00336568">
        <w:rPr>
          <w:lang w:val="fr-CA"/>
        </w:rPr>
        <w:t xml:space="preserve"> Dans le cadre de l</w:t>
      </w:r>
      <w:r>
        <w:rPr>
          <w:lang w:val="fr-CA"/>
        </w:rPr>
        <w:t>’</w:t>
      </w:r>
      <w:r w:rsidRPr="00336568">
        <w:rPr>
          <w:lang w:val="fr-CA"/>
        </w:rPr>
        <w:t>action qu</w:t>
      </w:r>
      <w:r>
        <w:rPr>
          <w:lang w:val="fr-CA"/>
        </w:rPr>
        <w:t>’</w:t>
      </w:r>
      <w:r w:rsidRPr="00336568">
        <w:rPr>
          <w:lang w:val="fr-CA"/>
        </w:rPr>
        <w:t>elle mène pour étoffer la Convention</w:t>
      </w:r>
      <w:r w:rsidRPr="00F22830">
        <w:rPr>
          <w:rStyle w:val="FootnoteReference"/>
        </w:rPr>
        <w:footnoteReference w:id="144"/>
      </w:r>
      <w:r w:rsidRPr="00336568">
        <w:rPr>
          <w:lang w:val="fr-CA"/>
        </w:rPr>
        <w:t xml:space="preserve"> et lutter contre les changements climatiques</w:t>
      </w:r>
      <w:r w:rsidRPr="00F22830">
        <w:rPr>
          <w:rStyle w:val="FootnoteReference"/>
        </w:rPr>
        <w:footnoteReference w:id="145"/>
      </w:r>
      <w:r w:rsidRPr="00336568">
        <w:rPr>
          <w:lang w:val="fr-CA"/>
        </w:rPr>
        <w:t>, l</w:t>
      </w:r>
      <w:r>
        <w:rPr>
          <w:lang w:val="fr-CA"/>
        </w:rPr>
        <w:t>’</w:t>
      </w:r>
      <w:r w:rsidRPr="00336568">
        <w:rPr>
          <w:lang w:val="fr-CA"/>
        </w:rPr>
        <w:t>OMI s</w:t>
      </w:r>
      <w:r>
        <w:rPr>
          <w:lang w:val="fr-CA"/>
        </w:rPr>
        <w:t>’</w:t>
      </w:r>
      <w:r w:rsidRPr="00336568">
        <w:rPr>
          <w:lang w:val="fr-CA"/>
        </w:rPr>
        <w:t>est efforcée d</w:t>
      </w:r>
      <w:r>
        <w:rPr>
          <w:lang w:val="fr-CA"/>
        </w:rPr>
        <w:t>’</w:t>
      </w:r>
      <w:r w:rsidRPr="00336568">
        <w:rPr>
          <w:lang w:val="fr-CA"/>
        </w:rPr>
        <w:t>établir des règles relatives à la pollution par les navires</w:t>
      </w:r>
      <w:r w:rsidRPr="00F22925">
        <w:rPr>
          <w:lang w:val="fr-CA"/>
        </w:rPr>
        <w:t>.</w:t>
      </w:r>
      <w:r w:rsidRPr="00336568">
        <w:rPr>
          <w:lang w:val="fr-CA"/>
        </w:rPr>
        <w:t xml:space="preserve"> La bonne application des règles pertinentes du droit de la mer pourrait contribuer à la protection de l</w:t>
      </w:r>
      <w:r>
        <w:rPr>
          <w:lang w:val="fr-CA"/>
        </w:rPr>
        <w:t>’</w:t>
      </w:r>
      <w:r w:rsidRPr="00336568">
        <w:rPr>
          <w:lang w:val="fr-CA"/>
        </w:rPr>
        <w:t>atmosphère, de même que la bonne application des règles relatives à la protection de l</w:t>
      </w:r>
      <w:r>
        <w:rPr>
          <w:lang w:val="fr-CA"/>
        </w:rPr>
        <w:t>’</w:t>
      </w:r>
      <w:r w:rsidRPr="00336568">
        <w:rPr>
          <w:lang w:val="fr-CA"/>
        </w:rPr>
        <w:t>environnement pourrait contribuer à la protection des océans</w:t>
      </w:r>
      <w:r w:rsidRPr="00F22925">
        <w:rPr>
          <w:lang w:val="fr-CA"/>
        </w:rPr>
        <w:t>.</w:t>
      </w:r>
    </w:p>
    <w:p w14:paraId="45A22933" w14:textId="77777777" w:rsidR="00D01ECD" w:rsidRDefault="00D01ECD" w:rsidP="00D01ECD">
      <w:pPr>
        <w:pStyle w:val="SingleTxtG"/>
        <w:rPr>
          <w:lang w:val="fr-FR"/>
        </w:rPr>
      </w:pPr>
      <w:r w:rsidRPr="001E2E41">
        <w:rPr>
          <w:lang w:val="fr-FR"/>
        </w:rPr>
        <w:t>10)</w:t>
      </w:r>
      <w:r w:rsidRPr="001E2E41">
        <w:rPr>
          <w:lang w:val="fr-FR"/>
        </w:rPr>
        <w:tab/>
      </w:r>
      <w:r w:rsidRPr="00336568">
        <w:rPr>
          <w:lang w:val="fr-CA"/>
        </w:rPr>
        <w:t>Du point de vue du droit international des droits de l</w:t>
      </w:r>
      <w:r>
        <w:rPr>
          <w:lang w:val="fr-CA"/>
        </w:rPr>
        <w:t>’</w:t>
      </w:r>
      <w:r w:rsidRPr="00336568">
        <w:rPr>
          <w:lang w:val="fr-CA"/>
        </w:rPr>
        <w:t>homme, la dégradation de l</w:t>
      </w:r>
      <w:r>
        <w:rPr>
          <w:lang w:val="fr-CA"/>
        </w:rPr>
        <w:t>’</w:t>
      </w:r>
      <w:r w:rsidRPr="00336568">
        <w:rPr>
          <w:lang w:val="fr-CA"/>
        </w:rPr>
        <w:t>environnement, y compris la pollution de l</w:t>
      </w:r>
      <w:r>
        <w:rPr>
          <w:lang w:val="fr-CA"/>
        </w:rPr>
        <w:t>’</w:t>
      </w:r>
      <w:r w:rsidRPr="00336568">
        <w:rPr>
          <w:lang w:val="fr-CA"/>
        </w:rPr>
        <w:t>air, les changements climatiques et l</w:t>
      </w:r>
      <w:r>
        <w:rPr>
          <w:lang w:val="fr-CA"/>
        </w:rPr>
        <w:t>’</w:t>
      </w:r>
      <w:r w:rsidRPr="00336568">
        <w:rPr>
          <w:lang w:val="fr-CA"/>
        </w:rPr>
        <w:t>appauvrissement de la couche d</w:t>
      </w:r>
      <w:r>
        <w:rPr>
          <w:lang w:val="fr-CA"/>
        </w:rPr>
        <w:t>’</w:t>
      </w:r>
      <w:r w:rsidRPr="00336568">
        <w:rPr>
          <w:lang w:val="fr-CA"/>
        </w:rPr>
        <w:t xml:space="preserve">ozone, « peut potentiellement affecter la réalisation des </w:t>
      </w:r>
      <w:r w:rsidRPr="00336568">
        <w:rPr>
          <w:spacing w:val="-2"/>
          <w:lang w:val="fr-CA"/>
        </w:rPr>
        <w:t>droits de l</w:t>
      </w:r>
      <w:r>
        <w:rPr>
          <w:spacing w:val="-2"/>
          <w:lang w:val="fr-CA"/>
        </w:rPr>
        <w:t>’</w:t>
      </w:r>
      <w:r w:rsidRPr="00336568">
        <w:rPr>
          <w:spacing w:val="-2"/>
          <w:lang w:val="fr-CA"/>
        </w:rPr>
        <w:t>homme</w:t>
      </w:r>
      <w:r w:rsidRPr="00F22830">
        <w:rPr>
          <w:rStyle w:val="FootnoteReference"/>
        </w:rPr>
        <w:footnoteReference w:id="146"/>
      </w:r>
      <w:r w:rsidRPr="00336568">
        <w:rPr>
          <w:spacing w:val="-2"/>
          <w:lang w:val="fr-CA"/>
        </w:rPr>
        <w:t> »</w:t>
      </w:r>
      <w:r w:rsidRPr="00F22925">
        <w:rPr>
          <w:spacing w:val="-2"/>
          <w:lang w:val="fr-CA"/>
        </w:rPr>
        <w:t>.</w:t>
      </w:r>
      <w:r w:rsidRPr="00336568">
        <w:rPr>
          <w:spacing w:val="-2"/>
          <w:lang w:val="fr-CA"/>
        </w:rPr>
        <w:t xml:space="preserve"> L</w:t>
      </w:r>
      <w:r>
        <w:rPr>
          <w:spacing w:val="-2"/>
          <w:lang w:val="fr-CA"/>
        </w:rPr>
        <w:t>’</w:t>
      </w:r>
      <w:r w:rsidRPr="00336568">
        <w:rPr>
          <w:spacing w:val="-2"/>
          <w:lang w:val="fr-CA"/>
        </w:rPr>
        <w:t>existence d</w:t>
      </w:r>
      <w:r>
        <w:rPr>
          <w:spacing w:val="-2"/>
          <w:lang w:val="fr-CA"/>
        </w:rPr>
        <w:t>’</w:t>
      </w:r>
      <w:r w:rsidRPr="00336568">
        <w:rPr>
          <w:spacing w:val="-2"/>
          <w:lang w:val="fr-CA"/>
        </w:rPr>
        <w:t>un lien entre les droits de l</w:t>
      </w:r>
      <w:r>
        <w:rPr>
          <w:spacing w:val="-2"/>
          <w:lang w:val="fr-CA"/>
        </w:rPr>
        <w:t>’</w:t>
      </w:r>
      <w:r w:rsidRPr="00336568">
        <w:rPr>
          <w:spacing w:val="-2"/>
          <w:lang w:val="fr-CA"/>
        </w:rPr>
        <w:t>homme et l</w:t>
      </w:r>
      <w:r>
        <w:rPr>
          <w:spacing w:val="-2"/>
          <w:lang w:val="fr-CA"/>
        </w:rPr>
        <w:t>’</w:t>
      </w:r>
      <w:r w:rsidRPr="00336568">
        <w:rPr>
          <w:spacing w:val="-2"/>
          <w:lang w:val="fr-CA"/>
        </w:rPr>
        <w:t>environnement,</w:t>
      </w:r>
      <w:r w:rsidRPr="00336568">
        <w:rPr>
          <w:lang w:val="fr-CA"/>
        </w:rPr>
        <w:t xml:space="preserve"> notamment l</w:t>
      </w:r>
      <w:r>
        <w:rPr>
          <w:lang w:val="fr-CA"/>
        </w:rPr>
        <w:t>’</w:t>
      </w:r>
      <w:r w:rsidRPr="00336568">
        <w:rPr>
          <w:lang w:val="fr-CA"/>
        </w:rPr>
        <w:t>atmosphère, est admise dans la pratique</w:t>
      </w:r>
      <w:r w:rsidRPr="00F22925">
        <w:rPr>
          <w:lang w:val="fr-CA"/>
        </w:rPr>
        <w:t>.</w:t>
      </w:r>
      <w:r w:rsidRPr="00336568">
        <w:rPr>
          <w:lang w:val="fr-CA"/>
        </w:rPr>
        <w:t xml:space="preserve"> La Déclaration de Stockholm prévoit en son principe 1 que « l</w:t>
      </w:r>
      <w:r>
        <w:rPr>
          <w:lang w:val="fr-CA"/>
        </w:rPr>
        <w:t>’</w:t>
      </w:r>
      <w:r w:rsidRPr="00336568">
        <w:rPr>
          <w:lang w:val="fr-CA"/>
        </w:rPr>
        <w:t>homme a un droit fondamental à la liberté, à l</w:t>
      </w:r>
      <w:r>
        <w:rPr>
          <w:lang w:val="fr-CA"/>
        </w:rPr>
        <w:t>’</w:t>
      </w:r>
      <w:r w:rsidRPr="00336568">
        <w:rPr>
          <w:lang w:val="fr-CA"/>
        </w:rPr>
        <w:t>égalité et à des conditions de vie satisfaisantes, dans un environnement dont la qualité lui permette de vivre dans la dignité et le bien-être</w:t>
      </w:r>
      <w:r w:rsidRPr="00F22830">
        <w:rPr>
          <w:rStyle w:val="FootnoteReference"/>
        </w:rPr>
        <w:footnoteReference w:id="147"/>
      </w:r>
      <w:r w:rsidRPr="00336568">
        <w:rPr>
          <w:lang w:val="fr-CA"/>
        </w:rPr>
        <w:t> »</w:t>
      </w:r>
      <w:r w:rsidRPr="00F22925">
        <w:rPr>
          <w:lang w:val="fr-CA"/>
        </w:rPr>
        <w:t>.</w:t>
      </w:r>
      <w:r w:rsidRPr="00336568">
        <w:rPr>
          <w:lang w:val="fr-CA"/>
        </w:rPr>
        <w:t xml:space="preserve"> La Déclaration de </w:t>
      </w:r>
      <w:r w:rsidRPr="00336568">
        <w:rPr>
          <w:iCs/>
          <w:lang w:val="fr-CA"/>
        </w:rPr>
        <w:t>Rio</w:t>
      </w:r>
      <w:r w:rsidRPr="00336568">
        <w:rPr>
          <w:lang w:val="fr-CA"/>
        </w:rPr>
        <w:t xml:space="preserve"> de 1992 dispose, également en son principe 1, que « [l]es êtres humains sont au centre des </w:t>
      </w:r>
      <w:r w:rsidRPr="00336568">
        <w:rPr>
          <w:lang w:val="fr-CA"/>
        </w:rPr>
        <w:lastRenderedPageBreak/>
        <w:t>préoccupations relatives au développement durable » et « ont droit à une vie saine et productive en harmonie avec la nature »</w:t>
      </w:r>
      <w:r w:rsidRPr="00F22830">
        <w:rPr>
          <w:rStyle w:val="FootnoteReference"/>
        </w:rPr>
        <w:footnoteReference w:id="148"/>
      </w:r>
      <w:r w:rsidRPr="00F22925">
        <w:rPr>
          <w:lang w:val="fr-CA"/>
        </w:rPr>
        <w:t>.</w:t>
      </w:r>
      <w:r w:rsidRPr="00336568">
        <w:rPr>
          <w:lang w:val="fr-CA"/>
        </w:rPr>
        <w:t xml:space="preserve"> La Convention sur la pollution atmosphérique transfrontière à longue distance établit que la pollution atmosphérique a « une action nocive de nature à mettre en danger la santé de l</w:t>
      </w:r>
      <w:r>
        <w:rPr>
          <w:lang w:val="fr-CA"/>
        </w:rPr>
        <w:t>’</w:t>
      </w:r>
      <w:r w:rsidRPr="00336568">
        <w:rPr>
          <w:lang w:val="fr-CA"/>
        </w:rPr>
        <w:t xml:space="preserve">homme » et dispose que les parties </w:t>
      </w:r>
      <w:r w:rsidRPr="00336568">
        <w:rPr>
          <w:spacing w:val="-2"/>
          <w:lang w:val="fr-CA"/>
        </w:rPr>
        <w:t>sont déterminées à « protéger l</w:t>
      </w:r>
      <w:r>
        <w:rPr>
          <w:spacing w:val="-2"/>
          <w:lang w:val="fr-CA"/>
        </w:rPr>
        <w:t>’</w:t>
      </w:r>
      <w:r w:rsidRPr="00336568">
        <w:rPr>
          <w:spacing w:val="-2"/>
          <w:lang w:val="fr-CA"/>
        </w:rPr>
        <w:t>homme et son environnement contre la pollution atmosphérique » d</w:t>
      </w:r>
      <w:r>
        <w:rPr>
          <w:spacing w:val="-2"/>
          <w:lang w:val="fr-CA"/>
        </w:rPr>
        <w:t>’</w:t>
      </w:r>
      <w:r w:rsidRPr="00336568">
        <w:rPr>
          <w:spacing w:val="-2"/>
          <w:lang w:val="fr-CA"/>
        </w:rPr>
        <w:t>une certaine magnitude</w:t>
      </w:r>
      <w:r w:rsidRPr="00F22830">
        <w:rPr>
          <w:rStyle w:val="FootnoteReference"/>
        </w:rPr>
        <w:footnoteReference w:id="149"/>
      </w:r>
      <w:r w:rsidRPr="00F22925">
        <w:rPr>
          <w:spacing w:val="-2"/>
          <w:lang w:val="fr-CA"/>
        </w:rPr>
        <w:t>.</w:t>
      </w:r>
      <w:r w:rsidRPr="00336568">
        <w:rPr>
          <w:spacing w:val="-2"/>
          <w:lang w:val="fr-CA"/>
        </w:rPr>
        <w:t xml:space="preserve"> En ce qui concerne la dégradation atmosphérique,</w:t>
      </w:r>
      <w:r w:rsidRPr="00336568">
        <w:rPr>
          <w:spacing w:val="-1"/>
          <w:lang w:val="fr-CA"/>
        </w:rPr>
        <w:t xml:space="preserve"> la Convention de Vienne pour la protection de la couche d</w:t>
      </w:r>
      <w:r>
        <w:rPr>
          <w:spacing w:val="-1"/>
          <w:lang w:val="fr-CA"/>
        </w:rPr>
        <w:t>’</w:t>
      </w:r>
      <w:r w:rsidRPr="00336568">
        <w:rPr>
          <w:spacing w:val="-1"/>
          <w:lang w:val="fr-CA"/>
        </w:rPr>
        <w:t xml:space="preserve">ozone dispose que </w:t>
      </w:r>
      <w:r w:rsidRPr="00336568">
        <w:rPr>
          <w:spacing w:val="-2"/>
          <w:lang w:val="fr-CA"/>
        </w:rPr>
        <w:t>les parties sont tenues de prendre des mesures appropriées pour « protéger la santé humaine » conformément aux dispositions de la Convention et des Protocoles auxquels elles sont parties</w:t>
      </w:r>
      <w:r w:rsidRPr="00F22830">
        <w:rPr>
          <w:rStyle w:val="FootnoteReference"/>
        </w:rPr>
        <w:footnoteReference w:id="150"/>
      </w:r>
      <w:r w:rsidRPr="00F22925">
        <w:rPr>
          <w:spacing w:val="-2"/>
          <w:lang w:val="fr-CA"/>
        </w:rPr>
        <w:t>.</w:t>
      </w:r>
      <w:r w:rsidRPr="00336568">
        <w:rPr>
          <w:spacing w:val="-2"/>
          <w:lang w:val="fr-CA"/>
        </w:rPr>
        <w:t xml:space="preserve"> Dans le même ordre d</w:t>
      </w:r>
      <w:r>
        <w:rPr>
          <w:spacing w:val="-2"/>
          <w:lang w:val="fr-CA"/>
        </w:rPr>
        <w:t>’</w:t>
      </w:r>
      <w:r w:rsidRPr="00336568">
        <w:rPr>
          <w:spacing w:val="-2"/>
          <w:lang w:val="fr-CA"/>
        </w:rPr>
        <w:t>idées, la Convention-cadre des Nations Unies sur les changements climatiques traite des effets néfastes des changements climatiques, parmi lesquels les effets nocifs significatifs que ces changements ont « sur la santé et le bien-être de l</w:t>
      </w:r>
      <w:r>
        <w:rPr>
          <w:spacing w:val="-2"/>
          <w:lang w:val="fr-CA"/>
        </w:rPr>
        <w:t>’</w:t>
      </w:r>
      <w:r w:rsidRPr="00336568">
        <w:rPr>
          <w:spacing w:val="-2"/>
          <w:lang w:val="fr-CA"/>
        </w:rPr>
        <w:t>homme</w:t>
      </w:r>
      <w:r w:rsidRPr="00F22830">
        <w:rPr>
          <w:rStyle w:val="FootnoteReference"/>
        </w:rPr>
        <w:footnoteReference w:id="151"/>
      </w:r>
      <w:r w:rsidRPr="00336568">
        <w:rPr>
          <w:spacing w:val="-2"/>
          <w:lang w:val="fr-CA"/>
        </w:rPr>
        <w:t> »</w:t>
      </w:r>
      <w:r w:rsidRPr="00F22925">
        <w:rPr>
          <w:spacing w:val="-2"/>
          <w:lang w:val="fr-CA"/>
        </w:rPr>
        <w:t>.</w:t>
      </w:r>
    </w:p>
    <w:p w14:paraId="7913555A" w14:textId="77777777" w:rsidR="00D01ECD" w:rsidRDefault="00D01ECD" w:rsidP="00D01ECD">
      <w:pPr>
        <w:pStyle w:val="SingleTxtG"/>
        <w:rPr>
          <w:lang w:val="fr-CA"/>
        </w:rPr>
      </w:pPr>
      <w:r w:rsidRPr="000A0208">
        <w:rPr>
          <w:lang w:val="fr-FR"/>
        </w:rPr>
        <w:t>11)</w:t>
      </w:r>
      <w:r>
        <w:rPr>
          <w:lang w:val="fr-FR"/>
        </w:rPr>
        <w:tab/>
      </w:r>
      <w:r w:rsidRPr="00336568">
        <w:rPr>
          <w:lang w:val="fr-CA"/>
        </w:rPr>
        <w:t>Sont pertinents à cet égard les droits de l</w:t>
      </w:r>
      <w:r>
        <w:rPr>
          <w:lang w:val="fr-CA"/>
        </w:rPr>
        <w:t>’</w:t>
      </w:r>
      <w:r w:rsidRPr="00336568">
        <w:rPr>
          <w:lang w:val="fr-CA"/>
        </w:rPr>
        <w:t>homme que sont le droit à la vie</w:t>
      </w:r>
      <w:r w:rsidRPr="00F22830">
        <w:rPr>
          <w:rStyle w:val="FootnoteReference"/>
        </w:rPr>
        <w:footnoteReference w:id="152"/>
      </w:r>
      <w:r w:rsidRPr="00336568">
        <w:rPr>
          <w:lang w:val="fr-CA"/>
        </w:rPr>
        <w:t>, le droit au respect de la vie privée et familiale</w:t>
      </w:r>
      <w:r w:rsidRPr="00F22830">
        <w:rPr>
          <w:rStyle w:val="FootnoteReference"/>
        </w:rPr>
        <w:footnoteReference w:id="153"/>
      </w:r>
      <w:r>
        <w:rPr>
          <w:lang w:val="fr-CA"/>
        </w:rPr>
        <w:t>,</w:t>
      </w:r>
      <w:r w:rsidRPr="00336568">
        <w:rPr>
          <w:lang w:val="fr-CA"/>
        </w:rPr>
        <w:t xml:space="preserve"> le droit à la propriété</w:t>
      </w:r>
      <w:bookmarkStart w:id="26" w:name="_Ref520291013"/>
      <w:r w:rsidRPr="00F22830">
        <w:rPr>
          <w:rStyle w:val="FootnoteReference"/>
        </w:rPr>
        <w:footnoteReference w:id="154"/>
      </w:r>
      <w:bookmarkEnd w:id="26"/>
      <w:r>
        <w:rPr>
          <w:lang w:val="fr-CA"/>
        </w:rPr>
        <w:t xml:space="preserve"> et les autres droits énoncés dans le onzième alinéa du</w:t>
      </w:r>
      <w:r w:rsidRPr="00336568">
        <w:rPr>
          <w:lang w:val="fr-CA"/>
        </w:rPr>
        <w:t xml:space="preserve"> préambule de l</w:t>
      </w:r>
      <w:r>
        <w:rPr>
          <w:lang w:val="fr-CA"/>
        </w:rPr>
        <w:t>’</w:t>
      </w:r>
      <w:r w:rsidRPr="00336568">
        <w:rPr>
          <w:lang w:val="fr-CA"/>
        </w:rPr>
        <w:t>Accord de Paris</w:t>
      </w:r>
      <w:r>
        <w:rPr>
          <w:lang w:val="fr-CA"/>
        </w:rPr>
        <w:t>, qui est ainsi libellé :</w:t>
      </w:r>
    </w:p>
    <w:p w14:paraId="75BE5700" w14:textId="77777777" w:rsidR="00D01ECD" w:rsidRPr="000A0208" w:rsidRDefault="00D01ECD" w:rsidP="00D01ECD">
      <w:pPr>
        <w:pStyle w:val="SingleTxtG"/>
        <w:ind w:left="1701" w:firstLine="567"/>
        <w:rPr>
          <w:lang w:val="fr-FR"/>
        </w:rPr>
      </w:pPr>
      <w:r w:rsidRPr="009B1422">
        <w:rPr>
          <w:rFonts w:asciiTheme="majorBidi" w:hAnsiTheme="majorBidi" w:cstheme="majorBidi"/>
          <w:i/>
          <w:lang w:val="fr-CA"/>
        </w:rPr>
        <w:t>Conscientes</w:t>
      </w:r>
      <w:r w:rsidRPr="009B1422">
        <w:rPr>
          <w:rFonts w:asciiTheme="majorBidi" w:hAnsiTheme="majorBidi" w:cstheme="majorBidi"/>
          <w:lang w:val="fr-CA"/>
        </w:rPr>
        <w:t xml:space="preserve"> que les changements climatiques sont un sujet de préoccupation pour l</w:t>
      </w:r>
      <w:r>
        <w:rPr>
          <w:rFonts w:asciiTheme="majorBidi" w:hAnsiTheme="majorBidi" w:cstheme="majorBidi"/>
          <w:lang w:val="fr-CA"/>
        </w:rPr>
        <w:t>’</w:t>
      </w:r>
      <w:r w:rsidRPr="009B1422">
        <w:rPr>
          <w:rFonts w:asciiTheme="majorBidi" w:hAnsiTheme="majorBidi" w:cstheme="majorBidi"/>
          <w:lang w:val="fr-CA"/>
        </w:rPr>
        <w:t>humanité tout entière et que, lorsqu</w:t>
      </w:r>
      <w:r>
        <w:rPr>
          <w:rFonts w:asciiTheme="majorBidi" w:hAnsiTheme="majorBidi" w:cstheme="majorBidi"/>
          <w:lang w:val="fr-CA"/>
        </w:rPr>
        <w:t>’</w:t>
      </w:r>
      <w:r w:rsidRPr="009B1422">
        <w:rPr>
          <w:rFonts w:asciiTheme="majorBidi" w:hAnsiTheme="majorBidi" w:cstheme="majorBidi"/>
          <w:lang w:val="fr-CA"/>
        </w:rPr>
        <w:t>elles prennent des mesures face à ces changements, les Parties devraient respecter, promouvoir et prendre en considération leurs obligations respectives concernant les droits de l</w:t>
      </w:r>
      <w:r>
        <w:rPr>
          <w:rFonts w:asciiTheme="majorBidi" w:hAnsiTheme="majorBidi" w:cstheme="majorBidi"/>
          <w:lang w:val="fr-CA"/>
        </w:rPr>
        <w:t>’</w:t>
      </w:r>
      <w:r w:rsidRPr="009B1422">
        <w:rPr>
          <w:rFonts w:asciiTheme="majorBidi" w:hAnsiTheme="majorBidi" w:cstheme="majorBidi"/>
          <w:lang w:val="fr-CA"/>
        </w:rPr>
        <w:t>Homme, le droit à la santé, les droits des peuples autochtones, des communautés locales, des migrants, des enfants, des personnes handicapées et des personnes en situation vulnérable et le droit au développement, ainsi que l</w:t>
      </w:r>
      <w:r>
        <w:rPr>
          <w:rFonts w:asciiTheme="majorBidi" w:hAnsiTheme="majorBidi" w:cstheme="majorBidi"/>
          <w:lang w:val="fr-CA"/>
        </w:rPr>
        <w:t>’</w:t>
      </w:r>
      <w:r w:rsidRPr="009B1422">
        <w:rPr>
          <w:rFonts w:asciiTheme="majorBidi" w:hAnsiTheme="majorBidi" w:cstheme="majorBidi"/>
          <w:lang w:val="fr-CA"/>
        </w:rPr>
        <w:t>égalité des sexes, l</w:t>
      </w:r>
      <w:r>
        <w:rPr>
          <w:rFonts w:asciiTheme="majorBidi" w:hAnsiTheme="majorBidi" w:cstheme="majorBidi"/>
          <w:lang w:val="fr-CA"/>
        </w:rPr>
        <w:t>’</w:t>
      </w:r>
      <w:r w:rsidRPr="009B1422">
        <w:rPr>
          <w:rFonts w:asciiTheme="majorBidi" w:hAnsiTheme="majorBidi" w:cstheme="majorBidi"/>
          <w:lang w:val="fr-CA"/>
        </w:rPr>
        <w:t>autonomisation des femmes et l</w:t>
      </w:r>
      <w:r>
        <w:rPr>
          <w:rFonts w:asciiTheme="majorBidi" w:hAnsiTheme="majorBidi" w:cstheme="majorBidi"/>
          <w:lang w:val="fr-CA"/>
        </w:rPr>
        <w:t>’</w:t>
      </w:r>
      <w:r w:rsidRPr="009B1422">
        <w:rPr>
          <w:rFonts w:asciiTheme="majorBidi" w:hAnsiTheme="majorBidi" w:cstheme="majorBidi"/>
          <w:lang w:val="fr-CA"/>
        </w:rPr>
        <w:t>équité entre les générations,</w:t>
      </w:r>
    </w:p>
    <w:p w14:paraId="221C9E34" w14:textId="77777777" w:rsidR="00D01ECD" w:rsidRPr="00336568" w:rsidRDefault="00D01ECD" w:rsidP="00D01ECD">
      <w:pPr>
        <w:pStyle w:val="SingleTxtG"/>
        <w:rPr>
          <w:lang w:val="fr-CA"/>
        </w:rPr>
      </w:pPr>
      <w:r w:rsidRPr="000A0208">
        <w:rPr>
          <w:lang w:val="fr-FR"/>
        </w:rPr>
        <w:t>12)</w:t>
      </w:r>
      <w:r>
        <w:rPr>
          <w:lang w:val="fr-FR"/>
        </w:rPr>
        <w:tab/>
      </w:r>
      <w:r w:rsidRPr="00336568">
        <w:rPr>
          <w:lang w:val="fr-CA"/>
        </w:rPr>
        <w:t>Lorsqu</w:t>
      </w:r>
      <w:r>
        <w:rPr>
          <w:lang w:val="fr-CA"/>
        </w:rPr>
        <w:t>’</w:t>
      </w:r>
      <w:r w:rsidRPr="00336568">
        <w:rPr>
          <w:lang w:val="fr-CA"/>
        </w:rPr>
        <w:t>un droit particulier lié à l</w:t>
      </w:r>
      <w:r>
        <w:rPr>
          <w:lang w:val="fr-CA"/>
        </w:rPr>
        <w:t>’</w:t>
      </w:r>
      <w:r w:rsidRPr="00336568">
        <w:rPr>
          <w:lang w:val="fr-CA"/>
        </w:rPr>
        <w:t>environnement, par exemple le droit à la santé, est consacré par une convention relative aux droits de l</w:t>
      </w:r>
      <w:r>
        <w:rPr>
          <w:lang w:val="fr-CA"/>
        </w:rPr>
        <w:t>’</w:t>
      </w:r>
      <w:r w:rsidRPr="00336568">
        <w:rPr>
          <w:lang w:val="fr-CA"/>
        </w:rPr>
        <w:t>homme, les tribunaux et organes conventionnels compétents le font respecter</w:t>
      </w:r>
      <w:r w:rsidRPr="00F22925">
        <w:rPr>
          <w:lang w:val="fr-CA"/>
        </w:rPr>
        <w:t>.</w:t>
      </w:r>
      <w:r w:rsidRPr="00336568">
        <w:rPr>
          <w:lang w:val="fr-CA"/>
        </w:rPr>
        <w:t xml:space="preserve"> Si l</w:t>
      </w:r>
      <w:r>
        <w:rPr>
          <w:lang w:val="fr-CA"/>
        </w:rPr>
        <w:t>’</w:t>
      </w:r>
      <w:r w:rsidRPr="00336568">
        <w:rPr>
          <w:lang w:val="fr-CA"/>
        </w:rPr>
        <w:t>on veut que le droit international des droits de l</w:t>
      </w:r>
      <w:r>
        <w:rPr>
          <w:lang w:val="fr-CA"/>
        </w:rPr>
        <w:t>’</w:t>
      </w:r>
      <w:r w:rsidRPr="00336568">
        <w:rPr>
          <w:lang w:val="fr-CA"/>
        </w:rPr>
        <w:t>homme contribue à la protection de l</w:t>
      </w:r>
      <w:r>
        <w:rPr>
          <w:lang w:val="fr-CA"/>
        </w:rPr>
        <w:t>’</w:t>
      </w:r>
      <w:r w:rsidRPr="00336568">
        <w:rPr>
          <w:lang w:val="fr-CA"/>
        </w:rPr>
        <w:t xml:space="preserve">atmosphère, il faut que certaines </w:t>
      </w:r>
      <w:r w:rsidRPr="00336568">
        <w:rPr>
          <w:lang w:val="fr-CA"/>
        </w:rPr>
        <w:lastRenderedPageBreak/>
        <w:t>exigences de base soient respectées</w:t>
      </w:r>
      <w:bookmarkStart w:id="27" w:name="_Ref520291680"/>
      <w:r w:rsidRPr="00F22830">
        <w:rPr>
          <w:rStyle w:val="FootnoteReference"/>
        </w:rPr>
        <w:footnoteReference w:id="155"/>
      </w:r>
      <w:bookmarkEnd w:id="27"/>
      <w:r w:rsidRPr="00F22925">
        <w:rPr>
          <w:lang w:val="fr-CA"/>
        </w:rPr>
        <w:t>.</w:t>
      </w:r>
      <w:r w:rsidRPr="00336568">
        <w:rPr>
          <w:lang w:val="fr-CA"/>
        </w:rPr>
        <w:t xml:space="preserve"> Premièrement, étant donné que le droit international des droits de l</w:t>
      </w:r>
      <w:r>
        <w:rPr>
          <w:lang w:val="fr-CA"/>
        </w:rPr>
        <w:t>’</w:t>
      </w:r>
      <w:r w:rsidRPr="00336568">
        <w:rPr>
          <w:lang w:val="fr-CA"/>
        </w:rPr>
        <w:t>homme est fondé juridiquement sur le préjudice subi par les individus</w:t>
      </w:r>
      <w:r w:rsidRPr="00F22830">
        <w:rPr>
          <w:rStyle w:val="FootnoteReference"/>
        </w:rPr>
        <w:footnoteReference w:id="156"/>
      </w:r>
      <w:r w:rsidRPr="00336568">
        <w:rPr>
          <w:spacing w:val="-2"/>
          <w:lang w:val="fr-CA"/>
        </w:rPr>
        <w:t>, il faut établir un lien direct entre la pollution ou la dégradation atmosphérique</w:t>
      </w:r>
      <w:r w:rsidRPr="00336568">
        <w:rPr>
          <w:lang w:val="fr-CA"/>
        </w:rPr>
        <w:t xml:space="preserve"> et la violation d</w:t>
      </w:r>
      <w:r>
        <w:rPr>
          <w:lang w:val="fr-CA"/>
        </w:rPr>
        <w:t>’</w:t>
      </w:r>
      <w:r w:rsidRPr="00336568">
        <w:rPr>
          <w:lang w:val="fr-CA"/>
        </w:rPr>
        <w:t>un droit protégé</w:t>
      </w:r>
      <w:r w:rsidRPr="00F22925">
        <w:rPr>
          <w:lang w:val="fr-CA"/>
        </w:rPr>
        <w:t>.</w:t>
      </w:r>
      <w:r w:rsidRPr="00336568">
        <w:rPr>
          <w:lang w:val="fr-CA"/>
        </w:rPr>
        <w:t xml:space="preserve"> Deuxièmement, les effets néfastes de la pollution ou la dégradation atmosphériques ne relèvent du droit international des droits de l</w:t>
      </w:r>
      <w:r>
        <w:rPr>
          <w:lang w:val="fr-CA"/>
        </w:rPr>
        <w:t>’</w:t>
      </w:r>
      <w:r w:rsidRPr="00336568">
        <w:rPr>
          <w:lang w:val="fr-CA"/>
        </w:rPr>
        <w:t>homme que lorsqu</w:t>
      </w:r>
      <w:r>
        <w:rPr>
          <w:lang w:val="fr-CA"/>
        </w:rPr>
        <w:t>’</w:t>
      </w:r>
      <w:r w:rsidRPr="00336568">
        <w:rPr>
          <w:lang w:val="fr-CA"/>
        </w:rPr>
        <w:t>ils atteignent un certain seuil</w:t>
      </w:r>
      <w:r w:rsidRPr="00F22925">
        <w:rPr>
          <w:lang w:val="fr-CA"/>
        </w:rPr>
        <w:t>.</w:t>
      </w:r>
      <w:r w:rsidRPr="00336568">
        <w:rPr>
          <w:lang w:val="fr-CA"/>
        </w:rPr>
        <w:t xml:space="preserve"> Ce seuil est relatif et dépend du contenu du droit invoqué et de l</w:t>
      </w:r>
      <w:r>
        <w:rPr>
          <w:lang w:val="fr-CA"/>
        </w:rPr>
        <w:t>’</w:t>
      </w:r>
      <w:r w:rsidRPr="00336568">
        <w:rPr>
          <w:lang w:val="fr-CA"/>
        </w:rPr>
        <w:t>ensemble des circonstances pertinentes de l</w:t>
      </w:r>
      <w:r>
        <w:rPr>
          <w:lang w:val="fr-CA"/>
        </w:rPr>
        <w:t>’</w:t>
      </w:r>
      <w:r w:rsidRPr="00336568">
        <w:rPr>
          <w:lang w:val="fr-CA"/>
        </w:rPr>
        <w:t>affaire, tels que l</w:t>
      </w:r>
      <w:r>
        <w:rPr>
          <w:lang w:val="fr-CA"/>
        </w:rPr>
        <w:t>’</w:t>
      </w:r>
      <w:r w:rsidRPr="00336568">
        <w:rPr>
          <w:lang w:val="fr-CA"/>
        </w:rPr>
        <w:t>intensité et la durée de la nuisance et ses effets physiques ou mentaux</w:t>
      </w:r>
      <w:r w:rsidRPr="00F22925">
        <w:rPr>
          <w:lang w:val="fr-CA"/>
        </w:rPr>
        <w:t>.</w:t>
      </w:r>
      <w:r w:rsidRPr="00336568">
        <w:rPr>
          <w:lang w:val="fr-CA"/>
        </w:rPr>
        <w:t xml:space="preserve"> Troisièmement, et surtout, il faut établir un lien de cause à effet entre, d</w:t>
      </w:r>
      <w:r>
        <w:rPr>
          <w:lang w:val="fr-CA"/>
        </w:rPr>
        <w:t>’</w:t>
      </w:r>
      <w:r w:rsidRPr="00336568">
        <w:rPr>
          <w:lang w:val="fr-CA"/>
        </w:rPr>
        <w:t>une part, l</w:t>
      </w:r>
      <w:r>
        <w:rPr>
          <w:lang w:val="fr-CA"/>
        </w:rPr>
        <w:t>’</w:t>
      </w:r>
      <w:r w:rsidRPr="00336568">
        <w:rPr>
          <w:lang w:val="fr-CA"/>
        </w:rPr>
        <w:t>action ou l</w:t>
      </w:r>
      <w:r>
        <w:rPr>
          <w:lang w:val="fr-CA"/>
        </w:rPr>
        <w:t>’</w:t>
      </w:r>
      <w:r w:rsidRPr="00336568">
        <w:rPr>
          <w:lang w:val="fr-CA"/>
        </w:rPr>
        <w:t>omission de l</w:t>
      </w:r>
      <w:r>
        <w:rPr>
          <w:lang w:val="fr-CA"/>
        </w:rPr>
        <w:t>’</w:t>
      </w:r>
      <w:r w:rsidRPr="00336568">
        <w:rPr>
          <w:lang w:val="fr-CA"/>
        </w:rPr>
        <w:t>État et, d</w:t>
      </w:r>
      <w:r>
        <w:rPr>
          <w:lang w:val="fr-CA"/>
        </w:rPr>
        <w:t>’</w:t>
      </w:r>
      <w:r w:rsidRPr="00336568">
        <w:rPr>
          <w:lang w:val="fr-CA"/>
        </w:rPr>
        <w:t>autre part, la pollution ou la dégradation atmosphérique</w:t>
      </w:r>
      <w:r w:rsidRPr="00F22925">
        <w:rPr>
          <w:lang w:val="fr-CA"/>
        </w:rPr>
        <w:t>.</w:t>
      </w:r>
    </w:p>
    <w:p w14:paraId="3EEDE677" w14:textId="77777777" w:rsidR="00D01ECD" w:rsidRDefault="00D01ECD" w:rsidP="00D01ECD">
      <w:pPr>
        <w:pStyle w:val="SingleTxtG"/>
        <w:rPr>
          <w:lang w:val="fr-FR"/>
        </w:rPr>
      </w:pPr>
      <w:r w:rsidRPr="000A0208">
        <w:rPr>
          <w:lang w:val="fr-FR"/>
        </w:rPr>
        <w:t>13)</w:t>
      </w:r>
      <w:r>
        <w:rPr>
          <w:lang w:val="fr-FR"/>
        </w:rPr>
        <w:tab/>
      </w:r>
      <w:r w:rsidRPr="00336568">
        <w:rPr>
          <w:lang w:val="fr-CA"/>
        </w:rPr>
        <w:t>L</w:t>
      </w:r>
      <w:r>
        <w:rPr>
          <w:lang w:val="fr-CA"/>
        </w:rPr>
        <w:t>’</w:t>
      </w:r>
      <w:r w:rsidRPr="00336568">
        <w:rPr>
          <w:lang w:val="fr-CA"/>
        </w:rPr>
        <w:t>un des problèmes qui se posent en ce qui concerne la relation entre les règles de droit international relatives à l</w:t>
      </w:r>
      <w:r>
        <w:rPr>
          <w:lang w:val="fr-CA"/>
        </w:rPr>
        <w:t>’</w:t>
      </w:r>
      <w:r w:rsidRPr="00336568">
        <w:rPr>
          <w:lang w:val="fr-CA"/>
        </w:rPr>
        <w:t>atmosphère et les règles du droit international des droits de l</w:t>
      </w:r>
      <w:r>
        <w:rPr>
          <w:lang w:val="fr-CA"/>
        </w:rPr>
        <w:t>’</w:t>
      </w:r>
      <w:r w:rsidRPr="00336568">
        <w:rPr>
          <w:lang w:val="fr-CA"/>
        </w:rPr>
        <w:t>homme est que les unes et les autres n</w:t>
      </w:r>
      <w:r>
        <w:rPr>
          <w:lang w:val="fr-CA"/>
        </w:rPr>
        <w:t>’</w:t>
      </w:r>
      <w:r w:rsidRPr="00336568">
        <w:rPr>
          <w:lang w:val="fr-CA"/>
        </w:rPr>
        <w:t>ont pas le même champ d</w:t>
      </w:r>
      <w:r>
        <w:rPr>
          <w:lang w:val="fr-CA"/>
        </w:rPr>
        <w:t>’</w:t>
      </w:r>
      <w:r w:rsidRPr="00336568">
        <w:rPr>
          <w:lang w:val="fr-CA"/>
        </w:rPr>
        <w:t xml:space="preserve">application </w:t>
      </w:r>
      <w:proofErr w:type="spellStart"/>
      <w:r w:rsidRPr="00336568">
        <w:rPr>
          <w:i/>
          <w:iCs/>
          <w:lang w:val="fr-CA"/>
        </w:rPr>
        <w:t>ratione</w:t>
      </w:r>
      <w:proofErr w:type="spellEnd"/>
      <w:r w:rsidRPr="00336568">
        <w:rPr>
          <w:i/>
          <w:iCs/>
          <w:lang w:val="fr-CA"/>
        </w:rPr>
        <w:t xml:space="preserve"> personae</w:t>
      </w:r>
      <w:r w:rsidRPr="00F22925">
        <w:rPr>
          <w:lang w:val="fr-CA"/>
        </w:rPr>
        <w:t>.</w:t>
      </w:r>
      <w:r w:rsidRPr="00336568">
        <w:rPr>
          <w:lang w:val="fr-CA"/>
        </w:rPr>
        <w:t xml:space="preserve"> Si les règles de droit international relatives à l</w:t>
      </w:r>
      <w:r>
        <w:rPr>
          <w:lang w:val="fr-CA"/>
        </w:rPr>
        <w:t>’</w:t>
      </w:r>
      <w:r w:rsidRPr="00336568">
        <w:rPr>
          <w:lang w:val="fr-CA"/>
        </w:rPr>
        <w:t>atmosphère s</w:t>
      </w:r>
      <w:r>
        <w:rPr>
          <w:lang w:val="fr-CA"/>
        </w:rPr>
        <w:t>’</w:t>
      </w:r>
      <w:r w:rsidRPr="00336568">
        <w:rPr>
          <w:lang w:val="fr-CA"/>
        </w:rPr>
        <w:t>appliquent non seulement à l</w:t>
      </w:r>
      <w:r>
        <w:rPr>
          <w:lang w:val="fr-CA"/>
        </w:rPr>
        <w:t>’</w:t>
      </w:r>
      <w:r w:rsidRPr="00336568">
        <w:rPr>
          <w:lang w:val="fr-CA"/>
        </w:rPr>
        <w:t>État sur le territoire duquel se trouvent les victimes, mais aussi à l</w:t>
      </w:r>
      <w:r>
        <w:rPr>
          <w:lang w:val="fr-CA"/>
        </w:rPr>
        <w:t>’</w:t>
      </w:r>
      <w:r w:rsidRPr="00336568">
        <w:rPr>
          <w:lang w:val="fr-CA"/>
        </w:rPr>
        <w:t>État qui est à l</w:t>
      </w:r>
      <w:r>
        <w:rPr>
          <w:lang w:val="fr-CA"/>
        </w:rPr>
        <w:t>’</w:t>
      </w:r>
      <w:r w:rsidRPr="00336568">
        <w:rPr>
          <w:lang w:val="fr-CA"/>
        </w:rPr>
        <w:t>origine du préjudice, les traités relatifs aux droits de l</w:t>
      </w:r>
      <w:r>
        <w:rPr>
          <w:lang w:val="fr-CA"/>
        </w:rPr>
        <w:t>’</w:t>
      </w:r>
      <w:r w:rsidRPr="00336568">
        <w:rPr>
          <w:lang w:val="fr-CA"/>
        </w:rPr>
        <w:t>homme ne s</w:t>
      </w:r>
      <w:r>
        <w:rPr>
          <w:lang w:val="fr-CA"/>
        </w:rPr>
        <w:t>’</w:t>
      </w:r>
      <w:r w:rsidRPr="00336568">
        <w:rPr>
          <w:lang w:val="fr-CA"/>
        </w:rPr>
        <w:t>appliquent qu</w:t>
      </w:r>
      <w:r>
        <w:rPr>
          <w:lang w:val="fr-CA"/>
        </w:rPr>
        <w:t>’</w:t>
      </w:r>
      <w:r w:rsidRPr="00336568">
        <w:rPr>
          <w:lang w:val="fr-CA"/>
        </w:rPr>
        <w:t>aux personnes relevant de la juridiction d</w:t>
      </w:r>
      <w:r>
        <w:rPr>
          <w:lang w:val="fr-CA"/>
        </w:rPr>
        <w:t>’</w:t>
      </w:r>
      <w:r w:rsidRPr="00336568">
        <w:rPr>
          <w:lang w:val="fr-CA"/>
        </w:rPr>
        <w:t>un État</w:t>
      </w:r>
      <w:bookmarkStart w:id="28" w:name="_Ref74827478"/>
      <w:r w:rsidRPr="00F22830">
        <w:rPr>
          <w:rStyle w:val="FootnoteReference"/>
        </w:rPr>
        <w:footnoteReference w:id="157"/>
      </w:r>
      <w:bookmarkEnd w:id="28"/>
      <w:r w:rsidRPr="00F22925">
        <w:rPr>
          <w:lang w:val="fr-CA"/>
        </w:rPr>
        <w:t>.</w:t>
      </w:r>
      <w:r w:rsidRPr="00336568">
        <w:rPr>
          <w:lang w:val="fr-CA"/>
        </w:rPr>
        <w:t xml:space="preserve"> Partant, la situation dans laquelle une activité nocive pour l</w:t>
      </w:r>
      <w:r>
        <w:rPr>
          <w:lang w:val="fr-CA"/>
        </w:rPr>
        <w:t>’</w:t>
      </w:r>
      <w:r w:rsidRPr="00336568">
        <w:rPr>
          <w:lang w:val="fr-CA"/>
        </w:rPr>
        <w:t>environnement menée dans un État porte atteinte aux droits de personnes situées dans un autre État soulève la question de l</w:t>
      </w:r>
      <w:r>
        <w:rPr>
          <w:lang w:val="fr-CA"/>
        </w:rPr>
        <w:t>’</w:t>
      </w:r>
      <w:r w:rsidRPr="00336568">
        <w:rPr>
          <w:lang w:val="fr-CA"/>
        </w:rPr>
        <w:t>interprétation de la notion de « juridiction » dans le contexte des obligations relatives aux droits de l</w:t>
      </w:r>
      <w:r>
        <w:rPr>
          <w:lang w:val="fr-CA"/>
        </w:rPr>
        <w:t>’</w:t>
      </w:r>
      <w:r w:rsidRPr="00336568">
        <w:rPr>
          <w:lang w:val="fr-CA"/>
        </w:rPr>
        <w:t>homme</w:t>
      </w:r>
      <w:r w:rsidRPr="00F22925">
        <w:rPr>
          <w:lang w:val="fr-CA"/>
        </w:rPr>
        <w:t>.</w:t>
      </w:r>
      <w:r w:rsidRPr="00336568">
        <w:rPr>
          <w:lang w:val="fr-CA"/>
        </w:rPr>
        <w:t xml:space="preserve"> Aux fins de l</w:t>
      </w:r>
      <w:r>
        <w:rPr>
          <w:lang w:val="fr-CA"/>
        </w:rPr>
        <w:t>’</w:t>
      </w:r>
      <w:r w:rsidRPr="00336568">
        <w:rPr>
          <w:lang w:val="fr-CA"/>
        </w:rPr>
        <w:t>interprétation et de l</w:t>
      </w:r>
      <w:r>
        <w:rPr>
          <w:lang w:val="fr-CA"/>
        </w:rPr>
        <w:t>’</w:t>
      </w:r>
      <w:r w:rsidRPr="00336568">
        <w:rPr>
          <w:lang w:val="fr-CA"/>
        </w:rPr>
        <w:t>application de cette notion, on pourrait vouloir tenir compte de l</w:t>
      </w:r>
      <w:r>
        <w:rPr>
          <w:lang w:val="fr-CA"/>
        </w:rPr>
        <w:t>’</w:t>
      </w:r>
      <w:r w:rsidRPr="00336568">
        <w:rPr>
          <w:lang w:val="fr-CA"/>
        </w:rPr>
        <w:t>objet et du but des traités relatifs aux droits de l</w:t>
      </w:r>
      <w:r>
        <w:rPr>
          <w:lang w:val="fr-CA"/>
        </w:rPr>
        <w:t>’</w:t>
      </w:r>
      <w:r w:rsidRPr="00336568">
        <w:rPr>
          <w:lang w:val="fr-CA"/>
        </w:rPr>
        <w:t>homme</w:t>
      </w:r>
      <w:r w:rsidRPr="00F22925">
        <w:rPr>
          <w:lang w:val="fr-CA"/>
        </w:rPr>
        <w:t>.</w:t>
      </w:r>
      <w:r w:rsidRPr="00336568">
        <w:rPr>
          <w:lang w:val="fr-CA"/>
        </w:rPr>
        <w:t xml:space="preserve"> Dans son avis consultatif sur les </w:t>
      </w:r>
      <w:r w:rsidRPr="00336568">
        <w:rPr>
          <w:i/>
          <w:lang w:val="fr-CA"/>
        </w:rPr>
        <w:t>Conséquences juridiques de l</w:t>
      </w:r>
      <w:r>
        <w:rPr>
          <w:i/>
          <w:lang w:val="fr-CA"/>
        </w:rPr>
        <w:t>’</w:t>
      </w:r>
      <w:r w:rsidRPr="00336568">
        <w:rPr>
          <w:i/>
          <w:lang w:val="fr-CA"/>
        </w:rPr>
        <w:t>édification d</w:t>
      </w:r>
      <w:r>
        <w:rPr>
          <w:i/>
          <w:lang w:val="fr-CA"/>
        </w:rPr>
        <w:t>’</w:t>
      </w:r>
      <w:r w:rsidRPr="00336568">
        <w:rPr>
          <w:i/>
          <w:lang w:val="fr-CA"/>
        </w:rPr>
        <w:t>un mur dans le territoire palestinien occupé</w:t>
      </w:r>
      <w:r w:rsidRPr="00336568">
        <w:rPr>
          <w:lang w:val="fr-CA"/>
        </w:rPr>
        <w:t>, la Cour internationale de Justice a dit ce qui suit au sujet de la compétence extraterritoriale : « [S]i la compétence des États est avant tout territoriale, elle peut parfois s</w:t>
      </w:r>
      <w:r>
        <w:rPr>
          <w:lang w:val="fr-CA"/>
        </w:rPr>
        <w:t>’</w:t>
      </w:r>
      <w:r w:rsidRPr="00336568">
        <w:rPr>
          <w:lang w:val="fr-CA"/>
        </w:rPr>
        <w:t>exercer hors du territoire national</w:t>
      </w:r>
      <w:r w:rsidRPr="00F22925">
        <w:rPr>
          <w:lang w:val="fr-CA"/>
        </w:rPr>
        <w:t>.</w:t>
      </w:r>
      <w:r w:rsidRPr="00336568">
        <w:rPr>
          <w:lang w:val="fr-CA"/>
        </w:rPr>
        <w:t xml:space="preserve"> Compte tenu de l</w:t>
      </w:r>
      <w:r>
        <w:rPr>
          <w:lang w:val="fr-CA"/>
        </w:rPr>
        <w:t>’</w:t>
      </w:r>
      <w:r w:rsidRPr="00336568">
        <w:rPr>
          <w:lang w:val="fr-CA"/>
        </w:rPr>
        <w:t>objet et du but du Pacte international relatif aux droits civils et politiques, il apparaîtrait naturel que, même dans cette dernière hypothèse, les États parties au Pacte soient tenus d</w:t>
      </w:r>
      <w:r>
        <w:rPr>
          <w:lang w:val="fr-CA"/>
        </w:rPr>
        <w:t>’</w:t>
      </w:r>
      <w:r w:rsidRPr="00336568">
        <w:rPr>
          <w:lang w:val="fr-CA"/>
        </w:rPr>
        <w:t>en respecter les dispositions</w:t>
      </w:r>
      <w:r w:rsidRPr="00F22830">
        <w:rPr>
          <w:rStyle w:val="FootnoteReference"/>
        </w:rPr>
        <w:footnoteReference w:id="158"/>
      </w:r>
      <w:r w:rsidRPr="00336568">
        <w:rPr>
          <w:lang w:val="fr-CA"/>
        </w:rPr>
        <w:t> »</w:t>
      </w:r>
      <w:r w:rsidRPr="00F22925">
        <w:rPr>
          <w:lang w:val="fr-CA"/>
        </w:rPr>
        <w:t>.</w:t>
      </w:r>
    </w:p>
    <w:p w14:paraId="47AF3833" w14:textId="77777777" w:rsidR="00D01ECD" w:rsidRDefault="00D01ECD" w:rsidP="00D01ECD">
      <w:pPr>
        <w:pStyle w:val="SingleTxtG"/>
        <w:rPr>
          <w:lang w:val="fr-FR"/>
        </w:rPr>
      </w:pPr>
      <w:r w:rsidRPr="000A0208">
        <w:rPr>
          <w:lang w:val="fr-FR"/>
        </w:rPr>
        <w:t>14)</w:t>
      </w:r>
      <w:r>
        <w:rPr>
          <w:lang w:val="fr-FR"/>
        </w:rPr>
        <w:tab/>
      </w:r>
      <w:r w:rsidRPr="00336568">
        <w:rPr>
          <w:lang w:val="fr-CA"/>
        </w:rPr>
        <w:t>On voudra peut-être prendre en considération la pertinence du principe de la non</w:t>
      </w:r>
      <w:r w:rsidRPr="00336568">
        <w:rPr>
          <w:lang w:val="fr-CA"/>
        </w:rPr>
        <w:noBreakHyphen/>
        <w:t>discrimination</w:t>
      </w:r>
      <w:r w:rsidRPr="00F22925">
        <w:rPr>
          <w:lang w:val="fr-CA"/>
        </w:rPr>
        <w:t>.</w:t>
      </w:r>
      <w:r w:rsidRPr="00336568">
        <w:rPr>
          <w:lang w:val="fr-CA"/>
        </w:rPr>
        <w:t xml:space="preserve"> Certains auteurs soutiennent qu</w:t>
      </w:r>
      <w:r>
        <w:rPr>
          <w:lang w:val="fr-CA"/>
        </w:rPr>
        <w:t>’</w:t>
      </w:r>
      <w:r w:rsidRPr="00336568">
        <w:rPr>
          <w:lang w:val="fr-CA"/>
        </w:rPr>
        <w:t>il n</w:t>
      </w:r>
      <w:r>
        <w:rPr>
          <w:lang w:val="fr-CA"/>
        </w:rPr>
        <w:t>’</w:t>
      </w:r>
      <w:r w:rsidRPr="00336568">
        <w:rPr>
          <w:lang w:val="fr-CA"/>
        </w:rPr>
        <w:t>est pas raisonnable de penser que le droit international des droits de l</w:t>
      </w:r>
      <w:r>
        <w:rPr>
          <w:lang w:val="fr-CA"/>
        </w:rPr>
        <w:t>’</w:t>
      </w:r>
      <w:r w:rsidRPr="00336568">
        <w:rPr>
          <w:lang w:val="fr-CA"/>
        </w:rPr>
        <w:t>homme ne couvre pas la pollution atmosphérique et la dégradation de l</w:t>
      </w:r>
      <w:r>
        <w:rPr>
          <w:lang w:val="fr-CA"/>
        </w:rPr>
        <w:t>’</w:t>
      </w:r>
      <w:r w:rsidRPr="00336568">
        <w:rPr>
          <w:lang w:val="fr-CA"/>
        </w:rPr>
        <w:t>environnement à l</w:t>
      </w:r>
      <w:r>
        <w:rPr>
          <w:lang w:val="fr-CA"/>
        </w:rPr>
        <w:t>’</w:t>
      </w:r>
      <w:r w:rsidRPr="00336568">
        <w:rPr>
          <w:lang w:val="fr-CA"/>
        </w:rPr>
        <w:t xml:space="preserve">échelle mondiale et que la loi ne protège que les victimes de pollution </w:t>
      </w:r>
      <w:proofErr w:type="spellStart"/>
      <w:r w:rsidRPr="00336568">
        <w:rPr>
          <w:lang w:val="fr-CA"/>
        </w:rPr>
        <w:t>intrafrontières</w:t>
      </w:r>
      <w:proofErr w:type="spellEnd"/>
      <w:r w:rsidRPr="00F22925">
        <w:rPr>
          <w:lang w:val="fr-CA"/>
        </w:rPr>
        <w:t>.</w:t>
      </w:r>
      <w:r w:rsidRPr="00336568">
        <w:rPr>
          <w:lang w:val="fr-CA"/>
        </w:rPr>
        <w:t xml:space="preserve"> Selon eux, le principe de la non-discrimination exige de l</w:t>
      </w:r>
      <w:r>
        <w:rPr>
          <w:lang w:val="fr-CA"/>
        </w:rPr>
        <w:t>’</w:t>
      </w:r>
      <w:r w:rsidRPr="00336568">
        <w:rPr>
          <w:lang w:val="fr-CA"/>
        </w:rPr>
        <w:t>État responsable qu</w:t>
      </w:r>
      <w:r>
        <w:rPr>
          <w:lang w:val="fr-CA"/>
        </w:rPr>
        <w:t>’</w:t>
      </w:r>
      <w:r w:rsidRPr="00336568">
        <w:rPr>
          <w:lang w:val="fr-CA"/>
        </w:rPr>
        <w:t>il traite la pollution atmosphérique transfrontière et la dégradation atmosphérique mondiale comme si elles survenaient sur son territoire</w:t>
      </w:r>
      <w:r w:rsidRPr="00F22830">
        <w:rPr>
          <w:rStyle w:val="FootnoteReference"/>
        </w:rPr>
        <w:footnoteReference w:id="159"/>
      </w:r>
      <w:r w:rsidRPr="00F22925">
        <w:rPr>
          <w:lang w:val="fr-CA"/>
        </w:rPr>
        <w:t>.</w:t>
      </w:r>
      <w:r w:rsidRPr="00336568">
        <w:rPr>
          <w:lang w:val="fr-CA"/>
        </w:rPr>
        <w:t xml:space="preserve"> De surcroît, si et dans la mesure où les normes pertinentes du droit des droits de l</w:t>
      </w:r>
      <w:r>
        <w:rPr>
          <w:lang w:val="fr-CA"/>
        </w:rPr>
        <w:t>’</w:t>
      </w:r>
      <w:r w:rsidRPr="00336568">
        <w:rPr>
          <w:lang w:val="fr-CA"/>
        </w:rPr>
        <w:t xml:space="preserve">homme </w:t>
      </w:r>
      <w:r>
        <w:rPr>
          <w:lang w:val="fr-CA"/>
        </w:rPr>
        <w:t>ont une portée extraterritoriale</w:t>
      </w:r>
      <w:r w:rsidRPr="00F22830">
        <w:rPr>
          <w:rStyle w:val="FootnoteReference"/>
        </w:rPr>
        <w:footnoteReference w:id="160"/>
      </w:r>
      <w:r w:rsidRPr="00336568">
        <w:rPr>
          <w:lang w:val="fr-CA"/>
        </w:rPr>
        <w:t xml:space="preserve">, elles pourraient être considérées comme venant recouper </w:t>
      </w:r>
      <w:r w:rsidRPr="00336568">
        <w:rPr>
          <w:lang w:val="fr-CA"/>
        </w:rPr>
        <w:lastRenderedPageBreak/>
        <w:t>les normes environnementales relatives à la protection de l</w:t>
      </w:r>
      <w:r>
        <w:rPr>
          <w:lang w:val="fr-CA"/>
        </w:rPr>
        <w:t>’</w:t>
      </w:r>
      <w:r w:rsidRPr="00336568">
        <w:rPr>
          <w:lang w:val="fr-CA"/>
        </w:rPr>
        <w:t>atmosphère, notamment celles qui se rapportent à la diligence requise (projet de directive 3), à l</w:t>
      </w:r>
      <w:r>
        <w:rPr>
          <w:lang w:val="fr-CA"/>
        </w:rPr>
        <w:t>’</w:t>
      </w:r>
      <w:r w:rsidRPr="00336568">
        <w:rPr>
          <w:lang w:val="fr-CA"/>
        </w:rPr>
        <w:t>évaluation de l</w:t>
      </w:r>
      <w:r>
        <w:rPr>
          <w:lang w:val="fr-CA"/>
        </w:rPr>
        <w:t>’</w:t>
      </w:r>
      <w:r w:rsidRPr="00336568">
        <w:rPr>
          <w:lang w:val="fr-CA"/>
        </w:rPr>
        <w:t>impact sur l</w:t>
      </w:r>
      <w:r>
        <w:rPr>
          <w:lang w:val="fr-CA"/>
        </w:rPr>
        <w:t>’</w:t>
      </w:r>
      <w:r w:rsidRPr="00336568">
        <w:rPr>
          <w:lang w:val="fr-CA"/>
        </w:rPr>
        <w:t>environnement (projet de directive 4), à l</w:t>
      </w:r>
      <w:r>
        <w:rPr>
          <w:lang w:val="fr-CA"/>
        </w:rPr>
        <w:t>’</w:t>
      </w:r>
      <w:r w:rsidRPr="00336568">
        <w:rPr>
          <w:lang w:val="fr-CA"/>
        </w:rPr>
        <w:t>utilisation durable de l</w:t>
      </w:r>
      <w:r>
        <w:rPr>
          <w:lang w:val="fr-CA"/>
        </w:rPr>
        <w:t>’</w:t>
      </w:r>
      <w:r w:rsidRPr="00336568">
        <w:rPr>
          <w:lang w:val="fr-CA"/>
        </w:rPr>
        <w:t>atmosphère (projet de directive 5), à l</w:t>
      </w:r>
      <w:r>
        <w:rPr>
          <w:lang w:val="fr-CA"/>
        </w:rPr>
        <w:t>’</w:t>
      </w:r>
      <w:r w:rsidRPr="00336568">
        <w:rPr>
          <w:lang w:val="fr-CA"/>
        </w:rPr>
        <w:t>utilisation équitable et raisonnable de l</w:t>
      </w:r>
      <w:r>
        <w:rPr>
          <w:lang w:val="fr-CA"/>
        </w:rPr>
        <w:t>’</w:t>
      </w:r>
      <w:r w:rsidRPr="00336568">
        <w:rPr>
          <w:lang w:val="fr-CA"/>
        </w:rPr>
        <w:t>atmosphère (projet de directive 6) et à la coopération internationale (projet de directive 8), ce qui permettrait d</w:t>
      </w:r>
      <w:r>
        <w:rPr>
          <w:lang w:val="fr-CA"/>
        </w:rPr>
        <w:t>’</w:t>
      </w:r>
      <w:r w:rsidRPr="00336568">
        <w:rPr>
          <w:lang w:val="fr-CA"/>
        </w:rPr>
        <w:t>interpréter et d</w:t>
      </w:r>
      <w:r>
        <w:rPr>
          <w:lang w:val="fr-CA"/>
        </w:rPr>
        <w:t>’</w:t>
      </w:r>
      <w:r w:rsidRPr="00336568">
        <w:rPr>
          <w:lang w:val="fr-CA"/>
        </w:rPr>
        <w:t>appliquer ces deux corpus de manière harmonieuse</w:t>
      </w:r>
      <w:r w:rsidRPr="00F22925">
        <w:rPr>
          <w:lang w:val="fr-CA"/>
        </w:rPr>
        <w:t>.</w:t>
      </w:r>
    </w:p>
    <w:p w14:paraId="280BD59E" w14:textId="77777777" w:rsidR="00D01ECD" w:rsidRPr="00336568" w:rsidRDefault="00D01ECD" w:rsidP="00D01ECD">
      <w:pPr>
        <w:pStyle w:val="SingleTxtG"/>
        <w:rPr>
          <w:lang w:val="fr-CA"/>
        </w:rPr>
      </w:pPr>
      <w:r w:rsidRPr="000A0208">
        <w:rPr>
          <w:lang w:val="fr-FR"/>
        </w:rPr>
        <w:t>15)</w:t>
      </w:r>
      <w:r>
        <w:rPr>
          <w:lang w:val="fr-FR"/>
        </w:rPr>
        <w:tab/>
      </w:r>
      <w:r w:rsidRPr="00336568">
        <w:rPr>
          <w:lang w:val="fr-CA"/>
        </w:rPr>
        <w:t>À la différence du paragraphe 1, qui porte sur la détermination, l</w:t>
      </w:r>
      <w:r>
        <w:rPr>
          <w:lang w:val="fr-CA"/>
        </w:rPr>
        <w:t>’</w:t>
      </w:r>
      <w:r w:rsidRPr="00336568">
        <w:rPr>
          <w:lang w:val="fr-CA"/>
        </w:rPr>
        <w:t>interprétation et l</w:t>
      </w:r>
      <w:r>
        <w:rPr>
          <w:lang w:val="fr-CA"/>
        </w:rPr>
        <w:t>’</w:t>
      </w:r>
      <w:r w:rsidRPr="00336568">
        <w:rPr>
          <w:lang w:val="fr-CA"/>
        </w:rPr>
        <w:t>application des règles existantes, le paragraphe 2 concerne l</w:t>
      </w:r>
      <w:r>
        <w:rPr>
          <w:lang w:val="fr-CA"/>
        </w:rPr>
        <w:t>’</w:t>
      </w:r>
      <w:r w:rsidRPr="00336568">
        <w:rPr>
          <w:lang w:val="fr-CA"/>
        </w:rPr>
        <w:t>élaboration de nouvelles règles par les États</w:t>
      </w:r>
      <w:r w:rsidRPr="00F22925">
        <w:rPr>
          <w:lang w:val="fr-CA"/>
        </w:rPr>
        <w:t>.</w:t>
      </w:r>
      <w:r w:rsidRPr="00336568">
        <w:rPr>
          <w:lang w:val="fr-CA"/>
        </w:rPr>
        <w:t xml:space="preserve"> Il traduit une volonté générale d</w:t>
      </w:r>
      <w:r>
        <w:rPr>
          <w:lang w:val="fr-CA"/>
        </w:rPr>
        <w:t>’</w:t>
      </w:r>
      <w:r w:rsidRPr="00336568">
        <w:rPr>
          <w:lang w:val="fr-CA"/>
        </w:rPr>
        <w:t>encourager les États qui mènent des négociations aux fins de la définition de nouvelles règles à tenir compte du fait que les règles du droit international relatif à l</w:t>
      </w:r>
      <w:r>
        <w:rPr>
          <w:lang w:val="fr-CA"/>
        </w:rPr>
        <w:t>’</w:t>
      </w:r>
      <w:r w:rsidRPr="00336568">
        <w:rPr>
          <w:lang w:val="fr-CA"/>
        </w:rPr>
        <w:t>atmosphère et les autres règles de droit international sont liées les unes aux autres en ce qu</w:t>
      </w:r>
      <w:r>
        <w:rPr>
          <w:lang w:val="fr-CA"/>
        </w:rPr>
        <w:t>’</w:t>
      </w:r>
      <w:r w:rsidRPr="00336568">
        <w:rPr>
          <w:lang w:val="fr-CA"/>
        </w:rPr>
        <w:t>elles font partie d</w:t>
      </w:r>
      <w:r>
        <w:rPr>
          <w:lang w:val="fr-CA"/>
        </w:rPr>
        <w:t>’</w:t>
      </w:r>
      <w:r w:rsidRPr="00336568">
        <w:rPr>
          <w:lang w:val="fr-CA"/>
        </w:rPr>
        <w:t>un seul et même système juridique</w:t>
      </w:r>
      <w:r w:rsidRPr="00F22925">
        <w:rPr>
          <w:lang w:val="fr-CA"/>
        </w:rPr>
        <w:t>.</w:t>
      </w:r>
    </w:p>
    <w:p w14:paraId="690EE71D" w14:textId="77777777" w:rsidR="00D01ECD" w:rsidRDefault="00D01ECD" w:rsidP="00D01ECD">
      <w:pPr>
        <w:pStyle w:val="SingleTxtG"/>
        <w:rPr>
          <w:lang w:val="fr-FR"/>
        </w:rPr>
      </w:pPr>
      <w:r w:rsidRPr="000A0208">
        <w:rPr>
          <w:lang w:val="fr-FR"/>
        </w:rPr>
        <w:t>16)</w:t>
      </w:r>
      <w:r>
        <w:rPr>
          <w:lang w:val="fr-FR"/>
        </w:rPr>
        <w:tab/>
      </w:r>
      <w:r w:rsidRPr="00336568">
        <w:rPr>
          <w:lang w:val="fr-CA"/>
        </w:rPr>
        <w:t>Le paragraphe 3 concerne le sort des personnes placées dans une situation de vulnérabilité du fait de la pollution atmosphérique et de la dégradation atmosphérique</w:t>
      </w:r>
      <w:r w:rsidRPr="00F22925">
        <w:rPr>
          <w:lang w:val="fr-CA"/>
        </w:rPr>
        <w:t>.</w:t>
      </w:r>
      <w:r w:rsidRPr="00336568">
        <w:rPr>
          <w:lang w:val="fr-CA"/>
        </w:rPr>
        <w:t xml:space="preserve"> Il a été formulé pour faire expressément mention de ces deux fléaux</w:t>
      </w:r>
      <w:r w:rsidRPr="00F22925">
        <w:rPr>
          <w:lang w:val="fr-CA"/>
        </w:rPr>
        <w:t>.</w:t>
      </w:r>
      <w:r w:rsidRPr="00336568">
        <w:rPr>
          <w:lang w:val="fr-CA"/>
        </w:rPr>
        <w:t xml:space="preserve"> La référence aux paragraphes 1 et 2 renvoie à la « détermination, l</w:t>
      </w:r>
      <w:r>
        <w:rPr>
          <w:lang w:val="fr-CA"/>
        </w:rPr>
        <w:t>’</w:t>
      </w:r>
      <w:r w:rsidRPr="00336568">
        <w:rPr>
          <w:lang w:val="fr-CA"/>
        </w:rPr>
        <w:t>interprétation et l</w:t>
      </w:r>
      <w:r>
        <w:rPr>
          <w:lang w:val="fr-CA"/>
        </w:rPr>
        <w:t>’</w:t>
      </w:r>
      <w:r w:rsidRPr="00336568">
        <w:rPr>
          <w:lang w:val="fr-CA"/>
        </w:rPr>
        <w:t>application » des règles applicables ainsi qu</w:t>
      </w:r>
      <w:r>
        <w:rPr>
          <w:lang w:val="fr-CA"/>
        </w:rPr>
        <w:t>’</w:t>
      </w:r>
      <w:r w:rsidRPr="00336568">
        <w:rPr>
          <w:lang w:val="fr-CA"/>
        </w:rPr>
        <w:t>à « l</w:t>
      </w:r>
      <w:r>
        <w:rPr>
          <w:lang w:val="fr-CA"/>
        </w:rPr>
        <w:t>’</w:t>
      </w:r>
      <w:r w:rsidRPr="00336568">
        <w:rPr>
          <w:lang w:val="fr-CA"/>
        </w:rPr>
        <w:t>élaboration » de nouvelles règles</w:t>
      </w:r>
      <w:r w:rsidRPr="00F22925">
        <w:rPr>
          <w:lang w:val="fr-CA"/>
        </w:rPr>
        <w:t>.</w:t>
      </w:r>
      <w:r w:rsidRPr="00336568">
        <w:rPr>
          <w:lang w:val="fr-CA"/>
        </w:rPr>
        <w:t xml:space="preserve"> Le membre de phrase « </w:t>
      </w:r>
      <w:proofErr w:type="gramStart"/>
      <w:r w:rsidRPr="00336568">
        <w:rPr>
          <w:lang w:val="fr-CA"/>
        </w:rPr>
        <w:t>devraient</w:t>
      </w:r>
      <w:proofErr w:type="gramEnd"/>
      <w:r w:rsidRPr="00336568">
        <w:rPr>
          <w:lang w:val="fr-CA"/>
        </w:rPr>
        <w:t xml:space="preserve"> prêter une attention particulière aux personnes et aux groupes particulièrement vulnérables à la pollution et la dégradation atmosphériques » souligne qu</w:t>
      </w:r>
      <w:r>
        <w:rPr>
          <w:lang w:val="fr-CA"/>
        </w:rPr>
        <w:t>’</w:t>
      </w:r>
      <w:r w:rsidRPr="00336568">
        <w:rPr>
          <w:lang w:val="fr-CA"/>
        </w:rPr>
        <w:t>il faut accorder une grande importance à la situation de ces personnes et groupes au regard des deux aspects du présent sujet, à savoir la « pollution atmosphérique » et la « dégradation atmosphérique »</w:t>
      </w:r>
      <w:r w:rsidRPr="00F22925">
        <w:rPr>
          <w:lang w:val="fr-CA"/>
        </w:rPr>
        <w:t>.</w:t>
      </w:r>
      <w:r w:rsidRPr="00336568">
        <w:rPr>
          <w:lang w:val="fr-CA"/>
        </w:rPr>
        <w:t xml:space="preserve"> Il n</w:t>
      </w:r>
      <w:r>
        <w:rPr>
          <w:lang w:val="fr-CA"/>
        </w:rPr>
        <w:t>’</w:t>
      </w:r>
      <w:r w:rsidRPr="00336568">
        <w:rPr>
          <w:lang w:val="fr-CA"/>
        </w:rPr>
        <w:t>a pas été jugé utile de faire référence aux « droits de l</w:t>
      </w:r>
      <w:r>
        <w:rPr>
          <w:lang w:val="fr-CA"/>
        </w:rPr>
        <w:t>’</w:t>
      </w:r>
      <w:r w:rsidRPr="00336568">
        <w:rPr>
          <w:lang w:val="fr-CA"/>
        </w:rPr>
        <w:t>homme », ni même à des « droits » ou des « intérêts légitimes »</w:t>
      </w:r>
      <w:r w:rsidRPr="00F22925">
        <w:rPr>
          <w:lang w:val="fr-CA"/>
        </w:rPr>
        <w:t>.</w:t>
      </w:r>
    </w:p>
    <w:p w14:paraId="7BC51FC5" w14:textId="77777777" w:rsidR="00D01ECD" w:rsidRDefault="00D01ECD" w:rsidP="00D01ECD">
      <w:pPr>
        <w:pStyle w:val="SingleTxtG"/>
        <w:rPr>
          <w:lang w:val="fr-FR"/>
        </w:rPr>
      </w:pPr>
      <w:r w:rsidRPr="000A0208">
        <w:rPr>
          <w:lang w:val="fr-FR"/>
        </w:rPr>
        <w:t>17)</w:t>
      </w:r>
      <w:r>
        <w:rPr>
          <w:lang w:val="fr-FR"/>
        </w:rPr>
        <w:tab/>
      </w:r>
      <w:r w:rsidRPr="00336568">
        <w:rPr>
          <w:lang w:val="fr-CA"/>
        </w:rPr>
        <w:t>La deuxième phrase du paragraphe 3 donne des exemples de groupes susceptibles de se trouver en situation de vulnérabilité face à la pollution et à la dégradation atmosphériques</w:t>
      </w:r>
      <w:r w:rsidRPr="00F22925">
        <w:rPr>
          <w:lang w:val="fr-CA"/>
        </w:rPr>
        <w:t>.</w:t>
      </w:r>
      <w:r w:rsidRPr="00336568">
        <w:rPr>
          <w:lang w:val="fr-CA"/>
        </w:rPr>
        <w:t xml:space="preserve"> L</w:t>
      </w:r>
      <w:r>
        <w:rPr>
          <w:lang w:val="fr-CA"/>
        </w:rPr>
        <w:t>’</w:t>
      </w:r>
      <w:r w:rsidRPr="00336568">
        <w:rPr>
          <w:lang w:val="fr-CA"/>
        </w:rPr>
        <w:t>Organisation mondiale de la Santé a estimé que toutes les populations seraient concernées par les changements climatiques mais, dans un premier temps, les risques sanitaires entraînés par ces changements varieraient sensiblement selon les régions et le mode de vie, les populations des régions côtières, notamment des petits États insulaires en développement, et celles des mégapoles et des régions montagneuses et polaires étant particulièrement vulnérables, pour des raisons différentes</w:t>
      </w:r>
      <w:bookmarkStart w:id="29" w:name="_Ref74827541"/>
      <w:r w:rsidRPr="00F22830">
        <w:rPr>
          <w:rStyle w:val="FootnoteReference"/>
        </w:rPr>
        <w:footnoteReference w:id="161"/>
      </w:r>
      <w:bookmarkEnd w:id="29"/>
      <w:r w:rsidRPr="00F22925">
        <w:rPr>
          <w:lang w:val="fr-CA"/>
        </w:rPr>
        <w:t>.</w:t>
      </w:r>
      <w:r w:rsidRPr="00336568">
        <w:rPr>
          <w:lang w:val="fr-CA"/>
        </w:rPr>
        <w:t xml:space="preserve"> La lutte contre la pollution atmosphérique figure parmi les objectifs de développement durable adoptés par l</w:t>
      </w:r>
      <w:r>
        <w:rPr>
          <w:lang w:val="fr-CA"/>
        </w:rPr>
        <w:t>’</w:t>
      </w:r>
      <w:r w:rsidRPr="00336568">
        <w:rPr>
          <w:lang w:val="fr-CA"/>
        </w:rPr>
        <w:t>Assemblée générale dans le cadre du Programme de développement durable à l</w:t>
      </w:r>
      <w:r>
        <w:rPr>
          <w:lang w:val="fr-CA"/>
        </w:rPr>
        <w:t>’</w:t>
      </w:r>
      <w:r w:rsidRPr="00336568">
        <w:rPr>
          <w:lang w:val="fr-CA"/>
        </w:rPr>
        <w:t>horizon 2030, les cibles 3</w:t>
      </w:r>
      <w:r w:rsidRPr="00F22925">
        <w:rPr>
          <w:lang w:val="fr-CA"/>
        </w:rPr>
        <w:t>.</w:t>
      </w:r>
      <w:r w:rsidRPr="00336568">
        <w:rPr>
          <w:lang w:val="fr-CA"/>
        </w:rPr>
        <w:t>9 et 11</w:t>
      </w:r>
      <w:r w:rsidRPr="00F22925">
        <w:rPr>
          <w:lang w:val="fr-CA"/>
        </w:rPr>
        <w:t>.</w:t>
      </w:r>
      <w:r w:rsidRPr="00336568">
        <w:rPr>
          <w:lang w:val="fr-CA"/>
        </w:rPr>
        <w:t>6 consistant en particulier à réduire nettement le nombre de décès et de maladies dus à cette pollution et à accorder une attention particulière à la qualité de l</w:t>
      </w:r>
      <w:r>
        <w:rPr>
          <w:lang w:val="fr-CA"/>
        </w:rPr>
        <w:t>’</w:t>
      </w:r>
      <w:r w:rsidRPr="00336568">
        <w:rPr>
          <w:lang w:val="fr-CA"/>
        </w:rPr>
        <w:t>air dans les villes</w:t>
      </w:r>
      <w:r w:rsidRPr="00F22830">
        <w:rPr>
          <w:rStyle w:val="FootnoteReference"/>
        </w:rPr>
        <w:footnoteReference w:id="162"/>
      </w:r>
      <w:r w:rsidRPr="00F22925">
        <w:rPr>
          <w:lang w:val="fr-CA"/>
        </w:rPr>
        <w:t>.</w:t>
      </w:r>
    </w:p>
    <w:p w14:paraId="5460B968" w14:textId="77777777" w:rsidR="00D01ECD" w:rsidRPr="00336568" w:rsidRDefault="00D01ECD" w:rsidP="00D01ECD">
      <w:pPr>
        <w:pStyle w:val="SingleTxtG"/>
        <w:rPr>
          <w:lang w:val="fr-CA"/>
        </w:rPr>
      </w:pPr>
      <w:r w:rsidRPr="000A0208">
        <w:rPr>
          <w:lang w:val="fr-FR"/>
        </w:rPr>
        <w:t>18)</w:t>
      </w:r>
      <w:r>
        <w:rPr>
          <w:lang w:val="fr-FR"/>
        </w:rPr>
        <w:tab/>
      </w:r>
      <w:r w:rsidRPr="00336568">
        <w:rPr>
          <w:lang w:val="fr-CA"/>
        </w:rPr>
        <w:t xml:space="preserve">Les termes « peuvent inclure, </w:t>
      </w:r>
      <w:r w:rsidRPr="00336568">
        <w:rPr>
          <w:i/>
          <w:lang w:val="fr-CA"/>
        </w:rPr>
        <w:t>inter alia</w:t>
      </w:r>
      <w:r w:rsidRPr="00336568">
        <w:rPr>
          <w:lang w:val="fr-CA"/>
        </w:rPr>
        <w:t> » employés dans la deuxième phrase du paragraphe 3 indiquent que les exemples donnés ne constituent pas nécessairement une liste exhaustive</w:t>
      </w:r>
      <w:r w:rsidRPr="00F22925">
        <w:rPr>
          <w:lang w:val="fr-CA"/>
        </w:rPr>
        <w:t>.</w:t>
      </w:r>
      <w:r w:rsidRPr="00336568">
        <w:rPr>
          <w:lang w:val="fr-CA"/>
        </w:rPr>
        <w:t xml:space="preserve"> Ainsi qu</w:t>
      </w:r>
      <w:r>
        <w:rPr>
          <w:lang w:val="fr-CA"/>
        </w:rPr>
        <w:t>’</w:t>
      </w:r>
      <w:r w:rsidRPr="00336568">
        <w:rPr>
          <w:lang w:val="fr-CA"/>
        </w:rPr>
        <w:t xml:space="preserve">il ressort du rapport issu du Sommet mondial des peuples </w:t>
      </w:r>
      <w:r w:rsidRPr="00336568">
        <w:rPr>
          <w:lang w:val="fr-CA"/>
        </w:rPr>
        <w:lastRenderedPageBreak/>
        <w:t>autochtones sur les changements climatiques, les peuples autochtones sont les plus vulnérables aux changements climatiques car ils vivent dans les régions les plus touchées par ces changements et sont en général tout particulièrement désavantagés sur le plan socioéconomique</w:t>
      </w:r>
      <w:r w:rsidRPr="00F22830">
        <w:rPr>
          <w:rStyle w:val="FootnoteReference"/>
        </w:rPr>
        <w:footnoteReference w:id="163"/>
      </w:r>
      <w:r w:rsidRPr="00F22925">
        <w:rPr>
          <w:lang w:val="fr-CA"/>
        </w:rPr>
        <w:t>.</w:t>
      </w:r>
      <w:r w:rsidRPr="00336568">
        <w:rPr>
          <w:lang w:val="fr-CA"/>
        </w:rPr>
        <w:t xml:space="preserve"> Les populations des pays les moins développés sont elles aussi particulièrement à risque en ce qu</w:t>
      </w:r>
      <w:r>
        <w:rPr>
          <w:lang w:val="fr-CA"/>
        </w:rPr>
        <w:t>’</w:t>
      </w:r>
      <w:r w:rsidRPr="00336568">
        <w:rPr>
          <w:lang w:val="fr-CA"/>
        </w:rPr>
        <w:t>elles vivent souvent dans la pauvreté extrême, sans accès aux infrastructures de base et à une protection médicale et sociale adéquate</w:t>
      </w:r>
      <w:bookmarkStart w:id="30" w:name="_Ref520444930"/>
      <w:r w:rsidRPr="00F22830">
        <w:rPr>
          <w:rStyle w:val="FootnoteReference"/>
        </w:rPr>
        <w:footnoteReference w:id="164"/>
      </w:r>
      <w:bookmarkEnd w:id="30"/>
      <w:r w:rsidRPr="00F22925">
        <w:rPr>
          <w:lang w:val="fr-CA"/>
        </w:rPr>
        <w:t>.</w:t>
      </w:r>
      <w:r w:rsidRPr="00336568">
        <w:rPr>
          <w:lang w:val="fr-CA"/>
        </w:rPr>
        <w:t xml:space="preserve"> Quant aux populations des zones de faible élévation et des petits États insulaires en développement touchés par l</w:t>
      </w:r>
      <w:r>
        <w:rPr>
          <w:lang w:val="fr-CA"/>
        </w:rPr>
        <w:t>’</w:t>
      </w:r>
      <w:r w:rsidRPr="00336568">
        <w:rPr>
          <w:lang w:val="fr-CA"/>
        </w:rPr>
        <w:t>élévation du niveau de la mer, elles sont exposées au risque de diminution de la surface terrestre, qui pourrait entraîner leur déplacement voire, dans certains cas, leur migration forcée</w:t>
      </w:r>
      <w:r w:rsidRPr="00F22925">
        <w:rPr>
          <w:lang w:val="fr-CA"/>
        </w:rPr>
        <w:t>.</w:t>
      </w:r>
      <w:r w:rsidRPr="00336568">
        <w:rPr>
          <w:lang w:val="fr-CA"/>
        </w:rPr>
        <w:t xml:space="preserve"> Dans le droit fil du préambule de l</w:t>
      </w:r>
      <w:r>
        <w:rPr>
          <w:lang w:val="fr-CA"/>
        </w:rPr>
        <w:t>’</w:t>
      </w:r>
      <w:r w:rsidRPr="00336568">
        <w:rPr>
          <w:lang w:val="fr-CA"/>
        </w:rPr>
        <w:t>Accord de Paris, on considérera comme particulièrement vulnérables non seulement les groupes expressément mentionnés au paragraphe 3 du projet de directive 9, mais aussi les populations locales, les migrants, les femmes, les enfants, les personnes handicapées et les personnes âgées, souvent gravement touchées par la pollution et la dégradation atmosphériques</w:t>
      </w:r>
      <w:r w:rsidRPr="00F22830">
        <w:rPr>
          <w:rStyle w:val="FootnoteReference"/>
        </w:rPr>
        <w:footnoteReference w:id="165"/>
      </w:r>
      <w:r w:rsidRPr="00F22925">
        <w:rPr>
          <w:lang w:val="fr-CA"/>
        </w:rPr>
        <w:t>.</w:t>
      </w:r>
    </w:p>
    <w:p w14:paraId="1DB5B9E7" w14:textId="77777777" w:rsidR="00D01ECD" w:rsidRPr="00791286" w:rsidRDefault="00D01ECD" w:rsidP="00D01ECD">
      <w:pPr>
        <w:pStyle w:val="H23G"/>
        <w:ind w:left="1701" w:hanging="1701"/>
        <w:rPr>
          <w:rFonts w:eastAsia="SimSun"/>
          <w:lang w:val="fr-FR"/>
        </w:rPr>
      </w:pPr>
      <w:r>
        <w:rPr>
          <w:lang w:val="fr-FR"/>
        </w:rPr>
        <w:tab/>
      </w:r>
      <w:r>
        <w:rPr>
          <w:lang w:val="fr-FR"/>
        </w:rPr>
        <w:tab/>
      </w:r>
      <w:r>
        <w:rPr>
          <w:lang w:val="fr-FR"/>
        </w:rPr>
        <w:tab/>
      </w:r>
      <w:r w:rsidRPr="00791286">
        <w:rPr>
          <w:lang w:val="fr-FR"/>
        </w:rPr>
        <w:t>Directive 10</w:t>
      </w:r>
      <w:r w:rsidRPr="00791286">
        <w:rPr>
          <w:lang w:val="fr-FR"/>
        </w:rPr>
        <w:br/>
      </w:r>
      <w:r w:rsidRPr="00791286">
        <w:rPr>
          <w:iCs/>
          <w:lang w:val="fr-FR"/>
        </w:rPr>
        <w:t>Mise en œuvre</w:t>
      </w:r>
    </w:p>
    <w:p w14:paraId="5FA994B4" w14:textId="77777777" w:rsidR="00D01ECD" w:rsidRPr="000A0208" w:rsidRDefault="00D01ECD" w:rsidP="00D01ECD">
      <w:pPr>
        <w:pStyle w:val="SingleTxtG"/>
        <w:ind w:left="1701"/>
        <w:rPr>
          <w:lang w:val="fr-FR"/>
        </w:rPr>
      </w:pPr>
      <w:r w:rsidRPr="000A0208">
        <w:rPr>
          <w:lang w:val="fr-FR"/>
        </w:rPr>
        <w:t>1</w:t>
      </w:r>
      <w:r w:rsidRPr="00F22925">
        <w:rPr>
          <w:lang w:val="fr-FR"/>
        </w:rPr>
        <w:t>.</w:t>
      </w:r>
      <w:r w:rsidRPr="000A0208">
        <w:rPr>
          <w:lang w:val="fr-FR"/>
        </w:rPr>
        <w:tab/>
      </w:r>
      <w:r w:rsidRPr="00791286">
        <w:rPr>
          <w:lang w:val="fr-FR"/>
        </w:rPr>
        <w:t>La mise en œuvre en droit interne des obligations de droit international relatives à la protection de l</w:t>
      </w:r>
      <w:r>
        <w:rPr>
          <w:lang w:val="fr-FR"/>
        </w:rPr>
        <w:t>’</w:t>
      </w:r>
      <w:r w:rsidRPr="00791286">
        <w:rPr>
          <w:lang w:val="fr-FR"/>
        </w:rPr>
        <w:t>atmosphère contre la pollution atmosphérique et la dégradation atmosphérique, y compris celles énoncées dans le présent projet de directives, peut s</w:t>
      </w:r>
      <w:r>
        <w:rPr>
          <w:lang w:val="fr-FR"/>
        </w:rPr>
        <w:t>’</w:t>
      </w:r>
      <w:r w:rsidRPr="00791286">
        <w:rPr>
          <w:lang w:val="fr-FR"/>
        </w:rPr>
        <w:t>accomplir par les voies législative, administrative, judiciaire et par d</w:t>
      </w:r>
      <w:r>
        <w:rPr>
          <w:lang w:val="fr-FR"/>
        </w:rPr>
        <w:t>’</w:t>
      </w:r>
      <w:r w:rsidRPr="00791286">
        <w:rPr>
          <w:lang w:val="fr-FR"/>
        </w:rPr>
        <w:t>autres voies</w:t>
      </w:r>
      <w:r w:rsidRPr="00F22925">
        <w:rPr>
          <w:lang w:val="fr-FR"/>
        </w:rPr>
        <w:t>.</w:t>
      </w:r>
    </w:p>
    <w:p w14:paraId="07BAA9AA" w14:textId="77777777" w:rsidR="00D01ECD" w:rsidRPr="000A0208" w:rsidRDefault="00D01ECD" w:rsidP="00D01ECD">
      <w:pPr>
        <w:pStyle w:val="SingleTxtG"/>
        <w:ind w:left="1701"/>
        <w:rPr>
          <w:lang w:val="fr-FR"/>
        </w:rPr>
      </w:pPr>
      <w:r w:rsidRPr="000A0208">
        <w:rPr>
          <w:lang w:val="fr-FR"/>
        </w:rPr>
        <w:t>2</w:t>
      </w:r>
      <w:r w:rsidRPr="00F22925">
        <w:rPr>
          <w:lang w:val="fr-FR"/>
        </w:rPr>
        <w:t>.</w:t>
      </w:r>
      <w:r w:rsidRPr="000A0208">
        <w:rPr>
          <w:lang w:val="fr-FR"/>
        </w:rPr>
        <w:tab/>
      </w:r>
      <w:r w:rsidRPr="001652D0">
        <w:rPr>
          <w:lang w:val="fr-FR"/>
        </w:rPr>
        <w:t>Les États devraient s</w:t>
      </w:r>
      <w:r>
        <w:rPr>
          <w:lang w:val="fr-FR"/>
        </w:rPr>
        <w:t>’</w:t>
      </w:r>
      <w:r w:rsidRPr="001652D0">
        <w:rPr>
          <w:lang w:val="fr-FR"/>
        </w:rPr>
        <w:t>efforcer de donner effet aux recommandations formulées dans le présent projet de directives</w:t>
      </w:r>
      <w:r w:rsidRPr="00F22925">
        <w:rPr>
          <w:lang w:val="fr-FR"/>
        </w:rPr>
        <w:t>.</w:t>
      </w:r>
    </w:p>
    <w:p w14:paraId="1F0BA44B" w14:textId="77777777" w:rsidR="00D01ECD" w:rsidRPr="000A0208" w:rsidRDefault="00D01ECD" w:rsidP="00D01ECD">
      <w:pPr>
        <w:pStyle w:val="H23G"/>
        <w:rPr>
          <w:lang w:val="fr-FR"/>
        </w:rPr>
      </w:pPr>
      <w:bookmarkStart w:id="31" w:name="_Toc522896343"/>
      <w:bookmarkStart w:id="32" w:name="_Toc523727653"/>
      <w:r>
        <w:rPr>
          <w:lang w:val="fr-FR"/>
        </w:rPr>
        <w:lastRenderedPageBreak/>
        <w:tab/>
      </w:r>
      <w:r>
        <w:rPr>
          <w:lang w:val="fr-FR"/>
        </w:rPr>
        <w:tab/>
      </w:r>
      <w:r w:rsidRPr="000A0208">
        <w:rPr>
          <w:lang w:val="fr-FR"/>
        </w:rPr>
        <w:t>Commenta</w:t>
      </w:r>
      <w:bookmarkEnd w:id="31"/>
      <w:bookmarkEnd w:id="32"/>
      <w:r>
        <w:rPr>
          <w:lang w:val="fr-FR"/>
        </w:rPr>
        <w:t>ire</w:t>
      </w:r>
    </w:p>
    <w:p w14:paraId="1CAA9A4E" w14:textId="77777777" w:rsidR="00D01ECD" w:rsidRDefault="00D01ECD" w:rsidP="00D01ECD">
      <w:pPr>
        <w:spacing w:after="120"/>
        <w:ind w:left="1134" w:right="1134"/>
        <w:jc w:val="both"/>
        <w:rPr>
          <w:rFonts w:eastAsia="SimSun"/>
          <w:lang w:val="fr-FR"/>
        </w:rPr>
      </w:pPr>
      <w:r w:rsidRPr="000A0208">
        <w:rPr>
          <w:rFonts w:eastAsia="SimSun"/>
          <w:lang w:val="fr-FR"/>
        </w:rPr>
        <w:t>1)</w:t>
      </w:r>
      <w:r w:rsidRPr="000A0208">
        <w:rPr>
          <w:rFonts w:eastAsia="SimSun"/>
          <w:lang w:val="fr-FR"/>
        </w:rPr>
        <w:tab/>
      </w:r>
      <w:r w:rsidRPr="000A3357">
        <w:rPr>
          <w:rFonts w:eastAsia="Calibri"/>
        </w:rPr>
        <w:t>Le projet de directive 10 porte sur la mise en œuvre en droit interne des obligations de droit international relatives à la protection de l</w:t>
      </w:r>
      <w:r>
        <w:rPr>
          <w:rFonts w:eastAsia="Calibri"/>
        </w:rPr>
        <w:t>’</w:t>
      </w:r>
      <w:r w:rsidRPr="000A3357">
        <w:rPr>
          <w:rFonts w:eastAsia="Calibri"/>
        </w:rPr>
        <w:t>atmosphère contre la pollution atmosphérique et la dégradation atmosphérique</w:t>
      </w:r>
      <w:r>
        <w:rPr>
          <w:rFonts w:eastAsia="Calibri"/>
        </w:rPr>
        <w:t>, le</w:t>
      </w:r>
      <w:r w:rsidRPr="000A3357">
        <w:rPr>
          <w:rFonts w:eastAsia="Calibri"/>
        </w:rPr>
        <w:t xml:space="preserve"> contrôle du respect </w:t>
      </w:r>
      <w:r>
        <w:rPr>
          <w:rFonts w:eastAsia="Calibri"/>
        </w:rPr>
        <w:t>de ces obligations</w:t>
      </w:r>
      <w:r w:rsidRPr="000A3357">
        <w:rPr>
          <w:rFonts w:eastAsia="Calibri"/>
        </w:rPr>
        <w:t xml:space="preserve"> au niveau international </w:t>
      </w:r>
      <w:r>
        <w:rPr>
          <w:rFonts w:eastAsia="Calibri"/>
        </w:rPr>
        <w:t>étant</w:t>
      </w:r>
      <w:r w:rsidRPr="000A3357">
        <w:rPr>
          <w:rFonts w:eastAsia="Calibri"/>
        </w:rPr>
        <w:t xml:space="preserve"> traité dans le projet de directive</w:t>
      </w:r>
      <w:r>
        <w:t> </w:t>
      </w:r>
      <w:r w:rsidRPr="000A3357">
        <w:rPr>
          <w:rFonts w:eastAsia="Calibri"/>
        </w:rPr>
        <w:t>11</w:t>
      </w:r>
      <w:r w:rsidRPr="00F22925">
        <w:rPr>
          <w:rFonts w:eastAsia="Calibri"/>
        </w:rPr>
        <w:t>.</w:t>
      </w:r>
      <w:r w:rsidRPr="000A3357">
        <w:rPr>
          <w:rFonts w:eastAsia="Calibri"/>
        </w:rPr>
        <w:t xml:space="preserve"> </w:t>
      </w:r>
      <w:r>
        <w:rPr>
          <w:rFonts w:eastAsia="Calibri"/>
        </w:rPr>
        <w:t>Ces deux projets de directives sont interdépendants</w:t>
      </w:r>
      <w:r w:rsidRPr="00F22925">
        <w:rPr>
          <w:rFonts w:eastAsia="Calibri"/>
        </w:rPr>
        <w:t>.</w:t>
      </w:r>
      <w:r>
        <w:rPr>
          <w:rFonts w:eastAsia="Calibri"/>
        </w:rPr>
        <w:t xml:space="preserve"> </w:t>
      </w:r>
      <w:r w:rsidRPr="000A3357">
        <w:rPr>
          <w:rFonts w:eastAsia="Calibri"/>
        </w:rPr>
        <w:t>Dans le projet</w:t>
      </w:r>
      <w:r>
        <w:rPr>
          <w:rFonts w:eastAsia="Calibri"/>
        </w:rPr>
        <w:t xml:space="preserve"> </w:t>
      </w:r>
      <w:r w:rsidRPr="000A3357">
        <w:rPr>
          <w:rFonts w:eastAsia="Calibri"/>
        </w:rPr>
        <w:t>de directive</w:t>
      </w:r>
      <w:r>
        <w:t> </w:t>
      </w:r>
      <w:r>
        <w:rPr>
          <w:rFonts w:eastAsia="Calibri"/>
        </w:rPr>
        <w:t>10</w:t>
      </w:r>
      <w:r w:rsidRPr="000A3357">
        <w:rPr>
          <w:rFonts w:eastAsia="Calibri"/>
        </w:rPr>
        <w:t xml:space="preserve">, le terme « mise en œuvre » </w:t>
      </w:r>
      <w:r>
        <w:rPr>
          <w:rFonts w:eastAsia="Calibri"/>
        </w:rPr>
        <w:t>s’applique aux</w:t>
      </w:r>
      <w:r w:rsidRPr="000A3357">
        <w:rPr>
          <w:rFonts w:eastAsia="Calibri"/>
        </w:rPr>
        <w:t xml:space="preserve"> mesures que les États sont susceptibles d</w:t>
      </w:r>
      <w:r>
        <w:rPr>
          <w:rFonts w:eastAsia="Calibri"/>
        </w:rPr>
        <w:t>’</w:t>
      </w:r>
      <w:r w:rsidRPr="000A3357">
        <w:rPr>
          <w:rFonts w:eastAsia="Calibri"/>
        </w:rPr>
        <w:t xml:space="preserve">adopter pour donner effet aux dispositions conventionnelles au niveau national, </w:t>
      </w:r>
      <w:r>
        <w:rPr>
          <w:rFonts w:eastAsia="Calibri"/>
        </w:rPr>
        <w:t>notamment pour les transposer en</w:t>
      </w:r>
      <w:r w:rsidRPr="000A3357">
        <w:rPr>
          <w:rFonts w:eastAsia="Calibri"/>
        </w:rPr>
        <w:t xml:space="preserve"> droit interne</w:t>
      </w:r>
      <w:r w:rsidRPr="00F22830">
        <w:rPr>
          <w:rStyle w:val="FootnoteReference"/>
        </w:rPr>
        <w:footnoteReference w:id="166"/>
      </w:r>
      <w:r w:rsidRPr="00F22925">
        <w:rPr>
          <w:rFonts w:eastAsia="Calibri"/>
          <w:bCs/>
        </w:rPr>
        <w:t>.</w:t>
      </w:r>
    </w:p>
    <w:p w14:paraId="57EE59A2" w14:textId="77777777" w:rsidR="00D01ECD" w:rsidRDefault="00D01ECD" w:rsidP="00D01ECD">
      <w:pPr>
        <w:spacing w:after="120"/>
        <w:ind w:left="1134" w:right="1134"/>
        <w:jc w:val="both"/>
        <w:rPr>
          <w:rFonts w:eastAsia="SimSun"/>
          <w:lang w:val="fr-FR"/>
        </w:rPr>
      </w:pPr>
      <w:r w:rsidRPr="000A0208">
        <w:rPr>
          <w:rFonts w:eastAsia="SimSun"/>
          <w:lang w:val="fr-FR"/>
        </w:rPr>
        <w:t>2)</w:t>
      </w:r>
      <w:r w:rsidRPr="000A0208">
        <w:rPr>
          <w:rFonts w:eastAsia="SimSun"/>
          <w:lang w:val="fr-FR"/>
        </w:rPr>
        <w:tab/>
      </w:r>
      <w:r w:rsidRPr="001B1F55">
        <w:rPr>
          <w:rFonts w:eastAsia="Calibri"/>
        </w:rPr>
        <w:t>Le</w:t>
      </w:r>
      <w:r>
        <w:rPr>
          <w:rFonts w:eastAsia="Calibri"/>
        </w:rPr>
        <w:t xml:space="preserve">s </w:t>
      </w:r>
      <w:r w:rsidRPr="001B1F55">
        <w:rPr>
          <w:rFonts w:eastAsia="Calibri"/>
        </w:rPr>
        <w:t>deux paragraphes</w:t>
      </w:r>
      <w:r>
        <w:rPr>
          <w:rFonts w:eastAsia="Calibri"/>
        </w:rPr>
        <w:t xml:space="preserve"> du projet de directive</w:t>
      </w:r>
      <w:r w:rsidRPr="001B1F55">
        <w:rPr>
          <w:rFonts w:eastAsia="Calibri"/>
        </w:rPr>
        <w:t xml:space="preserve"> concernent respectivement les obligations existantes au regard du droit international et les recommandations figurant dans le projet de directives</w:t>
      </w:r>
      <w:r w:rsidRPr="00F22925">
        <w:rPr>
          <w:rFonts w:eastAsia="Calibri"/>
        </w:rPr>
        <w:t>.</w:t>
      </w:r>
    </w:p>
    <w:p w14:paraId="6DF177A3" w14:textId="77777777" w:rsidR="00D01ECD" w:rsidRDefault="00D01ECD" w:rsidP="00D01ECD">
      <w:pPr>
        <w:spacing w:after="120"/>
        <w:ind w:left="1134" w:right="1134"/>
        <w:jc w:val="both"/>
        <w:rPr>
          <w:rFonts w:eastAsia="SimSun"/>
          <w:lang w:val="fr-FR"/>
        </w:rPr>
      </w:pPr>
      <w:r w:rsidRPr="000A0208">
        <w:rPr>
          <w:rFonts w:eastAsia="SimSun"/>
          <w:lang w:val="fr-FR"/>
        </w:rPr>
        <w:t>3)</w:t>
      </w:r>
      <w:r w:rsidRPr="000A0208">
        <w:rPr>
          <w:rFonts w:eastAsia="SimSun"/>
          <w:lang w:val="fr-FR"/>
        </w:rPr>
        <w:tab/>
      </w:r>
      <w:r>
        <w:rPr>
          <w:rFonts w:eastAsia="Calibri"/>
        </w:rPr>
        <w:t>Les termes</w:t>
      </w:r>
      <w:r w:rsidRPr="001B1F55">
        <w:rPr>
          <w:rFonts w:eastAsia="Calibri"/>
        </w:rPr>
        <w:t xml:space="preserve"> « mise en œuvre en droit interne » renvoie</w:t>
      </w:r>
      <w:r>
        <w:rPr>
          <w:rFonts w:eastAsia="Calibri"/>
        </w:rPr>
        <w:t>nt</w:t>
      </w:r>
      <w:r w:rsidRPr="001B1F55">
        <w:rPr>
          <w:rFonts w:eastAsia="Calibri"/>
        </w:rPr>
        <w:t xml:space="preserve"> aux mesures que les parties sont susceptibles de prendre</w:t>
      </w:r>
      <w:r>
        <w:rPr>
          <w:rFonts w:eastAsia="Calibri"/>
        </w:rPr>
        <w:t>,</w:t>
      </w:r>
      <w:r w:rsidRPr="001B1F55">
        <w:rPr>
          <w:rFonts w:eastAsia="Calibri"/>
        </w:rPr>
        <w:t xml:space="preserve"> conformément à l</w:t>
      </w:r>
      <w:r>
        <w:rPr>
          <w:rFonts w:eastAsia="Calibri"/>
        </w:rPr>
        <w:t>eur</w:t>
      </w:r>
      <w:r w:rsidRPr="001B1F55">
        <w:rPr>
          <w:rFonts w:eastAsia="Calibri"/>
        </w:rPr>
        <w:t xml:space="preserve"> constitution et </w:t>
      </w:r>
      <w:r>
        <w:rPr>
          <w:rFonts w:eastAsia="Calibri"/>
        </w:rPr>
        <w:t>à leur droit interne,</w:t>
      </w:r>
      <w:r w:rsidRPr="001B1F55">
        <w:rPr>
          <w:rFonts w:eastAsia="Calibri"/>
        </w:rPr>
        <w:t xml:space="preserve"> pour donner effet </w:t>
      </w:r>
      <w:r>
        <w:rPr>
          <w:rFonts w:eastAsia="Calibri"/>
        </w:rPr>
        <w:t>aux</w:t>
      </w:r>
      <w:r w:rsidRPr="001B1F55">
        <w:rPr>
          <w:rFonts w:eastAsia="Calibri"/>
        </w:rPr>
        <w:t xml:space="preserve"> </w:t>
      </w:r>
      <w:r>
        <w:rPr>
          <w:rFonts w:eastAsia="Calibri"/>
        </w:rPr>
        <w:t>obligations internationales</w:t>
      </w:r>
      <w:r w:rsidRPr="001B1F55">
        <w:rPr>
          <w:rFonts w:eastAsia="Calibri"/>
        </w:rPr>
        <w:t xml:space="preserve"> au niveau national</w:t>
      </w:r>
      <w:r w:rsidRPr="00F22830">
        <w:rPr>
          <w:rStyle w:val="FootnoteReference"/>
        </w:rPr>
        <w:footnoteReference w:id="167"/>
      </w:r>
      <w:r w:rsidRPr="00F22925">
        <w:rPr>
          <w:rFonts w:eastAsia="Calibri"/>
        </w:rPr>
        <w:t>.</w:t>
      </w:r>
      <w:r w:rsidRPr="001B1F55">
        <w:rPr>
          <w:rFonts w:eastAsia="Calibri"/>
        </w:rPr>
        <w:t xml:space="preserve"> La mise en œuvre en droit interne peut</w:t>
      </w:r>
      <w:r>
        <w:rPr>
          <w:rFonts w:eastAsia="Calibri"/>
        </w:rPr>
        <w:t xml:space="preserve"> </w:t>
      </w:r>
      <w:r w:rsidRPr="001B1F55">
        <w:rPr>
          <w:rFonts w:eastAsia="Calibri"/>
        </w:rPr>
        <w:t>s</w:t>
      </w:r>
      <w:r>
        <w:rPr>
          <w:rFonts w:eastAsia="Calibri"/>
        </w:rPr>
        <w:t>’</w:t>
      </w:r>
      <w:r w:rsidRPr="001B1F55">
        <w:rPr>
          <w:rFonts w:eastAsia="Calibri"/>
        </w:rPr>
        <w:t xml:space="preserve">accomplir </w:t>
      </w:r>
      <w:r>
        <w:rPr>
          <w:rFonts w:eastAsia="Calibri"/>
        </w:rPr>
        <w:t>de différentes manières</w:t>
      </w:r>
      <w:r w:rsidRPr="001B1F55">
        <w:rPr>
          <w:rFonts w:eastAsia="Calibri"/>
        </w:rPr>
        <w:t>, y compris par « les voies législative, administrative, judiciaire et par d</w:t>
      </w:r>
      <w:r>
        <w:rPr>
          <w:rFonts w:eastAsia="Calibri"/>
        </w:rPr>
        <w:t>’</w:t>
      </w:r>
      <w:r w:rsidRPr="001B1F55">
        <w:rPr>
          <w:rFonts w:eastAsia="Calibri"/>
        </w:rPr>
        <w:t>autres voies »</w:t>
      </w:r>
      <w:r w:rsidRPr="00F22925">
        <w:rPr>
          <w:rFonts w:eastAsia="Calibri"/>
        </w:rPr>
        <w:t>.</w:t>
      </w:r>
      <w:r w:rsidRPr="001B1F55">
        <w:rPr>
          <w:rFonts w:eastAsia="Calibri"/>
        </w:rPr>
        <w:t xml:space="preserve"> La forme verbale « peut » reflète le caractère discrétionnaire de cette disposition</w:t>
      </w:r>
      <w:r w:rsidRPr="00F22925">
        <w:rPr>
          <w:rFonts w:eastAsia="Calibri"/>
        </w:rPr>
        <w:t>.</w:t>
      </w:r>
      <w:r w:rsidRPr="001B1F55">
        <w:rPr>
          <w:rFonts w:eastAsia="Calibri"/>
        </w:rPr>
        <w:t xml:space="preserve"> L</w:t>
      </w:r>
      <w:r>
        <w:rPr>
          <w:rFonts w:eastAsia="Calibri"/>
        </w:rPr>
        <w:t>’expression</w:t>
      </w:r>
      <w:r w:rsidRPr="001B1F55">
        <w:rPr>
          <w:rFonts w:eastAsia="Calibri"/>
        </w:rPr>
        <w:t xml:space="preserve"> « voie administrative » </w:t>
      </w:r>
      <w:r>
        <w:rPr>
          <w:rFonts w:eastAsia="Calibri"/>
        </w:rPr>
        <w:t>a été préférée à</w:t>
      </w:r>
      <w:r w:rsidRPr="001B1F55">
        <w:rPr>
          <w:rFonts w:eastAsia="Calibri"/>
        </w:rPr>
        <w:t xml:space="preserve"> « voie exécutive », parce qu</w:t>
      </w:r>
      <w:r>
        <w:rPr>
          <w:rFonts w:eastAsia="Calibri"/>
        </w:rPr>
        <w:t>’</w:t>
      </w:r>
      <w:r w:rsidRPr="001B1F55">
        <w:rPr>
          <w:rFonts w:eastAsia="Calibri"/>
        </w:rPr>
        <w:t xml:space="preserve">elle </w:t>
      </w:r>
      <w:r>
        <w:rPr>
          <w:rFonts w:eastAsia="Calibri"/>
        </w:rPr>
        <w:t>a une portée</w:t>
      </w:r>
      <w:r w:rsidRPr="001B1F55">
        <w:rPr>
          <w:rFonts w:eastAsia="Calibri"/>
        </w:rPr>
        <w:t xml:space="preserve"> plus large</w:t>
      </w:r>
      <w:r>
        <w:rPr>
          <w:rFonts w:eastAsia="Calibri"/>
        </w:rPr>
        <w:t>, recouvrant</w:t>
      </w:r>
      <w:r w:rsidRPr="001B1F55">
        <w:rPr>
          <w:rFonts w:eastAsia="Calibri"/>
        </w:rPr>
        <w:t xml:space="preserve"> la possibilité d</w:t>
      </w:r>
      <w:r>
        <w:rPr>
          <w:rFonts w:eastAsia="Calibri"/>
        </w:rPr>
        <w:t>’</w:t>
      </w:r>
      <w:r w:rsidRPr="001B1F55">
        <w:rPr>
          <w:rFonts w:eastAsia="Calibri"/>
        </w:rPr>
        <w:t>une mise en œuvre à des niveaux inférieurs de l</w:t>
      </w:r>
      <w:r>
        <w:rPr>
          <w:rFonts w:eastAsia="Calibri"/>
        </w:rPr>
        <w:t>’</w:t>
      </w:r>
      <w:r w:rsidRPr="001B1F55">
        <w:rPr>
          <w:rFonts w:eastAsia="Calibri"/>
        </w:rPr>
        <w:t>administration de l</w:t>
      </w:r>
      <w:r>
        <w:rPr>
          <w:rFonts w:eastAsia="Calibri"/>
        </w:rPr>
        <w:t>’</w:t>
      </w:r>
      <w:r w:rsidRPr="001B1F55">
        <w:rPr>
          <w:rFonts w:eastAsia="Calibri"/>
        </w:rPr>
        <w:t>État</w:t>
      </w:r>
      <w:r w:rsidRPr="00F22925">
        <w:rPr>
          <w:rFonts w:eastAsia="Calibri"/>
        </w:rPr>
        <w:t>.</w:t>
      </w:r>
      <w:r>
        <w:rPr>
          <w:rFonts w:eastAsia="Calibri"/>
        </w:rPr>
        <w:t xml:space="preserve"> Les termes</w:t>
      </w:r>
      <w:r w:rsidRPr="001B1F55">
        <w:rPr>
          <w:rFonts w:eastAsia="Calibri"/>
        </w:rPr>
        <w:t xml:space="preserve"> « d</w:t>
      </w:r>
      <w:r>
        <w:rPr>
          <w:rFonts w:eastAsia="Calibri"/>
        </w:rPr>
        <w:t>’</w:t>
      </w:r>
      <w:r w:rsidRPr="001B1F55">
        <w:rPr>
          <w:rFonts w:eastAsia="Calibri"/>
        </w:rPr>
        <w:t xml:space="preserve">autres voies » </w:t>
      </w:r>
      <w:r>
        <w:rPr>
          <w:rFonts w:eastAsia="Calibri"/>
        </w:rPr>
        <w:t>englobent</w:t>
      </w:r>
      <w:r w:rsidRPr="001B1F55">
        <w:rPr>
          <w:rFonts w:eastAsia="Calibri"/>
        </w:rPr>
        <w:t xml:space="preserve"> toutes les autres </w:t>
      </w:r>
      <w:r>
        <w:rPr>
          <w:rFonts w:eastAsia="Calibri"/>
        </w:rPr>
        <w:t>formes</w:t>
      </w:r>
      <w:r w:rsidRPr="001B1F55">
        <w:rPr>
          <w:rFonts w:eastAsia="Calibri"/>
        </w:rPr>
        <w:t xml:space="preserve"> de mise en œuvre en droit interne</w:t>
      </w:r>
      <w:r w:rsidRPr="00F22925">
        <w:rPr>
          <w:rFonts w:eastAsia="Calibri"/>
        </w:rPr>
        <w:t>.</w:t>
      </w:r>
      <w:r w:rsidRPr="001B1F55">
        <w:rPr>
          <w:rFonts w:eastAsia="Calibri"/>
        </w:rPr>
        <w:t xml:space="preserve"> L</w:t>
      </w:r>
      <w:r>
        <w:rPr>
          <w:rFonts w:eastAsia="Calibri"/>
        </w:rPr>
        <w:t>es termes</w:t>
      </w:r>
      <w:r w:rsidRPr="001B1F55">
        <w:rPr>
          <w:rFonts w:eastAsia="Calibri"/>
        </w:rPr>
        <w:t xml:space="preserve"> « mise en œuvre en droit interne »</w:t>
      </w:r>
      <w:r>
        <w:rPr>
          <w:rFonts w:eastAsia="Calibri"/>
        </w:rPr>
        <w:t xml:space="preserve"> concernent</w:t>
      </w:r>
      <w:r w:rsidRPr="001B1F55">
        <w:rPr>
          <w:rFonts w:eastAsia="Calibri"/>
        </w:rPr>
        <w:t xml:space="preserve"> aussi </w:t>
      </w:r>
      <w:r>
        <w:rPr>
          <w:rFonts w:eastAsia="Calibri"/>
        </w:rPr>
        <w:t>les</w:t>
      </w:r>
      <w:r w:rsidRPr="001B1F55">
        <w:rPr>
          <w:rFonts w:eastAsia="Calibri"/>
        </w:rPr>
        <w:t xml:space="preserve"> obligations faites à des organisations régionales telles que l</w:t>
      </w:r>
      <w:r>
        <w:rPr>
          <w:rFonts w:eastAsia="Calibri"/>
        </w:rPr>
        <w:t>’</w:t>
      </w:r>
      <w:r w:rsidRPr="001B1F55">
        <w:rPr>
          <w:rFonts w:eastAsia="Calibri"/>
        </w:rPr>
        <w:t>Union européenne</w:t>
      </w:r>
      <w:r w:rsidRPr="00F22830">
        <w:rPr>
          <w:rStyle w:val="FootnoteReference"/>
        </w:rPr>
        <w:footnoteReference w:id="168"/>
      </w:r>
      <w:r w:rsidRPr="00F22925">
        <w:rPr>
          <w:rFonts w:eastAsia="Calibri"/>
        </w:rPr>
        <w:t>.</w:t>
      </w:r>
    </w:p>
    <w:p w14:paraId="6387959C" w14:textId="77777777" w:rsidR="00D01ECD" w:rsidRDefault="00D01ECD" w:rsidP="00D01ECD">
      <w:pPr>
        <w:spacing w:after="120"/>
        <w:ind w:left="1134" w:right="1134"/>
        <w:jc w:val="both"/>
        <w:rPr>
          <w:rFonts w:eastAsia="SimSun"/>
          <w:lang w:val="fr-FR"/>
        </w:rPr>
      </w:pPr>
      <w:r w:rsidRPr="000A0208">
        <w:rPr>
          <w:rFonts w:eastAsia="SimSun"/>
          <w:lang w:val="fr-FR"/>
        </w:rPr>
        <w:t>4)</w:t>
      </w:r>
      <w:r w:rsidRPr="000A0208">
        <w:rPr>
          <w:rFonts w:eastAsia="SimSun"/>
          <w:lang w:val="fr-FR"/>
        </w:rPr>
        <w:tab/>
      </w:r>
      <w:r w:rsidRPr="001B1F55">
        <w:rPr>
          <w:rFonts w:eastAsia="Calibri"/>
        </w:rPr>
        <w:t>Le terme « obligations » employé au paragraphe 1 renvoie</w:t>
      </w:r>
      <w:r>
        <w:rPr>
          <w:rFonts w:eastAsia="Calibri"/>
        </w:rPr>
        <w:t xml:space="preserve"> non</w:t>
      </w:r>
      <w:r w:rsidRPr="001B1F55">
        <w:rPr>
          <w:rFonts w:eastAsia="Calibri"/>
        </w:rPr>
        <w:t xml:space="preserve"> pas à de nouvelles obligations </w:t>
      </w:r>
      <w:r>
        <w:rPr>
          <w:rFonts w:eastAsia="Calibri"/>
        </w:rPr>
        <w:t xml:space="preserve">incombant aux </w:t>
      </w:r>
      <w:r w:rsidRPr="001B1F55">
        <w:rPr>
          <w:rFonts w:eastAsia="Calibri"/>
        </w:rPr>
        <w:t>États</w:t>
      </w:r>
      <w:r>
        <w:rPr>
          <w:rFonts w:eastAsia="Calibri"/>
        </w:rPr>
        <w:t>,</w:t>
      </w:r>
      <w:r w:rsidRPr="001B1F55">
        <w:rPr>
          <w:rFonts w:eastAsia="Calibri"/>
        </w:rPr>
        <w:t xml:space="preserve"> mais aux obligations </w:t>
      </w:r>
      <w:r>
        <w:rPr>
          <w:rFonts w:eastAsia="Calibri"/>
        </w:rPr>
        <w:t xml:space="preserve">que le </w:t>
      </w:r>
      <w:r w:rsidRPr="001B1F55">
        <w:rPr>
          <w:rFonts w:eastAsia="Calibri"/>
        </w:rPr>
        <w:t>droit international</w:t>
      </w:r>
      <w:r>
        <w:rPr>
          <w:rFonts w:eastAsia="Calibri"/>
        </w:rPr>
        <w:t xml:space="preserve"> fait déjà à ceux</w:t>
      </w:r>
      <w:r>
        <w:rPr>
          <w:rFonts w:eastAsia="Calibri"/>
        </w:rPr>
        <w:noBreakHyphen/>
        <w:t>ci</w:t>
      </w:r>
      <w:r w:rsidRPr="00F22925">
        <w:rPr>
          <w:rFonts w:eastAsia="Calibri"/>
        </w:rPr>
        <w:t>.</w:t>
      </w:r>
      <w:r w:rsidRPr="001B1F55">
        <w:rPr>
          <w:rFonts w:eastAsia="Calibri"/>
        </w:rPr>
        <w:t xml:space="preserve"> C</w:t>
      </w:r>
      <w:r>
        <w:rPr>
          <w:rFonts w:eastAsia="Calibri"/>
        </w:rPr>
        <w:t>’</w:t>
      </w:r>
      <w:r w:rsidRPr="001B1F55">
        <w:rPr>
          <w:rFonts w:eastAsia="Calibri"/>
        </w:rPr>
        <w:t xml:space="preserve">est pourquoi le membre de phrase « y compris [les obligations] énoncées dans le présent projet de directives » a été retenu, </w:t>
      </w:r>
      <w:r>
        <w:rPr>
          <w:rFonts w:eastAsia="Calibri"/>
        </w:rPr>
        <w:t>la formule</w:t>
      </w:r>
      <w:r w:rsidRPr="001B1F55">
        <w:rPr>
          <w:rFonts w:eastAsia="Calibri"/>
        </w:rPr>
        <w:t xml:space="preserve"> « énoncées dans » visant à souligner que le projet de directives</w:t>
      </w:r>
      <w:r>
        <w:rPr>
          <w:rFonts w:eastAsia="Calibri"/>
        </w:rPr>
        <w:t xml:space="preserve"> </w:t>
      </w:r>
      <w:r w:rsidRPr="001B1F55">
        <w:rPr>
          <w:rFonts w:eastAsia="Calibri"/>
        </w:rPr>
        <w:t xml:space="preserve">ne crée pas </w:t>
      </w:r>
      <w:r>
        <w:rPr>
          <w:rFonts w:eastAsia="Calibri"/>
        </w:rPr>
        <w:t xml:space="preserve">en soi </w:t>
      </w:r>
      <w:r w:rsidRPr="001B1F55">
        <w:rPr>
          <w:rFonts w:eastAsia="Calibri"/>
        </w:rPr>
        <w:t xml:space="preserve">de nouvelles obligations et ne </w:t>
      </w:r>
      <w:r>
        <w:rPr>
          <w:rFonts w:eastAsia="Calibri"/>
        </w:rPr>
        <w:t>traite pas</w:t>
      </w:r>
      <w:r w:rsidRPr="001B1F55">
        <w:rPr>
          <w:rFonts w:eastAsia="Calibri"/>
        </w:rPr>
        <w:t xml:space="preserve"> de manière exhaustive des différents aspects du sujet</w:t>
      </w:r>
      <w:r w:rsidRPr="00F22925">
        <w:rPr>
          <w:rFonts w:eastAsia="Calibri"/>
        </w:rPr>
        <w:t>.</w:t>
      </w:r>
    </w:p>
    <w:p w14:paraId="63836300" w14:textId="77777777" w:rsidR="00D01ECD" w:rsidRDefault="00D01ECD" w:rsidP="00D01ECD">
      <w:pPr>
        <w:spacing w:after="120"/>
        <w:ind w:left="1134" w:right="1134"/>
        <w:jc w:val="both"/>
        <w:rPr>
          <w:rFonts w:eastAsia="SimSun"/>
          <w:lang w:val="fr-FR"/>
        </w:rPr>
      </w:pPr>
      <w:r w:rsidRPr="000A0208">
        <w:rPr>
          <w:rFonts w:eastAsia="SimSun"/>
          <w:lang w:val="fr-FR"/>
        </w:rPr>
        <w:t>5)</w:t>
      </w:r>
      <w:r w:rsidRPr="000A0208">
        <w:rPr>
          <w:rFonts w:eastAsia="SimSun"/>
          <w:lang w:val="fr-FR"/>
        </w:rPr>
        <w:tab/>
      </w:r>
      <w:r>
        <w:rPr>
          <w:rFonts w:eastAsia="SimSun"/>
          <w:lang w:val="fr-FR"/>
        </w:rPr>
        <w:t xml:space="preserve">Les projets de directive renvoient aux obligations relatives à la protection de l’atmosphère contre la pollution et la dégradation atmosphériques que le droit international met à la charge des États, à savoir l’obligation de protéger l’atmosphère </w:t>
      </w:r>
      <w:r w:rsidRPr="008D5B81">
        <w:rPr>
          <w:rFonts w:eastAsia="Calibri"/>
          <w:bCs/>
        </w:rPr>
        <w:t>(projet de directive 3), l</w:t>
      </w:r>
      <w:r>
        <w:rPr>
          <w:rFonts w:eastAsia="Calibri"/>
          <w:bCs/>
        </w:rPr>
        <w:t>’</w:t>
      </w:r>
      <w:r w:rsidRPr="008D5B81">
        <w:rPr>
          <w:rFonts w:eastAsia="Calibri"/>
          <w:bCs/>
        </w:rPr>
        <w:t>obligation de procéder à une évaluation de l</w:t>
      </w:r>
      <w:r>
        <w:rPr>
          <w:rFonts w:eastAsia="Calibri"/>
          <w:bCs/>
        </w:rPr>
        <w:t>’</w:t>
      </w:r>
      <w:r w:rsidRPr="008D5B81">
        <w:rPr>
          <w:rFonts w:eastAsia="Calibri"/>
          <w:bCs/>
        </w:rPr>
        <w:t>impact sur l</w:t>
      </w:r>
      <w:r>
        <w:rPr>
          <w:rFonts w:eastAsia="Calibri"/>
          <w:bCs/>
        </w:rPr>
        <w:t>’</w:t>
      </w:r>
      <w:r w:rsidRPr="008D5B81">
        <w:rPr>
          <w:rFonts w:eastAsia="Calibri"/>
          <w:bCs/>
        </w:rPr>
        <w:t>environnement (projet de directive 4) et l</w:t>
      </w:r>
      <w:r>
        <w:rPr>
          <w:rFonts w:eastAsia="Calibri"/>
          <w:bCs/>
        </w:rPr>
        <w:t>’</w:t>
      </w:r>
      <w:r w:rsidRPr="008D5B81">
        <w:rPr>
          <w:rFonts w:eastAsia="Calibri"/>
          <w:bCs/>
        </w:rPr>
        <w:t>obligation de coopérer (projet de directive 8)</w:t>
      </w:r>
      <w:r w:rsidRPr="00F22830">
        <w:rPr>
          <w:rStyle w:val="FootnoteReference"/>
        </w:rPr>
        <w:footnoteReference w:id="169"/>
      </w:r>
      <w:r w:rsidRPr="00F22925">
        <w:rPr>
          <w:rFonts w:eastAsia="Calibri"/>
          <w:bCs/>
        </w:rPr>
        <w:t>.</w:t>
      </w:r>
      <w:r w:rsidRPr="008D5B81">
        <w:rPr>
          <w:rFonts w:eastAsia="Calibri"/>
          <w:bCs/>
        </w:rPr>
        <w:t xml:space="preserve"> Ces obligations </w:t>
      </w:r>
      <w:r>
        <w:rPr>
          <w:rFonts w:eastAsia="Calibri"/>
          <w:bCs/>
        </w:rPr>
        <w:t>étant imposées</w:t>
      </w:r>
      <w:r w:rsidRPr="008D5B81">
        <w:rPr>
          <w:rFonts w:eastAsia="Calibri"/>
          <w:bCs/>
        </w:rPr>
        <w:t xml:space="preserve"> aux États, il est </w:t>
      </w:r>
      <w:r>
        <w:rPr>
          <w:rFonts w:eastAsia="Calibri"/>
          <w:bCs/>
        </w:rPr>
        <w:t>clair</w:t>
      </w:r>
      <w:r w:rsidRPr="008D5B81">
        <w:rPr>
          <w:rFonts w:eastAsia="Calibri"/>
          <w:bCs/>
        </w:rPr>
        <w:t xml:space="preserve"> qu</w:t>
      </w:r>
      <w:r>
        <w:rPr>
          <w:rFonts w:eastAsia="Calibri"/>
          <w:bCs/>
        </w:rPr>
        <w:t>’</w:t>
      </w:r>
      <w:r w:rsidRPr="008D5B81">
        <w:rPr>
          <w:rFonts w:eastAsia="Calibri"/>
          <w:bCs/>
        </w:rPr>
        <w:t xml:space="preserve">elles </w:t>
      </w:r>
      <w:r>
        <w:rPr>
          <w:rFonts w:eastAsia="Calibri"/>
          <w:bCs/>
        </w:rPr>
        <w:t xml:space="preserve">doivent être </w:t>
      </w:r>
      <w:r w:rsidRPr="008D5B81">
        <w:rPr>
          <w:rFonts w:eastAsia="Calibri"/>
          <w:bCs/>
        </w:rPr>
        <w:t>fidèlement mises en œuvre</w:t>
      </w:r>
      <w:r w:rsidRPr="00F22925">
        <w:rPr>
          <w:rFonts w:eastAsia="Calibri"/>
          <w:bCs/>
        </w:rPr>
        <w:t>.</w:t>
      </w:r>
      <w:r>
        <w:rPr>
          <w:rFonts w:eastAsia="Calibri"/>
          <w:bCs/>
        </w:rPr>
        <w:t xml:space="preserve"> </w:t>
      </w:r>
    </w:p>
    <w:p w14:paraId="4279F554" w14:textId="77777777" w:rsidR="00D01ECD" w:rsidRDefault="00D01ECD" w:rsidP="00D01ECD">
      <w:pPr>
        <w:spacing w:after="120"/>
        <w:ind w:left="1134" w:right="1134"/>
        <w:jc w:val="both"/>
        <w:rPr>
          <w:rFonts w:eastAsia="SimSun"/>
          <w:lang w:val="fr-FR"/>
        </w:rPr>
      </w:pPr>
      <w:r w:rsidRPr="000A0208">
        <w:rPr>
          <w:rFonts w:eastAsia="SimSun"/>
          <w:lang w:val="fr-FR"/>
        </w:rPr>
        <w:lastRenderedPageBreak/>
        <w:t>6)</w:t>
      </w:r>
      <w:r w:rsidRPr="000A0208">
        <w:rPr>
          <w:rFonts w:eastAsia="SimSun"/>
          <w:lang w:val="fr-FR"/>
        </w:rPr>
        <w:tab/>
      </w:r>
      <w:r w:rsidRPr="008D5B81">
        <w:rPr>
          <w:rFonts w:eastAsia="Calibri"/>
        </w:rPr>
        <w:t xml:space="preserve">La référence aux « recommandations formulées dans le présent projet de directives », au paragraphe 2, vise à distinguer </w:t>
      </w:r>
      <w:r>
        <w:rPr>
          <w:rFonts w:eastAsia="Calibri"/>
        </w:rPr>
        <w:t>ces</w:t>
      </w:r>
      <w:r w:rsidRPr="008D5B81">
        <w:rPr>
          <w:rFonts w:eastAsia="Calibri"/>
        </w:rPr>
        <w:t xml:space="preserve"> recommandations des obligations visées au paragraphe 1</w:t>
      </w:r>
      <w:r w:rsidRPr="00F22925">
        <w:rPr>
          <w:rFonts w:eastAsia="Calibri"/>
        </w:rPr>
        <w:t>.</w:t>
      </w:r>
      <w:r w:rsidRPr="008D5B81">
        <w:rPr>
          <w:rFonts w:eastAsia="Calibri"/>
        </w:rPr>
        <w:t xml:space="preserve"> Le terme « recommandations »</w:t>
      </w:r>
      <w:r>
        <w:rPr>
          <w:rFonts w:eastAsia="Calibri"/>
        </w:rPr>
        <w:t xml:space="preserve"> </w:t>
      </w:r>
      <w:r w:rsidRPr="008D5B81">
        <w:rPr>
          <w:rFonts w:eastAsia="Calibri"/>
        </w:rPr>
        <w:t xml:space="preserve">a été jugé approprié </w:t>
      </w:r>
      <w:r>
        <w:rPr>
          <w:rFonts w:eastAsia="Calibri"/>
        </w:rPr>
        <w:t>parce</w:t>
      </w:r>
      <w:r w:rsidRPr="008D5B81">
        <w:rPr>
          <w:rFonts w:eastAsia="Calibri"/>
        </w:rPr>
        <w:t xml:space="preserve"> qu</w:t>
      </w:r>
      <w:r>
        <w:rPr>
          <w:rFonts w:eastAsia="Calibri"/>
        </w:rPr>
        <w:t>’</w:t>
      </w:r>
      <w:r w:rsidRPr="008D5B81">
        <w:rPr>
          <w:rFonts w:eastAsia="Calibri"/>
        </w:rPr>
        <w:t xml:space="preserve">il </w:t>
      </w:r>
      <w:r>
        <w:rPr>
          <w:rFonts w:eastAsia="Calibri"/>
        </w:rPr>
        <w:t xml:space="preserve">était </w:t>
      </w:r>
      <w:r w:rsidRPr="008D5B81">
        <w:rPr>
          <w:rFonts w:eastAsia="Calibri"/>
        </w:rPr>
        <w:t xml:space="preserve">cohérent avec </w:t>
      </w:r>
      <w:r>
        <w:rPr>
          <w:rFonts w:eastAsia="Calibri"/>
        </w:rPr>
        <w:t>le fait que, dans le texte anglais des</w:t>
      </w:r>
      <w:r w:rsidRPr="008D5B81">
        <w:rPr>
          <w:rFonts w:eastAsia="Calibri"/>
        </w:rPr>
        <w:t xml:space="preserve"> projets de directive, </w:t>
      </w:r>
      <w:r>
        <w:rPr>
          <w:rFonts w:eastAsia="Calibri"/>
        </w:rPr>
        <w:t xml:space="preserve">c’est </w:t>
      </w:r>
      <w:r w:rsidRPr="008D5B81">
        <w:rPr>
          <w:rFonts w:eastAsia="Calibri"/>
        </w:rPr>
        <w:t>l</w:t>
      </w:r>
      <w:r>
        <w:rPr>
          <w:rFonts w:eastAsia="Calibri"/>
        </w:rPr>
        <w:t>’</w:t>
      </w:r>
      <w:r w:rsidRPr="008D5B81">
        <w:rPr>
          <w:rFonts w:eastAsia="Calibri"/>
        </w:rPr>
        <w:t>auxiliaire « </w:t>
      </w:r>
      <w:proofErr w:type="spellStart"/>
      <w:r w:rsidRPr="005C19C3">
        <w:rPr>
          <w:rFonts w:eastAsia="Calibri"/>
          <w:i/>
          <w:iCs/>
        </w:rPr>
        <w:t>should</w:t>
      </w:r>
      <w:proofErr w:type="spellEnd"/>
      <w:r w:rsidRPr="008D5B81">
        <w:rPr>
          <w:rFonts w:eastAsia="Calibri"/>
        </w:rPr>
        <w:t xml:space="preserve"> » (devrait/devraient/il convient de) </w:t>
      </w:r>
      <w:r>
        <w:rPr>
          <w:rFonts w:eastAsia="Calibri"/>
        </w:rPr>
        <w:t xml:space="preserve">qui </w:t>
      </w:r>
      <w:r w:rsidRPr="008D5B81">
        <w:rPr>
          <w:rFonts w:eastAsia="Calibri"/>
        </w:rPr>
        <w:t>est utilisé</w:t>
      </w:r>
      <w:r w:rsidRPr="00F22830">
        <w:rPr>
          <w:rStyle w:val="FootnoteReference"/>
        </w:rPr>
        <w:footnoteReference w:id="170"/>
      </w:r>
      <w:r w:rsidRPr="00F22925">
        <w:rPr>
          <w:rFonts w:eastAsia="Calibri"/>
        </w:rPr>
        <w:t>.</w:t>
      </w:r>
      <w:r w:rsidRPr="008D5B81">
        <w:rPr>
          <w:rFonts w:eastAsia="Calibri"/>
        </w:rPr>
        <w:t xml:space="preserve"> Ce choix est sans préjudice de tout contenu normatif qu</w:t>
      </w:r>
      <w:r>
        <w:rPr>
          <w:rFonts w:eastAsia="Calibri"/>
        </w:rPr>
        <w:t>’</w:t>
      </w:r>
      <w:r w:rsidRPr="008D5B81">
        <w:rPr>
          <w:rFonts w:eastAsia="Calibri"/>
        </w:rPr>
        <w:t>ont les projets de directive en droit international</w:t>
      </w:r>
      <w:r w:rsidRPr="00F22925">
        <w:rPr>
          <w:rFonts w:eastAsia="Calibri"/>
        </w:rPr>
        <w:t>.</w:t>
      </w:r>
      <w:r w:rsidRPr="008D5B81">
        <w:rPr>
          <w:rFonts w:eastAsia="Calibri"/>
        </w:rPr>
        <w:t xml:space="preserve"> Le paragraphe 2 dispose que les États devraient s</w:t>
      </w:r>
      <w:r>
        <w:rPr>
          <w:rFonts w:eastAsia="Calibri"/>
        </w:rPr>
        <w:t>’</w:t>
      </w:r>
      <w:r w:rsidRPr="008D5B81">
        <w:rPr>
          <w:rFonts w:eastAsia="Calibri"/>
        </w:rPr>
        <w:t xml:space="preserve">efforcer </w:t>
      </w:r>
      <w:r>
        <w:rPr>
          <w:rFonts w:eastAsia="Calibri"/>
        </w:rPr>
        <w:t xml:space="preserve">de suivre les pratiques recommandées </w:t>
      </w:r>
      <w:r w:rsidRPr="008D5B81">
        <w:rPr>
          <w:rFonts w:eastAsia="Calibri"/>
        </w:rPr>
        <w:t>dans le projet de directives</w:t>
      </w:r>
      <w:r w:rsidRPr="00F22925">
        <w:rPr>
          <w:rFonts w:eastAsia="Calibri"/>
        </w:rPr>
        <w:t>.</w:t>
      </w:r>
    </w:p>
    <w:p w14:paraId="5BC57ACB" w14:textId="77777777" w:rsidR="00D01ECD" w:rsidRDefault="00D01ECD" w:rsidP="00D01ECD">
      <w:pPr>
        <w:spacing w:after="120"/>
        <w:ind w:left="1134" w:right="1134"/>
        <w:jc w:val="both"/>
        <w:rPr>
          <w:rFonts w:eastAsia="SimSun"/>
          <w:lang w:val="fr-FR"/>
        </w:rPr>
      </w:pPr>
      <w:r w:rsidRPr="000A0208">
        <w:rPr>
          <w:rFonts w:eastAsia="SimSun"/>
          <w:lang w:val="fr-FR"/>
        </w:rPr>
        <w:t>7)</w:t>
      </w:r>
      <w:r w:rsidRPr="000A0208">
        <w:rPr>
          <w:rFonts w:eastAsia="SimSun"/>
          <w:lang w:val="fr-FR"/>
        </w:rPr>
        <w:tab/>
      </w:r>
      <w:r w:rsidRPr="003821FD">
        <w:rPr>
          <w:rFonts w:eastAsia="Calibri"/>
        </w:rPr>
        <w:t xml:space="preserve">De </w:t>
      </w:r>
      <w:r>
        <w:rPr>
          <w:rFonts w:eastAsia="Calibri"/>
        </w:rPr>
        <w:t>surcroît</w:t>
      </w:r>
      <w:r w:rsidRPr="003821FD">
        <w:rPr>
          <w:rFonts w:eastAsia="Calibri"/>
        </w:rPr>
        <w:t>, même si les États ont parfois recours à l</w:t>
      </w:r>
      <w:r>
        <w:rPr>
          <w:rFonts w:eastAsia="Calibri"/>
        </w:rPr>
        <w:t>’</w:t>
      </w:r>
      <w:r w:rsidRPr="003821FD">
        <w:rPr>
          <w:rFonts w:eastAsia="Calibri"/>
        </w:rPr>
        <w:t xml:space="preserve">application extraterritoriale du droit interne dans la mesure où elle </w:t>
      </w:r>
      <w:r>
        <w:rPr>
          <w:rFonts w:eastAsia="Calibri"/>
        </w:rPr>
        <w:t>est</w:t>
      </w:r>
      <w:r w:rsidRPr="003821FD">
        <w:rPr>
          <w:rFonts w:eastAsia="Calibri"/>
        </w:rPr>
        <w:t xml:space="preserve"> autorisée en droit international</w:t>
      </w:r>
      <w:r w:rsidRPr="00F22830">
        <w:rPr>
          <w:rStyle w:val="FootnoteReference"/>
        </w:rPr>
        <w:footnoteReference w:id="171"/>
      </w:r>
      <w:r w:rsidRPr="003821FD">
        <w:rPr>
          <w:rFonts w:eastAsia="Calibri"/>
        </w:rPr>
        <w:t xml:space="preserve">, </w:t>
      </w:r>
      <w:r>
        <w:rPr>
          <w:rFonts w:eastAsia="Calibri"/>
        </w:rPr>
        <w:t xml:space="preserve">il n’a pas été </w:t>
      </w:r>
      <w:r w:rsidRPr="003821FD">
        <w:rPr>
          <w:rFonts w:eastAsia="Calibri"/>
        </w:rPr>
        <w:t>jugé nécessaire d</w:t>
      </w:r>
      <w:r>
        <w:rPr>
          <w:rFonts w:eastAsia="Calibri"/>
        </w:rPr>
        <w:t>’</w:t>
      </w:r>
      <w:r w:rsidRPr="003821FD">
        <w:rPr>
          <w:rFonts w:eastAsia="Calibri"/>
        </w:rPr>
        <w:t>aborder la question aux fins du présent projet de directives</w:t>
      </w:r>
      <w:r w:rsidRPr="00F22830">
        <w:rPr>
          <w:rStyle w:val="FootnoteReference"/>
        </w:rPr>
        <w:footnoteReference w:id="172"/>
      </w:r>
      <w:r w:rsidRPr="00F22925">
        <w:rPr>
          <w:rFonts w:eastAsia="Calibri"/>
        </w:rPr>
        <w:t>.</w:t>
      </w:r>
      <w:r w:rsidRPr="003821FD">
        <w:rPr>
          <w:rFonts w:eastAsia="Calibri"/>
        </w:rPr>
        <w:t xml:space="preserve"> </w:t>
      </w:r>
      <w:r>
        <w:rPr>
          <w:rFonts w:eastAsia="Calibri"/>
        </w:rPr>
        <w:t>Il a été</w:t>
      </w:r>
      <w:r w:rsidRPr="003821FD">
        <w:rPr>
          <w:rFonts w:eastAsia="Calibri"/>
        </w:rPr>
        <w:t xml:space="preserve"> considéré que l</w:t>
      </w:r>
      <w:r>
        <w:rPr>
          <w:rFonts w:eastAsia="Calibri"/>
        </w:rPr>
        <w:t>’</w:t>
      </w:r>
      <w:r w:rsidRPr="003821FD">
        <w:rPr>
          <w:rFonts w:eastAsia="Calibri"/>
        </w:rPr>
        <w:t xml:space="preserve">application extraterritoriale du droit interne par un État </w:t>
      </w:r>
      <w:r>
        <w:rPr>
          <w:rFonts w:eastAsia="Calibri"/>
        </w:rPr>
        <w:t xml:space="preserve">donné </w:t>
      </w:r>
      <w:r w:rsidRPr="003821FD">
        <w:rPr>
          <w:rFonts w:eastAsia="Calibri"/>
        </w:rPr>
        <w:t xml:space="preserve">soulevait </w:t>
      </w:r>
      <w:r>
        <w:rPr>
          <w:rFonts w:eastAsia="Calibri"/>
        </w:rPr>
        <w:t>diverses</w:t>
      </w:r>
      <w:r w:rsidRPr="003821FD">
        <w:rPr>
          <w:rFonts w:eastAsia="Calibri"/>
        </w:rPr>
        <w:t xml:space="preserve"> questions complexes</w:t>
      </w:r>
      <w:r>
        <w:rPr>
          <w:rFonts w:eastAsia="Calibri"/>
        </w:rPr>
        <w:t xml:space="preserve"> lourdes de</w:t>
      </w:r>
      <w:r w:rsidRPr="003821FD">
        <w:rPr>
          <w:rFonts w:eastAsia="Calibri"/>
        </w:rPr>
        <w:t xml:space="preserve"> conséquences </w:t>
      </w:r>
      <w:r>
        <w:rPr>
          <w:rFonts w:eastAsia="Calibri"/>
        </w:rPr>
        <w:t>sur</w:t>
      </w:r>
      <w:r w:rsidRPr="003821FD">
        <w:rPr>
          <w:rFonts w:eastAsia="Calibri"/>
        </w:rPr>
        <w:t xml:space="preserve"> les autres États et </w:t>
      </w:r>
      <w:r>
        <w:rPr>
          <w:rFonts w:eastAsia="Calibri"/>
        </w:rPr>
        <w:t>sur les</w:t>
      </w:r>
      <w:r w:rsidRPr="003821FD">
        <w:rPr>
          <w:rFonts w:eastAsia="Calibri"/>
        </w:rPr>
        <w:t xml:space="preserve"> relations </w:t>
      </w:r>
      <w:r>
        <w:rPr>
          <w:rFonts w:eastAsia="Calibri"/>
        </w:rPr>
        <w:t>interétatiques</w:t>
      </w:r>
      <w:r w:rsidRPr="00F22925">
        <w:rPr>
          <w:rFonts w:eastAsia="Calibri"/>
        </w:rPr>
        <w:t>.</w:t>
      </w:r>
    </w:p>
    <w:p w14:paraId="4204B170" w14:textId="77777777" w:rsidR="00D01ECD" w:rsidRPr="000A0208" w:rsidRDefault="00D01ECD" w:rsidP="00D01ECD">
      <w:pPr>
        <w:pStyle w:val="H23G"/>
        <w:ind w:left="1701" w:hanging="1701"/>
        <w:rPr>
          <w:lang w:val="fr-FR"/>
        </w:rPr>
      </w:pPr>
      <w:r>
        <w:rPr>
          <w:lang w:val="fr-FR"/>
        </w:rPr>
        <w:tab/>
      </w:r>
      <w:r>
        <w:rPr>
          <w:lang w:val="fr-FR"/>
        </w:rPr>
        <w:tab/>
      </w:r>
      <w:r>
        <w:rPr>
          <w:lang w:val="fr-FR"/>
        </w:rPr>
        <w:tab/>
        <w:t>Directiv</w:t>
      </w:r>
      <w:r w:rsidRPr="000A0208">
        <w:rPr>
          <w:lang w:val="fr-FR"/>
        </w:rPr>
        <w:t>e 11</w:t>
      </w:r>
      <w:r w:rsidRPr="000A0208">
        <w:rPr>
          <w:lang w:val="fr-FR"/>
        </w:rPr>
        <w:br/>
        <w:t>Co</w:t>
      </w:r>
      <w:r>
        <w:rPr>
          <w:lang w:val="fr-FR"/>
        </w:rPr>
        <w:t>ntrôl</w:t>
      </w:r>
      <w:r w:rsidRPr="000A0208">
        <w:rPr>
          <w:lang w:val="fr-FR"/>
        </w:rPr>
        <w:t>e</w:t>
      </w:r>
      <w:r>
        <w:rPr>
          <w:lang w:val="fr-FR"/>
        </w:rPr>
        <w:t xml:space="preserve"> du respect</w:t>
      </w:r>
    </w:p>
    <w:p w14:paraId="4917DA8C" w14:textId="77777777" w:rsidR="00D01ECD" w:rsidRPr="000A0208" w:rsidRDefault="00D01ECD" w:rsidP="00D01ECD">
      <w:pPr>
        <w:pStyle w:val="SingleTxtG"/>
        <w:ind w:left="1701"/>
        <w:rPr>
          <w:lang w:val="fr-FR"/>
        </w:rPr>
      </w:pPr>
      <w:r w:rsidRPr="000A0208">
        <w:rPr>
          <w:lang w:val="fr-FR"/>
        </w:rPr>
        <w:t>1</w:t>
      </w:r>
      <w:r w:rsidRPr="00F22925">
        <w:rPr>
          <w:lang w:val="fr-FR"/>
        </w:rPr>
        <w:t>.</w:t>
      </w:r>
      <w:r w:rsidRPr="000A0208">
        <w:rPr>
          <w:lang w:val="fr-FR"/>
        </w:rPr>
        <w:tab/>
      </w:r>
      <w:r w:rsidRPr="00791286">
        <w:rPr>
          <w:lang w:val="fr-FR"/>
        </w:rPr>
        <w:t>Les États sont tenus de respecter leurs obligations en vertu du droit international relatives à la protection de l</w:t>
      </w:r>
      <w:r>
        <w:rPr>
          <w:lang w:val="fr-FR"/>
        </w:rPr>
        <w:t>’</w:t>
      </w:r>
      <w:r w:rsidRPr="00791286">
        <w:rPr>
          <w:lang w:val="fr-FR"/>
        </w:rPr>
        <w:t xml:space="preserve">atmosphère contre la pollution atmosphérique et la dégradation atmosphérique de bonne foi, y compris par le respect des règles et procédures prévues dans les accords pertinents auxquels ils sont </w:t>
      </w:r>
      <w:proofErr w:type="gramStart"/>
      <w:r w:rsidRPr="00791286">
        <w:rPr>
          <w:lang w:val="fr-FR"/>
        </w:rPr>
        <w:t>parties</w:t>
      </w:r>
      <w:proofErr w:type="gramEnd"/>
      <w:r w:rsidRPr="00F22925">
        <w:rPr>
          <w:lang w:val="fr-FR"/>
        </w:rPr>
        <w:t>.</w:t>
      </w:r>
    </w:p>
    <w:p w14:paraId="332803ED" w14:textId="77777777" w:rsidR="00D01ECD" w:rsidRPr="000A0208" w:rsidRDefault="00D01ECD" w:rsidP="00D01ECD">
      <w:pPr>
        <w:pStyle w:val="SingleTxtG"/>
        <w:keepNext/>
        <w:ind w:left="1701"/>
        <w:rPr>
          <w:lang w:val="fr-FR"/>
        </w:rPr>
      </w:pPr>
      <w:r w:rsidRPr="000A0208">
        <w:rPr>
          <w:lang w:val="fr-FR"/>
        </w:rPr>
        <w:t>2</w:t>
      </w:r>
      <w:r w:rsidRPr="00F22925">
        <w:rPr>
          <w:lang w:val="fr-FR"/>
        </w:rPr>
        <w:t>.</w:t>
      </w:r>
      <w:r w:rsidRPr="000A0208">
        <w:rPr>
          <w:lang w:val="fr-FR"/>
        </w:rPr>
        <w:tab/>
      </w:r>
      <w:r w:rsidRPr="00791286">
        <w:rPr>
          <w:lang w:val="fr-FR"/>
        </w:rPr>
        <w:t>Pour assurer le contrôle du respect, des procédures de facilitation ou d</w:t>
      </w:r>
      <w:r>
        <w:rPr>
          <w:lang w:val="fr-FR"/>
        </w:rPr>
        <w:t>’</w:t>
      </w:r>
      <w:r w:rsidRPr="00791286">
        <w:rPr>
          <w:lang w:val="fr-FR"/>
        </w:rPr>
        <w:t>exécution peuvent être utilisées, selon qu</w:t>
      </w:r>
      <w:r>
        <w:rPr>
          <w:lang w:val="fr-FR"/>
        </w:rPr>
        <w:t>’</w:t>
      </w:r>
      <w:r w:rsidRPr="00791286">
        <w:rPr>
          <w:lang w:val="fr-FR"/>
        </w:rPr>
        <w:t>il convient, conformément aux accords pertinents</w:t>
      </w:r>
      <w:r>
        <w:rPr>
          <w:lang w:val="fr-FR"/>
        </w:rPr>
        <w:t> :</w:t>
      </w:r>
    </w:p>
    <w:p w14:paraId="212B777D" w14:textId="77777777" w:rsidR="00D01ECD" w:rsidRPr="00EC24B3" w:rsidRDefault="00D01ECD" w:rsidP="00D01ECD">
      <w:pPr>
        <w:pStyle w:val="SingleTxtG"/>
        <w:ind w:left="1701" w:firstLine="567"/>
        <w:rPr>
          <w:iCs/>
          <w:lang w:val="fr-FR"/>
        </w:rPr>
      </w:pPr>
      <w:r w:rsidRPr="00EC24B3">
        <w:rPr>
          <w:iCs/>
          <w:lang w:val="fr-FR"/>
        </w:rPr>
        <w:t>a)</w:t>
      </w:r>
      <w:r w:rsidRPr="00EC24B3">
        <w:rPr>
          <w:iCs/>
          <w:lang w:val="fr-FR"/>
        </w:rPr>
        <w:tab/>
        <w:t>Les procédures de facilitation peuvent notamment consister à fournir une assistance aux États, en cas de non-respect, de manière transparente, non accusatoire et non punitive, afin que les États concernés s</w:t>
      </w:r>
      <w:r>
        <w:rPr>
          <w:iCs/>
          <w:lang w:val="fr-FR"/>
        </w:rPr>
        <w:t>’</w:t>
      </w:r>
      <w:r w:rsidRPr="00EC24B3">
        <w:rPr>
          <w:iCs/>
          <w:lang w:val="fr-FR"/>
        </w:rPr>
        <w:t xml:space="preserve">acquittent de leurs obligations en vertu du droit international, compte tenu de leurs capacités et de leurs conditions particulières ; </w:t>
      </w:r>
    </w:p>
    <w:p w14:paraId="1B93A877" w14:textId="77777777" w:rsidR="00D01ECD" w:rsidRPr="000A0208" w:rsidRDefault="00D01ECD" w:rsidP="00D01ECD">
      <w:pPr>
        <w:pStyle w:val="SingleTxtG"/>
        <w:ind w:left="1701" w:firstLine="567"/>
        <w:rPr>
          <w:lang w:val="fr-FR"/>
        </w:rPr>
      </w:pPr>
      <w:r w:rsidRPr="00EC24B3">
        <w:rPr>
          <w:iCs/>
          <w:lang w:val="fr-CA"/>
        </w:rPr>
        <w:lastRenderedPageBreak/>
        <w:t>b</w:t>
      </w:r>
      <w:r w:rsidRPr="00EC24B3">
        <w:rPr>
          <w:iCs/>
          <w:lang w:val="fr-FR"/>
        </w:rPr>
        <w:t>)</w:t>
      </w:r>
      <w:r w:rsidRPr="00EC24B3">
        <w:rPr>
          <w:iCs/>
          <w:lang w:val="fr-FR"/>
        </w:rPr>
        <w:tab/>
      </w:r>
      <w:r w:rsidRPr="00791286">
        <w:rPr>
          <w:lang w:val="fr-FR"/>
        </w:rPr>
        <w:t>Les procédures d</w:t>
      </w:r>
      <w:r>
        <w:rPr>
          <w:lang w:val="fr-FR"/>
        </w:rPr>
        <w:t>’</w:t>
      </w:r>
      <w:r w:rsidRPr="00791286">
        <w:rPr>
          <w:lang w:val="fr-FR"/>
        </w:rPr>
        <w:t>exécution peuvent notamment consister à mettre en garde contre une situation de non-respect, à supprimer les droits et privilèges que leur confèrent les accords pertinents, ainsi qu</w:t>
      </w:r>
      <w:r>
        <w:rPr>
          <w:lang w:val="fr-FR"/>
        </w:rPr>
        <w:t>’</w:t>
      </w:r>
      <w:r w:rsidRPr="00791286">
        <w:rPr>
          <w:lang w:val="fr-FR"/>
        </w:rPr>
        <w:t>à imposer d</w:t>
      </w:r>
      <w:r>
        <w:rPr>
          <w:lang w:val="fr-FR"/>
        </w:rPr>
        <w:t>’</w:t>
      </w:r>
      <w:r w:rsidRPr="00791286">
        <w:rPr>
          <w:lang w:val="fr-FR"/>
        </w:rPr>
        <w:t>autres formes de mesures d</w:t>
      </w:r>
      <w:r>
        <w:rPr>
          <w:lang w:val="fr-FR"/>
        </w:rPr>
        <w:t>’</w:t>
      </w:r>
      <w:r w:rsidRPr="00791286">
        <w:rPr>
          <w:lang w:val="fr-FR"/>
        </w:rPr>
        <w:t>exécution</w:t>
      </w:r>
      <w:r w:rsidRPr="00F22925">
        <w:rPr>
          <w:lang w:val="fr-FR"/>
        </w:rPr>
        <w:t>.</w:t>
      </w:r>
    </w:p>
    <w:p w14:paraId="0AB29D99" w14:textId="77777777" w:rsidR="00D01ECD" w:rsidRPr="000A0208" w:rsidRDefault="00D01ECD" w:rsidP="00D01ECD">
      <w:pPr>
        <w:keepNext/>
        <w:keepLines/>
        <w:tabs>
          <w:tab w:val="right" w:pos="851"/>
        </w:tabs>
        <w:spacing w:before="240" w:after="120"/>
        <w:ind w:left="1134" w:right="1134" w:hanging="1134"/>
        <w:rPr>
          <w:rFonts w:eastAsia="SimSun"/>
          <w:b/>
          <w:lang w:val="fr-FR"/>
        </w:rPr>
      </w:pPr>
      <w:r w:rsidRPr="000A0208">
        <w:rPr>
          <w:rFonts w:eastAsia="SimSun"/>
          <w:b/>
          <w:lang w:val="fr-FR"/>
        </w:rPr>
        <w:tab/>
      </w:r>
      <w:r w:rsidRPr="000A0208">
        <w:rPr>
          <w:rFonts w:eastAsia="SimSun"/>
          <w:b/>
          <w:lang w:val="fr-FR"/>
        </w:rPr>
        <w:tab/>
      </w:r>
      <w:bookmarkStart w:id="33" w:name="_Toc522896344"/>
      <w:bookmarkStart w:id="34" w:name="_Toc523727654"/>
      <w:r w:rsidRPr="000A0208">
        <w:rPr>
          <w:rFonts w:eastAsia="SimSun"/>
          <w:b/>
          <w:lang w:val="fr-FR"/>
        </w:rPr>
        <w:t>Commenta</w:t>
      </w:r>
      <w:bookmarkEnd w:id="33"/>
      <w:bookmarkEnd w:id="34"/>
      <w:r>
        <w:rPr>
          <w:rFonts w:eastAsia="SimSun"/>
          <w:b/>
          <w:lang w:val="fr-FR"/>
        </w:rPr>
        <w:t>ire</w:t>
      </w:r>
    </w:p>
    <w:p w14:paraId="0154AB30" w14:textId="77777777" w:rsidR="00D01ECD" w:rsidRDefault="00D01ECD" w:rsidP="00D01ECD">
      <w:pPr>
        <w:pStyle w:val="SingleTxtG"/>
        <w:rPr>
          <w:lang w:val="fr-FR"/>
        </w:rPr>
      </w:pPr>
      <w:r w:rsidRPr="000A0208">
        <w:rPr>
          <w:lang w:val="fr-FR"/>
        </w:rPr>
        <w:t>1)</w:t>
      </w:r>
      <w:r w:rsidRPr="000A0208">
        <w:rPr>
          <w:lang w:val="fr-FR"/>
        </w:rPr>
        <w:tab/>
      </w:r>
      <w:r w:rsidRPr="00336568">
        <w:rPr>
          <w:lang w:val="fr-CA"/>
        </w:rPr>
        <w:t>Le projet de directive 11, qui vient compléter le projet de directive 10 concernant la mise en œuvre en droit interne, porte sur le contrôle du respect des engagements au niveau international</w:t>
      </w:r>
      <w:r w:rsidRPr="00F22925">
        <w:rPr>
          <w:lang w:val="fr-CA"/>
        </w:rPr>
        <w:t>.</w:t>
      </w:r>
      <w:r w:rsidRPr="00336568">
        <w:rPr>
          <w:lang w:val="fr-CA"/>
        </w:rPr>
        <w:t xml:space="preserve"> L</w:t>
      </w:r>
      <w:r>
        <w:rPr>
          <w:lang w:val="fr-CA"/>
        </w:rPr>
        <w:t>’</w:t>
      </w:r>
      <w:r w:rsidRPr="00336568">
        <w:rPr>
          <w:lang w:val="fr-CA"/>
        </w:rPr>
        <w:t>expression « contrôle du respect » n</w:t>
      </w:r>
      <w:r>
        <w:rPr>
          <w:lang w:val="fr-CA"/>
        </w:rPr>
        <w:t>’</w:t>
      </w:r>
      <w:r w:rsidRPr="00336568">
        <w:rPr>
          <w:lang w:val="fr-CA"/>
        </w:rPr>
        <w:t>est pas toujours employée uniformément dans les instruments internationaux ou dans la doctrine</w:t>
      </w:r>
      <w:r w:rsidRPr="00F22925">
        <w:rPr>
          <w:lang w:val="fr-CA"/>
        </w:rPr>
        <w:t>.</w:t>
      </w:r>
      <w:r w:rsidRPr="00336568">
        <w:rPr>
          <w:lang w:val="fr-CA"/>
        </w:rPr>
        <w:t xml:space="preserve"> Dans le présent projet de directive, elle renvoie à des dispositifs ou des procédures institués </w:t>
      </w:r>
      <w:r w:rsidRPr="00EA48D3">
        <w:rPr>
          <w:lang w:val="fr-CA"/>
        </w:rPr>
        <w:t>au niveau international</w:t>
      </w:r>
      <w:r w:rsidRPr="00336568">
        <w:rPr>
          <w:lang w:val="fr-CA"/>
        </w:rPr>
        <w:t xml:space="preserve"> pour vérifier que les États respectent bien les obligations conventionnelles ou les autres règles de droit international mises à leur charge</w:t>
      </w:r>
      <w:r w:rsidRPr="00F22925">
        <w:rPr>
          <w:lang w:val="fr-CA"/>
        </w:rPr>
        <w:t>.</w:t>
      </w:r>
    </w:p>
    <w:p w14:paraId="2837F12F" w14:textId="77777777" w:rsidR="00D01ECD" w:rsidRPr="000A0208" w:rsidRDefault="00D01ECD" w:rsidP="00D01ECD">
      <w:pPr>
        <w:pStyle w:val="SingleTxtG"/>
        <w:rPr>
          <w:lang w:val="fr-FR"/>
        </w:rPr>
      </w:pPr>
      <w:r w:rsidRPr="000A0208">
        <w:rPr>
          <w:lang w:val="fr-FR"/>
        </w:rPr>
        <w:t>2)</w:t>
      </w:r>
      <w:r>
        <w:rPr>
          <w:lang w:val="fr-FR"/>
        </w:rPr>
        <w:tab/>
      </w:r>
      <w:r w:rsidRPr="00336568">
        <w:rPr>
          <w:lang w:val="fr-CA"/>
        </w:rPr>
        <w:t xml:space="preserve">Le paragraphe 1 reflète, en particulier, le principe </w:t>
      </w:r>
      <w:proofErr w:type="spellStart"/>
      <w:r w:rsidRPr="00336568">
        <w:rPr>
          <w:i/>
          <w:iCs/>
          <w:lang w:val="fr-CA"/>
        </w:rPr>
        <w:t>pacta</w:t>
      </w:r>
      <w:proofErr w:type="spellEnd"/>
      <w:r w:rsidRPr="00336568">
        <w:rPr>
          <w:i/>
          <w:iCs/>
          <w:lang w:val="fr-CA"/>
        </w:rPr>
        <w:t xml:space="preserve"> </w:t>
      </w:r>
      <w:proofErr w:type="spellStart"/>
      <w:r w:rsidRPr="00336568">
        <w:rPr>
          <w:i/>
          <w:iCs/>
          <w:lang w:val="fr-CA"/>
        </w:rPr>
        <w:t>sunt</w:t>
      </w:r>
      <w:proofErr w:type="spellEnd"/>
      <w:r w:rsidRPr="00336568">
        <w:rPr>
          <w:i/>
          <w:iCs/>
          <w:lang w:val="fr-CA"/>
        </w:rPr>
        <w:t xml:space="preserve"> </w:t>
      </w:r>
      <w:proofErr w:type="spellStart"/>
      <w:r w:rsidRPr="00336568">
        <w:rPr>
          <w:i/>
          <w:iCs/>
          <w:lang w:val="fr-CA"/>
        </w:rPr>
        <w:t>servanda</w:t>
      </w:r>
      <w:proofErr w:type="spellEnd"/>
      <w:r w:rsidRPr="00F22925">
        <w:rPr>
          <w:lang w:val="fr-CA"/>
        </w:rPr>
        <w:t>.</w:t>
      </w:r>
      <w:r w:rsidRPr="00336568">
        <w:rPr>
          <w:lang w:val="fr-CA"/>
        </w:rPr>
        <w:t xml:space="preserve"> L</w:t>
      </w:r>
      <w:r>
        <w:rPr>
          <w:lang w:val="fr-CA"/>
        </w:rPr>
        <w:t>’</w:t>
      </w:r>
      <w:r w:rsidRPr="00336568">
        <w:rPr>
          <w:lang w:val="fr-CA"/>
        </w:rPr>
        <w:t>emploi de l</w:t>
      </w:r>
      <w:r>
        <w:rPr>
          <w:lang w:val="fr-CA"/>
        </w:rPr>
        <w:t>’</w:t>
      </w:r>
      <w:r w:rsidRPr="00336568">
        <w:rPr>
          <w:lang w:val="fr-CA"/>
        </w:rPr>
        <w:t>expression « obligations en vertu du droit international » relativement à la protection de l</w:t>
      </w:r>
      <w:r>
        <w:rPr>
          <w:lang w:val="fr-CA"/>
        </w:rPr>
        <w:t>’</w:t>
      </w:r>
      <w:r w:rsidRPr="00336568">
        <w:rPr>
          <w:lang w:val="fr-CA"/>
        </w:rPr>
        <w:t>atmosphère a pour but d</w:t>
      </w:r>
      <w:r>
        <w:rPr>
          <w:lang w:val="fr-CA"/>
        </w:rPr>
        <w:t>’</w:t>
      </w:r>
      <w:r w:rsidRPr="00336568">
        <w:rPr>
          <w:lang w:val="fr-CA"/>
        </w:rPr>
        <w:t>harmoniser le libellé du paragraphe 1 avec la formulation adoptée dans l</w:t>
      </w:r>
      <w:r>
        <w:rPr>
          <w:lang w:val="fr-CA"/>
        </w:rPr>
        <w:t>’</w:t>
      </w:r>
      <w:r w:rsidRPr="00336568">
        <w:rPr>
          <w:lang w:val="fr-CA"/>
        </w:rPr>
        <w:t>ensemble du projet de directives</w:t>
      </w:r>
      <w:r w:rsidRPr="00F22925">
        <w:rPr>
          <w:lang w:val="fr-CA"/>
        </w:rPr>
        <w:t>.</w:t>
      </w:r>
      <w:r w:rsidRPr="00336568">
        <w:rPr>
          <w:lang w:val="fr-CA"/>
        </w:rPr>
        <w:t xml:space="preserve"> De surcroît, il a été considéré que le caractère général de cette expression rendait mieux compte du fait que les règles conventionnelles </w:t>
      </w:r>
      <w:r>
        <w:rPr>
          <w:lang w:val="fr-CA"/>
        </w:rPr>
        <w:t>constituant</w:t>
      </w:r>
      <w:r w:rsidRPr="00336568">
        <w:rPr>
          <w:lang w:val="fr-CA"/>
        </w:rPr>
        <w:t xml:space="preserve"> des obligations peuvent, dans certains cas, lier uniquement les parties aux accords pertinents et, dans d</w:t>
      </w:r>
      <w:r>
        <w:rPr>
          <w:lang w:val="fr-CA"/>
        </w:rPr>
        <w:t>’</w:t>
      </w:r>
      <w:r w:rsidRPr="00336568">
        <w:rPr>
          <w:lang w:val="fr-CA"/>
        </w:rPr>
        <w:t xml:space="preserve">autres, </w:t>
      </w:r>
      <w:r>
        <w:rPr>
          <w:lang w:val="fr-CA"/>
        </w:rPr>
        <w:t>venir codifier ou cristalliser des règles de</w:t>
      </w:r>
      <w:r w:rsidRPr="00336568">
        <w:rPr>
          <w:lang w:val="fr-CA"/>
        </w:rPr>
        <w:t xml:space="preserve"> droit international coutumier </w:t>
      </w:r>
      <w:r>
        <w:rPr>
          <w:lang w:val="fr-CA"/>
        </w:rPr>
        <w:t>ou donner naissance à une pratique générale acceptée comme étant le droit</w:t>
      </w:r>
      <w:r w:rsidRPr="00F22830">
        <w:rPr>
          <w:rStyle w:val="FootnoteReference"/>
        </w:rPr>
        <w:footnoteReference w:id="173"/>
      </w:r>
      <w:r>
        <w:rPr>
          <w:lang w:val="fr-CA"/>
        </w:rPr>
        <w:t>, engendrant ainsi une nouvelle règle de droit international coutumier et, partant, emportant</w:t>
      </w:r>
      <w:r w:rsidRPr="00336568">
        <w:rPr>
          <w:lang w:val="fr-CA"/>
        </w:rPr>
        <w:t xml:space="preserve"> des effets juridiques pour les États non parties</w:t>
      </w:r>
      <w:r w:rsidRPr="00F22925">
        <w:rPr>
          <w:lang w:val="fr-CA"/>
        </w:rPr>
        <w:t>.</w:t>
      </w:r>
      <w:r w:rsidRPr="00336568">
        <w:rPr>
          <w:lang w:val="fr-CA"/>
        </w:rPr>
        <w:t xml:space="preserve"> L</w:t>
      </w:r>
      <w:r>
        <w:rPr>
          <w:lang w:val="fr-CA"/>
        </w:rPr>
        <w:t>’</w:t>
      </w:r>
      <w:r w:rsidRPr="00336568">
        <w:rPr>
          <w:lang w:val="fr-CA"/>
        </w:rPr>
        <w:t xml:space="preserve">emploi des termes « accords pertinents » auxquels les États sont </w:t>
      </w:r>
      <w:proofErr w:type="gramStart"/>
      <w:r w:rsidRPr="00336568">
        <w:rPr>
          <w:lang w:val="fr-CA"/>
        </w:rPr>
        <w:t>parties</w:t>
      </w:r>
      <w:proofErr w:type="gramEnd"/>
      <w:r w:rsidRPr="00336568">
        <w:rPr>
          <w:lang w:val="fr-CA"/>
        </w:rPr>
        <w:t xml:space="preserve"> vise à éviter de limiter la portée de la disposition aux accords multilatéraux relatifs à l</w:t>
      </w:r>
      <w:r>
        <w:rPr>
          <w:lang w:val="fr-CA"/>
        </w:rPr>
        <w:t>’</w:t>
      </w:r>
      <w:r w:rsidRPr="00336568">
        <w:rPr>
          <w:lang w:val="fr-CA"/>
        </w:rPr>
        <w:t>environnement, sachant que les obligations dont il est question peuvent résulter d</w:t>
      </w:r>
      <w:r>
        <w:rPr>
          <w:lang w:val="fr-CA"/>
        </w:rPr>
        <w:t>’</w:t>
      </w:r>
      <w:r w:rsidRPr="00336568">
        <w:rPr>
          <w:lang w:val="fr-CA"/>
        </w:rPr>
        <w:t>autres instruments</w:t>
      </w:r>
      <w:r w:rsidRPr="00F22830">
        <w:rPr>
          <w:rStyle w:val="FootnoteReference"/>
        </w:rPr>
        <w:footnoteReference w:id="174"/>
      </w:r>
      <w:r w:rsidRPr="00F22925">
        <w:rPr>
          <w:lang w:val="fr-CA"/>
        </w:rPr>
        <w:t>.</w:t>
      </w:r>
      <w:r w:rsidRPr="00336568">
        <w:rPr>
          <w:lang w:val="fr-CA"/>
        </w:rPr>
        <w:t xml:space="preserve"> En outre, </w:t>
      </w:r>
      <w:proofErr w:type="gramStart"/>
      <w:r w:rsidRPr="00336568">
        <w:rPr>
          <w:lang w:val="fr-CA"/>
        </w:rPr>
        <w:t>de par</w:t>
      </w:r>
      <w:proofErr w:type="gramEnd"/>
      <w:r w:rsidRPr="00336568">
        <w:rPr>
          <w:lang w:val="fr-CA"/>
        </w:rPr>
        <w:t xml:space="preserve"> son caractère général, le paragraphe 1 fait fonction d</w:t>
      </w:r>
      <w:r>
        <w:rPr>
          <w:lang w:val="fr-CA"/>
        </w:rPr>
        <w:t>’</w:t>
      </w:r>
      <w:r w:rsidRPr="00336568">
        <w:rPr>
          <w:lang w:val="fr-CA"/>
        </w:rPr>
        <w:t>introduction du paragraphe 2</w:t>
      </w:r>
      <w:r w:rsidRPr="00F22925">
        <w:rPr>
          <w:lang w:val="fr-CA"/>
        </w:rPr>
        <w:t>.</w:t>
      </w:r>
    </w:p>
    <w:p w14:paraId="052C5A04" w14:textId="77777777" w:rsidR="00D01ECD" w:rsidRDefault="00D01ECD" w:rsidP="00D01ECD">
      <w:pPr>
        <w:pStyle w:val="SingleTxtG"/>
        <w:rPr>
          <w:lang w:val="fr-FR"/>
        </w:rPr>
      </w:pPr>
      <w:r w:rsidRPr="000A0208">
        <w:rPr>
          <w:lang w:val="fr-FR"/>
        </w:rPr>
        <w:t>3)</w:t>
      </w:r>
      <w:r w:rsidRPr="000A0208">
        <w:rPr>
          <w:lang w:val="fr-FR"/>
        </w:rPr>
        <w:tab/>
      </w:r>
      <w:r w:rsidRPr="00336568">
        <w:rPr>
          <w:lang w:val="fr-CA"/>
        </w:rPr>
        <w:t>Le paragraphe 2 concerne les procédures de facilitation ou d</w:t>
      </w:r>
      <w:r>
        <w:rPr>
          <w:lang w:val="fr-CA"/>
        </w:rPr>
        <w:t>’</w:t>
      </w:r>
      <w:r w:rsidRPr="00336568">
        <w:rPr>
          <w:lang w:val="fr-CA"/>
        </w:rPr>
        <w:t>exécution pouvant être utilisées par les dispositifs de contrôle</w:t>
      </w:r>
      <w:bookmarkStart w:id="35" w:name="_Ref520291851"/>
      <w:r w:rsidRPr="00F22830">
        <w:rPr>
          <w:rStyle w:val="FootnoteReference"/>
        </w:rPr>
        <w:footnoteReference w:id="175"/>
      </w:r>
      <w:bookmarkEnd w:id="35"/>
      <w:r w:rsidRPr="00F22925">
        <w:rPr>
          <w:lang w:val="fr-CA"/>
        </w:rPr>
        <w:t>.</w:t>
      </w:r>
      <w:r w:rsidRPr="00336568">
        <w:rPr>
          <w:lang w:val="fr-CA"/>
        </w:rPr>
        <w:t xml:space="preserve"> </w:t>
      </w:r>
      <w:r w:rsidRPr="00336568">
        <w:rPr>
          <w:rFonts w:eastAsia="MS Mincho"/>
          <w:lang w:val="fr-CA"/>
        </w:rPr>
        <w:t xml:space="preserve">Le </w:t>
      </w:r>
      <w:r>
        <w:rPr>
          <w:rFonts w:eastAsia="MS Mincho"/>
          <w:lang w:val="fr-CA"/>
        </w:rPr>
        <w:t xml:space="preserve">libellé du </w:t>
      </w:r>
      <w:r w:rsidRPr="00336568">
        <w:rPr>
          <w:rFonts w:eastAsia="MS Mincho"/>
          <w:lang w:val="fr-CA"/>
        </w:rPr>
        <w:t xml:space="preserve">membre de phrase </w:t>
      </w:r>
      <w:r>
        <w:rPr>
          <w:rFonts w:eastAsia="MS Mincho"/>
          <w:lang w:val="fr-CA"/>
        </w:rPr>
        <w:t>introductif</w:t>
      </w:r>
      <w:r w:rsidRPr="00336568">
        <w:rPr>
          <w:rFonts w:eastAsia="MS Mincho"/>
          <w:lang w:val="fr-CA"/>
        </w:rPr>
        <w:t xml:space="preserve">, </w:t>
      </w:r>
      <w:r w:rsidRPr="00336568">
        <w:rPr>
          <w:rFonts w:eastAsia="MS Mincho"/>
          <w:lang w:val="fr-CA"/>
        </w:rPr>
        <w:lastRenderedPageBreak/>
        <w:t>« [p]</w:t>
      </w:r>
      <w:proofErr w:type="spellStart"/>
      <w:r w:rsidRPr="00336568">
        <w:rPr>
          <w:rFonts w:eastAsia="MS Mincho"/>
          <w:lang w:val="fr-CA"/>
        </w:rPr>
        <w:t>our</w:t>
      </w:r>
      <w:proofErr w:type="spellEnd"/>
      <w:r w:rsidRPr="00336568">
        <w:rPr>
          <w:rFonts w:eastAsia="MS Mincho"/>
          <w:lang w:val="fr-CA"/>
        </w:rPr>
        <w:t xml:space="preserve"> assurer le contrôle du respect », </w:t>
      </w:r>
      <w:r>
        <w:rPr>
          <w:rFonts w:eastAsia="MS Mincho"/>
          <w:lang w:val="fr-CA"/>
        </w:rPr>
        <w:t xml:space="preserve">reprend </w:t>
      </w:r>
      <w:r w:rsidRPr="00336568">
        <w:rPr>
          <w:rFonts w:eastAsia="MS Mincho"/>
          <w:lang w:val="fr-CA"/>
        </w:rPr>
        <w:t>la formulation employée dans les accords en vigueur régissant les dispositifs de contrôle</w:t>
      </w:r>
      <w:r w:rsidRPr="00F22925">
        <w:rPr>
          <w:rFonts w:eastAsia="MS Mincho"/>
          <w:lang w:val="fr-CA"/>
        </w:rPr>
        <w:t>.</w:t>
      </w:r>
      <w:r w:rsidRPr="00336568">
        <w:rPr>
          <w:rFonts w:eastAsia="MS Mincho"/>
          <w:lang w:val="fr-CA"/>
        </w:rPr>
        <w:t xml:space="preserve"> La tournure « </w:t>
      </w:r>
      <w:proofErr w:type="gramStart"/>
      <w:r w:rsidRPr="00336568">
        <w:rPr>
          <w:rFonts w:eastAsia="MS Mincho"/>
          <w:lang w:val="fr-CA"/>
        </w:rPr>
        <w:t>peuvent</w:t>
      </w:r>
      <w:proofErr w:type="gramEnd"/>
      <w:r w:rsidRPr="00336568">
        <w:rPr>
          <w:rFonts w:eastAsia="MS Mincho"/>
          <w:lang w:val="fr-CA"/>
        </w:rPr>
        <w:t xml:space="preserve"> être utilisées, selon qu</w:t>
      </w:r>
      <w:r>
        <w:rPr>
          <w:rFonts w:eastAsia="MS Mincho"/>
          <w:lang w:val="fr-CA"/>
        </w:rPr>
        <w:t>’</w:t>
      </w:r>
      <w:r w:rsidRPr="00336568">
        <w:rPr>
          <w:rFonts w:eastAsia="MS Mincho"/>
          <w:lang w:val="fr-CA"/>
        </w:rPr>
        <w:t>il convient » reflète la diversité des situations et des contextes dans lesquels des procédures de facilitation ou d</w:t>
      </w:r>
      <w:r>
        <w:rPr>
          <w:rFonts w:eastAsia="MS Mincho"/>
          <w:lang w:val="fr-CA"/>
        </w:rPr>
        <w:t>’</w:t>
      </w:r>
      <w:r w:rsidRPr="00336568">
        <w:rPr>
          <w:rFonts w:eastAsia="MS Mincho"/>
          <w:lang w:val="fr-CA"/>
        </w:rPr>
        <w:t>exécution peuvent être engagées pour favoriser le respect des obligations</w:t>
      </w:r>
      <w:r w:rsidRPr="00F22925">
        <w:rPr>
          <w:rFonts w:eastAsia="MS Mincho"/>
          <w:lang w:val="fr-CA"/>
        </w:rPr>
        <w:t>.</w:t>
      </w:r>
      <w:r w:rsidRPr="00336568">
        <w:rPr>
          <w:rFonts w:eastAsia="MS Mincho"/>
          <w:lang w:val="fr-CA"/>
        </w:rPr>
        <w:t xml:space="preserve"> La conjonction disjonctive « ou » indique que les procédures de facilitation et les procédures d</w:t>
      </w:r>
      <w:r>
        <w:rPr>
          <w:rFonts w:eastAsia="MS Mincho"/>
          <w:lang w:val="fr-CA"/>
        </w:rPr>
        <w:t>’</w:t>
      </w:r>
      <w:r w:rsidRPr="00336568">
        <w:rPr>
          <w:rFonts w:eastAsia="MS Mincho"/>
          <w:lang w:val="fr-CA"/>
        </w:rPr>
        <w:t xml:space="preserve">exécution </w:t>
      </w:r>
      <w:r>
        <w:rPr>
          <w:rFonts w:eastAsia="MS Mincho"/>
          <w:lang w:val="fr-CA"/>
        </w:rPr>
        <w:t>peuvent</w:t>
      </w:r>
      <w:r w:rsidRPr="00336568">
        <w:rPr>
          <w:rFonts w:eastAsia="MS Mincho"/>
          <w:lang w:val="fr-CA"/>
        </w:rPr>
        <w:t xml:space="preserve"> être considérées comme deux options distinctes par l</w:t>
      </w:r>
      <w:r>
        <w:rPr>
          <w:rFonts w:eastAsia="MS Mincho"/>
          <w:lang w:val="fr-CA"/>
        </w:rPr>
        <w:t>’</w:t>
      </w:r>
      <w:r w:rsidRPr="00336568">
        <w:rPr>
          <w:rFonts w:eastAsia="MS Mincho"/>
          <w:lang w:val="fr-CA"/>
        </w:rPr>
        <w:t>organe compétent créé en vertu de l</w:t>
      </w:r>
      <w:r>
        <w:rPr>
          <w:rFonts w:eastAsia="MS Mincho"/>
          <w:lang w:val="fr-CA"/>
        </w:rPr>
        <w:t>’</w:t>
      </w:r>
      <w:r w:rsidRPr="00336568">
        <w:rPr>
          <w:rFonts w:eastAsia="MS Mincho"/>
          <w:lang w:val="fr-CA"/>
        </w:rPr>
        <w:t>accord en question</w:t>
      </w:r>
      <w:r w:rsidRPr="00F22925">
        <w:rPr>
          <w:rFonts w:eastAsia="MS Mincho"/>
          <w:lang w:val="fr-CA"/>
        </w:rPr>
        <w:t>.</w:t>
      </w:r>
      <w:r w:rsidRPr="00336568">
        <w:rPr>
          <w:rFonts w:eastAsia="MS Mincho"/>
          <w:lang w:val="fr-CA"/>
        </w:rPr>
        <w:t xml:space="preserve"> L</w:t>
      </w:r>
      <w:r>
        <w:rPr>
          <w:rFonts w:eastAsia="MS Mincho"/>
          <w:lang w:val="fr-CA"/>
        </w:rPr>
        <w:t>’</w:t>
      </w:r>
      <w:r w:rsidRPr="00336568">
        <w:rPr>
          <w:rFonts w:eastAsia="MS Mincho"/>
          <w:lang w:val="fr-CA"/>
        </w:rPr>
        <w:t>expression « conformément aux accords pertinents », placée à la fin de la phrase introductive, vise à souligner que les procédures de facilitation ou d</w:t>
      </w:r>
      <w:r>
        <w:rPr>
          <w:rFonts w:eastAsia="MS Mincho"/>
          <w:lang w:val="fr-CA"/>
        </w:rPr>
        <w:t>’</w:t>
      </w:r>
      <w:r w:rsidRPr="00336568">
        <w:rPr>
          <w:rFonts w:eastAsia="MS Mincho"/>
          <w:lang w:val="fr-CA"/>
        </w:rPr>
        <w:t xml:space="preserve">exécution sont celles prévues par les accords auxquels les États sont </w:t>
      </w:r>
      <w:proofErr w:type="gramStart"/>
      <w:r w:rsidRPr="00336568">
        <w:rPr>
          <w:rFonts w:eastAsia="MS Mincho"/>
          <w:lang w:val="fr-CA"/>
        </w:rPr>
        <w:t>parties</w:t>
      </w:r>
      <w:proofErr w:type="gramEnd"/>
      <w:r w:rsidRPr="00336568">
        <w:rPr>
          <w:rFonts w:eastAsia="MS Mincho"/>
          <w:lang w:val="fr-CA"/>
        </w:rPr>
        <w:t xml:space="preserve"> et doivent être </w:t>
      </w:r>
      <w:r>
        <w:rPr>
          <w:rFonts w:eastAsia="MS Mincho"/>
          <w:lang w:val="fr-CA"/>
        </w:rPr>
        <w:t xml:space="preserve">menées </w:t>
      </w:r>
      <w:r w:rsidRPr="00336568">
        <w:rPr>
          <w:rFonts w:eastAsia="MS Mincho"/>
          <w:lang w:val="fr-CA"/>
        </w:rPr>
        <w:t>conformément aux accords en vigueur</w:t>
      </w:r>
      <w:r w:rsidRPr="00F22925">
        <w:rPr>
          <w:rFonts w:eastAsia="MS Mincho"/>
          <w:lang w:val="fr-CA"/>
        </w:rPr>
        <w:t>.</w:t>
      </w:r>
    </w:p>
    <w:p w14:paraId="11860470" w14:textId="77777777" w:rsidR="00D01ECD" w:rsidRDefault="00D01ECD" w:rsidP="00D01ECD">
      <w:pPr>
        <w:pStyle w:val="SingleTxtG"/>
        <w:rPr>
          <w:lang w:val="fr-FR"/>
        </w:rPr>
      </w:pPr>
      <w:r w:rsidRPr="000A0208">
        <w:rPr>
          <w:lang w:val="fr-FR"/>
        </w:rPr>
        <w:t>4)</w:t>
      </w:r>
      <w:r w:rsidRPr="000A0208">
        <w:rPr>
          <w:lang w:val="fr-FR"/>
        </w:rPr>
        <w:tab/>
      </w:r>
      <w:r w:rsidRPr="00336568">
        <w:rPr>
          <w:lang w:val="fr-CA"/>
        </w:rPr>
        <w:t xml:space="preserve">Outre la phrase introductive, le paragraphe 2 comprend deux alinéas, </w:t>
      </w:r>
      <w:r w:rsidRPr="00EC24B3">
        <w:rPr>
          <w:lang w:val="fr-CA"/>
        </w:rPr>
        <w:t>a) et b</w:t>
      </w:r>
      <w:r w:rsidRPr="00336568">
        <w:rPr>
          <w:lang w:val="fr-CA"/>
        </w:rPr>
        <w:t>)</w:t>
      </w:r>
      <w:r w:rsidRPr="00F22925">
        <w:rPr>
          <w:lang w:val="fr-CA"/>
        </w:rPr>
        <w:t>.</w:t>
      </w:r>
      <w:r w:rsidRPr="00336568">
        <w:rPr>
          <w:lang w:val="fr-CA"/>
        </w:rPr>
        <w:t xml:space="preserve"> Dans ces deux alinéas, la forme verbale « peuvent » a été placée avant « notamment consister à » afin de donner aux États et à l</w:t>
      </w:r>
      <w:r>
        <w:rPr>
          <w:lang w:val="fr-CA"/>
        </w:rPr>
        <w:t>’</w:t>
      </w:r>
      <w:r w:rsidRPr="00336568">
        <w:rPr>
          <w:lang w:val="fr-CA"/>
        </w:rPr>
        <w:t>organe conventionnel compétent une marge d</w:t>
      </w:r>
      <w:r>
        <w:rPr>
          <w:lang w:val="fr-CA"/>
        </w:rPr>
        <w:t>’</w:t>
      </w:r>
      <w:r w:rsidRPr="00336568">
        <w:rPr>
          <w:lang w:val="fr-CA"/>
        </w:rPr>
        <w:t>appréciation pour ce qui est d</w:t>
      </w:r>
      <w:r>
        <w:rPr>
          <w:lang w:val="fr-CA"/>
        </w:rPr>
        <w:t>’</w:t>
      </w:r>
      <w:r w:rsidRPr="00336568">
        <w:rPr>
          <w:lang w:val="fr-CA"/>
        </w:rPr>
        <w:t>engager les procédures de facilitation ou d</w:t>
      </w:r>
      <w:r>
        <w:rPr>
          <w:lang w:val="fr-CA"/>
        </w:rPr>
        <w:t>’</w:t>
      </w:r>
      <w:r w:rsidRPr="00336568">
        <w:rPr>
          <w:lang w:val="fr-CA"/>
        </w:rPr>
        <w:t>exécution existantes</w:t>
      </w:r>
      <w:r w:rsidRPr="00F22925">
        <w:rPr>
          <w:lang w:val="fr-CA"/>
        </w:rPr>
        <w:t>.</w:t>
      </w:r>
    </w:p>
    <w:p w14:paraId="5D6508A0" w14:textId="77777777" w:rsidR="00D01ECD" w:rsidRDefault="00D01ECD" w:rsidP="00D01ECD">
      <w:pPr>
        <w:pStyle w:val="SingleTxtG"/>
        <w:rPr>
          <w:lang w:val="fr-FR"/>
        </w:rPr>
      </w:pPr>
      <w:r w:rsidRPr="000A0208">
        <w:rPr>
          <w:lang w:val="fr-FR"/>
        </w:rPr>
        <w:t>5)</w:t>
      </w:r>
      <w:r w:rsidRPr="000A0208">
        <w:rPr>
          <w:lang w:val="fr-FR"/>
        </w:rPr>
        <w:tab/>
      </w:r>
      <w:r w:rsidRPr="00336568">
        <w:rPr>
          <w:lang w:val="fr-CA"/>
        </w:rPr>
        <w:t>L</w:t>
      </w:r>
      <w:r>
        <w:rPr>
          <w:lang w:val="fr-CA"/>
        </w:rPr>
        <w:t>’</w:t>
      </w:r>
      <w:r w:rsidRPr="00336568">
        <w:rPr>
          <w:lang w:val="fr-CA"/>
        </w:rPr>
        <w:t>alinéa </w:t>
      </w:r>
      <w:r w:rsidRPr="00EC24B3">
        <w:rPr>
          <w:lang w:val="fr-CA"/>
        </w:rPr>
        <w:t>a)</w:t>
      </w:r>
      <w:r w:rsidRPr="00336568">
        <w:rPr>
          <w:lang w:val="fr-CA"/>
        </w:rPr>
        <w:t xml:space="preserve"> emploie les termes « en cas de non-respect</w:t>
      </w:r>
      <w:r w:rsidRPr="00F22830">
        <w:rPr>
          <w:rStyle w:val="FootnoteReference"/>
        </w:rPr>
        <w:footnoteReference w:id="176"/>
      </w:r>
      <w:r w:rsidRPr="00336568">
        <w:rPr>
          <w:lang w:val="fr-CA"/>
        </w:rPr>
        <w:t> » et « les États concernés », évitant la tournure « États manquant à leurs obligations »</w:t>
      </w:r>
      <w:r w:rsidRPr="00F22925">
        <w:rPr>
          <w:lang w:val="fr-CA"/>
        </w:rPr>
        <w:t>.</w:t>
      </w:r>
      <w:r w:rsidRPr="00336568">
        <w:rPr>
          <w:lang w:val="fr-CA"/>
        </w:rPr>
        <w:t xml:space="preserve"> Les procédures de facilitation peuvent consister à fournir une « assistance » aux États, car certains peuvent être disposés à se conformer à leurs obligations, mais être incapables de le faire faute de moyens</w:t>
      </w:r>
      <w:r w:rsidRPr="00F22925">
        <w:rPr>
          <w:lang w:val="fr-CA"/>
        </w:rPr>
        <w:t>.</w:t>
      </w:r>
      <w:r w:rsidRPr="00336568">
        <w:rPr>
          <w:lang w:val="fr-CA"/>
        </w:rPr>
        <w:t xml:space="preserve"> La facilitation est donc apportée de manière transparente, non accusatoire et non punitive, dans l</w:t>
      </w:r>
      <w:r>
        <w:rPr>
          <w:lang w:val="fr-CA"/>
        </w:rPr>
        <w:t>’</w:t>
      </w:r>
      <w:r w:rsidRPr="00336568">
        <w:rPr>
          <w:lang w:val="fr-CA"/>
        </w:rPr>
        <w:t>objectif d</w:t>
      </w:r>
      <w:r>
        <w:rPr>
          <w:lang w:val="fr-CA"/>
        </w:rPr>
        <w:t>’</w:t>
      </w:r>
      <w:r w:rsidRPr="00336568">
        <w:rPr>
          <w:lang w:val="fr-CA"/>
        </w:rPr>
        <w:t>aider les États concernés à s</w:t>
      </w:r>
      <w:r>
        <w:rPr>
          <w:lang w:val="fr-CA"/>
        </w:rPr>
        <w:t>’</w:t>
      </w:r>
      <w:r w:rsidRPr="00336568">
        <w:rPr>
          <w:lang w:val="fr-CA"/>
        </w:rPr>
        <w:t>acquitter des obligations mises à leur charge par le droit international</w:t>
      </w:r>
      <w:r w:rsidRPr="00F22830">
        <w:rPr>
          <w:rStyle w:val="FootnoteReference"/>
        </w:rPr>
        <w:footnoteReference w:id="177"/>
      </w:r>
      <w:r w:rsidRPr="00F22925">
        <w:rPr>
          <w:lang w:val="fr-CA"/>
        </w:rPr>
        <w:t>.</w:t>
      </w:r>
      <w:r w:rsidRPr="00336568">
        <w:rPr>
          <w:lang w:val="fr-CA"/>
        </w:rPr>
        <w:t xml:space="preserve"> La précision contenue dans la dernière partie de la phrase, « compte tenu de leurs capacités et de leurs conditions particulières », a été jugée nécessaire compte tenu du fait que les pays en développement et les pays les moins avancés se heurtent souvent à des problèmes particuliers dans l</w:t>
      </w:r>
      <w:r>
        <w:rPr>
          <w:lang w:val="fr-CA"/>
        </w:rPr>
        <w:t>’</w:t>
      </w:r>
      <w:r w:rsidRPr="00336568">
        <w:rPr>
          <w:lang w:val="fr-CA"/>
        </w:rPr>
        <w:t>exécution de leurs obligations en matière de protection de l</w:t>
      </w:r>
      <w:r>
        <w:rPr>
          <w:lang w:val="fr-CA"/>
        </w:rPr>
        <w:t>’</w:t>
      </w:r>
      <w:r w:rsidRPr="00336568">
        <w:rPr>
          <w:lang w:val="fr-CA"/>
        </w:rPr>
        <w:t>environnement</w:t>
      </w:r>
      <w:r w:rsidRPr="00F22925">
        <w:rPr>
          <w:lang w:val="fr-CA"/>
        </w:rPr>
        <w:t>.</w:t>
      </w:r>
      <w:r w:rsidRPr="00336568">
        <w:rPr>
          <w:lang w:val="fr-CA"/>
        </w:rPr>
        <w:t xml:space="preserve"> Ces problèmes tiennent surtout à un manque général de moyens, qui peut parfois être atténué par un appui extérieur aidant les pays en question à renforcer leurs capacités et ainsi à mieux s</w:t>
      </w:r>
      <w:r>
        <w:rPr>
          <w:lang w:val="fr-CA"/>
        </w:rPr>
        <w:t>’</w:t>
      </w:r>
      <w:r w:rsidRPr="00336568">
        <w:rPr>
          <w:lang w:val="fr-CA"/>
        </w:rPr>
        <w:t>acquitter des obligations que leur fait le droit international</w:t>
      </w:r>
      <w:r w:rsidRPr="00F22925">
        <w:rPr>
          <w:lang w:val="fr-CA"/>
        </w:rPr>
        <w:t>.</w:t>
      </w:r>
    </w:p>
    <w:p w14:paraId="0808D2B5" w14:textId="77777777" w:rsidR="00D01ECD" w:rsidRDefault="00D01ECD" w:rsidP="00D01ECD">
      <w:pPr>
        <w:pStyle w:val="SingleTxtG"/>
        <w:rPr>
          <w:lang w:val="fr-FR"/>
        </w:rPr>
      </w:pPr>
      <w:r w:rsidRPr="000A0208">
        <w:rPr>
          <w:lang w:val="fr-FR"/>
        </w:rPr>
        <w:t>6)</w:t>
      </w:r>
      <w:r w:rsidRPr="000A0208">
        <w:rPr>
          <w:lang w:val="fr-FR"/>
        </w:rPr>
        <w:tab/>
      </w:r>
      <w:r w:rsidRPr="00336568">
        <w:rPr>
          <w:lang w:val="fr-CA"/>
        </w:rPr>
        <w:t>L</w:t>
      </w:r>
      <w:r>
        <w:rPr>
          <w:lang w:val="fr-CA"/>
        </w:rPr>
        <w:t>’</w:t>
      </w:r>
      <w:r w:rsidRPr="00336568">
        <w:rPr>
          <w:lang w:val="fr-CA"/>
        </w:rPr>
        <w:t>alinéa </w:t>
      </w:r>
      <w:r w:rsidRPr="00336568">
        <w:rPr>
          <w:i/>
          <w:iCs/>
          <w:lang w:val="fr-CA"/>
        </w:rPr>
        <w:t>b</w:t>
      </w:r>
      <w:r w:rsidRPr="00336568">
        <w:rPr>
          <w:lang w:val="fr-CA"/>
        </w:rPr>
        <w:t>) traite des procédures d</w:t>
      </w:r>
      <w:r>
        <w:rPr>
          <w:lang w:val="fr-CA"/>
        </w:rPr>
        <w:t>’</w:t>
      </w:r>
      <w:r w:rsidRPr="00336568">
        <w:rPr>
          <w:lang w:val="fr-CA"/>
        </w:rPr>
        <w:t xml:space="preserve">exécution, qui peuvent notamment consister à mettre en garde contre une situation de non-respect, à supprimer les droits et privilèges que confèrent </w:t>
      </w:r>
      <w:r w:rsidRPr="00336568">
        <w:rPr>
          <w:bCs/>
          <w:lang w:val="fr-CA"/>
        </w:rPr>
        <w:t>aux parties</w:t>
      </w:r>
      <w:r w:rsidRPr="00336568">
        <w:rPr>
          <w:lang w:val="fr-CA"/>
        </w:rPr>
        <w:t xml:space="preserve"> les accords pertinents et à imposer d</w:t>
      </w:r>
      <w:r>
        <w:rPr>
          <w:lang w:val="fr-CA"/>
        </w:rPr>
        <w:t>’</w:t>
      </w:r>
      <w:r w:rsidRPr="00336568">
        <w:rPr>
          <w:lang w:val="fr-CA"/>
        </w:rPr>
        <w:t>autres formes de mesures d</w:t>
      </w:r>
      <w:r>
        <w:rPr>
          <w:lang w:val="fr-CA"/>
        </w:rPr>
        <w:t>’</w:t>
      </w:r>
      <w:r w:rsidRPr="00336568">
        <w:rPr>
          <w:lang w:val="fr-CA"/>
        </w:rPr>
        <w:t>exécution</w:t>
      </w:r>
      <w:r w:rsidRPr="00F22830">
        <w:rPr>
          <w:rStyle w:val="FootnoteReference"/>
        </w:rPr>
        <w:footnoteReference w:id="178"/>
      </w:r>
      <w:r w:rsidRPr="00F22925">
        <w:rPr>
          <w:lang w:val="fr-CA"/>
        </w:rPr>
        <w:t>.</w:t>
      </w:r>
      <w:r w:rsidRPr="00336568">
        <w:rPr>
          <w:lang w:val="fr-CA"/>
        </w:rPr>
        <w:t xml:space="preserve"> À la différence des procédures de facilitation, les procédures d</w:t>
      </w:r>
      <w:r>
        <w:rPr>
          <w:lang w:val="fr-CA"/>
        </w:rPr>
        <w:t>’</w:t>
      </w:r>
      <w:r w:rsidRPr="00336568">
        <w:rPr>
          <w:lang w:val="fr-CA"/>
        </w:rPr>
        <w:t xml:space="preserve">exécution </w:t>
      </w:r>
      <w:r w:rsidRPr="00336568">
        <w:rPr>
          <w:lang w:val="fr-CA"/>
        </w:rPr>
        <w:lastRenderedPageBreak/>
        <w:t>visent à assurer le respect des obligations en sanctionnant l</w:t>
      </w:r>
      <w:r>
        <w:rPr>
          <w:lang w:val="fr-CA"/>
        </w:rPr>
        <w:t>’</w:t>
      </w:r>
      <w:r w:rsidRPr="00336568">
        <w:rPr>
          <w:lang w:val="fr-CA"/>
        </w:rPr>
        <w:t>État</w:t>
      </w:r>
      <w:r w:rsidRPr="00F22925">
        <w:rPr>
          <w:lang w:val="fr-CA"/>
        </w:rPr>
        <w:t>.</w:t>
      </w:r>
      <w:r w:rsidRPr="00336568">
        <w:rPr>
          <w:lang w:val="fr-CA"/>
        </w:rPr>
        <w:t xml:space="preserve"> À la fin de la phrase, les termes « mesures d</w:t>
      </w:r>
      <w:r>
        <w:rPr>
          <w:lang w:val="fr-CA"/>
        </w:rPr>
        <w:t>’</w:t>
      </w:r>
      <w:r w:rsidRPr="00336568">
        <w:rPr>
          <w:lang w:val="fr-CA"/>
        </w:rPr>
        <w:t>exécution » ont été préférés à celui de « sanctions », qui peut avoir une connotation négative</w:t>
      </w:r>
      <w:r w:rsidRPr="00F22925">
        <w:rPr>
          <w:lang w:val="fr-CA"/>
        </w:rPr>
        <w:t>.</w:t>
      </w:r>
      <w:r w:rsidRPr="00336568">
        <w:rPr>
          <w:lang w:val="fr-CA"/>
        </w:rPr>
        <w:t xml:space="preserve"> Les procédures d</w:t>
      </w:r>
      <w:r>
        <w:rPr>
          <w:lang w:val="fr-CA"/>
        </w:rPr>
        <w:t>’</w:t>
      </w:r>
      <w:r w:rsidRPr="00336568">
        <w:rPr>
          <w:lang w:val="fr-CA"/>
        </w:rPr>
        <w:t xml:space="preserve">exécution visées à </w:t>
      </w:r>
      <w:r w:rsidRPr="00EC24B3">
        <w:rPr>
          <w:lang w:val="fr-CA"/>
        </w:rPr>
        <w:t>l</w:t>
      </w:r>
      <w:r>
        <w:rPr>
          <w:lang w:val="fr-CA"/>
        </w:rPr>
        <w:t>’</w:t>
      </w:r>
      <w:r w:rsidRPr="00EC24B3">
        <w:rPr>
          <w:lang w:val="fr-CA"/>
        </w:rPr>
        <w:t>alinéa b)</w:t>
      </w:r>
      <w:r w:rsidRPr="00336568">
        <w:rPr>
          <w:lang w:val="fr-CA"/>
        </w:rPr>
        <w:t xml:space="preserve"> ne doivent pas être comprises comme faisant référence à la responsabilité internationale des États, et devraient donc être adoptées uniquement dans le but de ramener les États qui ne le font pas à respecter les obligations qui leur sont faites conformément aux accords pertinents auxquels ils sont </w:t>
      </w:r>
      <w:proofErr w:type="gramStart"/>
      <w:r w:rsidRPr="00336568">
        <w:rPr>
          <w:lang w:val="fr-CA"/>
        </w:rPr>
        <w:t>parties</w:t>
      </w:r>
      <w:proofErr w:type="gramEnd"/>
      <w:r w:rsidRPr="00336568">
        <w:rPr>
          <w:lang w:val="fr-CA"/>
        </w:rPr>
        <w:t>, visés dans la phrase introductive du paragraphe 2</w:t>
      </w:r>
      <w:r w:rsidRPr="00F22830">
        <w:rPr>
          <w:rStyle w:val="FootnoteReference"/>
        </w:rPr>
        <w:footnoteReference w:id="179"/>
      </w:r>
      <w:r w:rsidRPr="00F22925">
        <w:rPr>
          <w:lang w:val="fr-CA"/>
        </w:rPr>
        <w:t>.</w:t>
      </w:r>
    </w:p>
    <w:p w14:paraId="55882D30" w14:textId="77777777" w:rsidR="00D01ECD" w:rsidRPr="000A0208" w:rsidRDefault="00D01ECD" w:rsidP="00D01ECD">
      <w:pPr>
        <w:pStyle w:val="H23G"/>
        <w:spacing w:after="160"/>
        <w:ind w:left="1701" w:hanging="1701"/>
        <w:rPr>
          <w:lang w:val="fr-FR"/>
        </w:rPr>
      </w:pPr>
      <w:r>
        <w:rPr>
          <w:lang w:val="fr-FR"/>
        </w:rPr>
        <w:tab/>
      </w:r>
      <w:r>
        <w:rPr>
          <w:lang w:val="fr-FR"/>
        </w:rPr>
        <w:tab/>
      </w:r>
      <w:r>
        <w:rPr>
          <w:lang w:val="fr-FR"/>
        </w:rPr>
        <w:tab/>
        <w:t>Directiv</w:t>
      </w:r>
      <w:r w:rsidRPr="000A0208">
        <w:rPr>
          <w:lang w:val="fr-FR"/>
        </w:rPr>
        <w:t>e 12</w:t>
      </w:r>
      <w:r w:rsidRPr="000A0208">
        <w:rPr>
          <w:lang w:val="fr-FR"/>
        </w:rPr>
        <w:br/>
      </w:r>
      <w:r>
        <w:rPr>
          <w:lang w:val="fr-FR"/>
        </w:rPr>
        <w:t>Règlement des différends</w:t>
      </w:r>
    </w:p>
    <w:p w14:paraId="643A768F" w14:textId="77777777" w:rsidR="00D01ECD" w:rsidRPr="000A0208" w:rsidRDefault="00D01ECD" w:rsidP="00D01ECD">
      <w:pPr>
        <w:pStyle w:val="SingleTxtG"/>
        <w:spacing w:after="140" w:line="244" w:lineRule="atLeast"/>
        <w:ind w:left="1701"/>
        <w:rPr>
          <w:lang w:val="fr-FR"/>
        </w:rPr>
      </w:pPr>
      <w:r w:rsidRPr="000A0208">
        <w:rPr>
          <w:lang w:val="fr-FR"/>
        </w:rPr>
        <w:t>1</w:t>
      </w:r>
      <w:r w:rsidRPr="00F22925">
        <w:rPr>
          <w:lang w:val="fr-FR"/>
        </w:rPr>
        <w:t>.</w:t>
      </w:r>
      <w:r w:rsidRPr="000A0208">
        <w:rPr>
          <w:lang w:val="fr-FR"/>
        </w:rPr>
        <w:tab/>
      </w:r>
      <w:r w:rsidRPr="00791286">
        <w:rPr>
          <w:lang w:val="fr-FR"/>
        </w:rPr>
        <w:t>Les différends entre États relatifs à la protection de l</w:t>
      </w:r>
      <w:r>
        <w:rPr>
          <w:lang w:val="fr-FR"/>
        </w:rPr>
        <w:t>’</w:t>
      </w:r>
      <w:r w:rsidRPr="00791286">
        <w:rPr>
          <w:lang w:val="fr-FR"/>
        </w:rPr>
        <w:t>atmosphère contre la pollution atmosphérique et la dégradation atmosphérique doivent être réglés par des moyens pacifiques</w:t>
      </w:r>
      <w:r w:rsidRPr="00F22925">
        <w:rPr>
          <w:lang w:val="fr-FR"/>
        </w:rPr>
        <w:t>.</w:t>
      </w:r>
    </w:p>
    <w:p w14:paraId="31E329E9" w14:textId="77777777" w:rsidR="00D01ECD" w:rsidRPr="000A0208" w:rsidRDefault="00D01ECD" w:rsidP="00D01ECD">
      <w:pPr>
        <w:pStyle w:val="SingleTxtG"/>
        <w:spacing w:line="244" w:lineRule="atLeast"/>
        <w:ind w:left="1701"/>
        <w:rPr>
          <w:lang w:val="fr-FR"/>
        </w:rPr>
      </w:pPr>
      <w:r w:rsidRPr="000A0208">
        <w:rPr>
          <w:lang w:val="fr-FR"/>
        </w:rPr>
        <w:t>2</w:t>
      </w:r>
      <w:r w:rsidRPr="00F22925">
        <w:rPr>
          <w:lang w:val="fr-FR"/>
        </w:rPr>
        <w:t>.</w:t>
      </w:r>
      <w:r w:rsidRPr="000A0208">
        <w:rPr>
          <w:lang w:val="fr-FR"/>
        </w:rPr>
        <w:tab/>
      </w:r>
      <w:r w:rsidRPr="00791286">
        <w:rPr>
          <w:lang w:val="fr-FR"/>
        </w:rPr>
        <w:t>Ces différends pouvant présenter une grande complexité factuelle et une dimension scientifique marquée, une attention toute particulière devrait être accordée au recours à des experts scientifiques et techniques</w:t>
      </w:r>
      <w:r w:rsidRPr="00F22925">
        <w:rPr>
          <w:lang w:val="fr-FR"/>
        </w:rPr>
        <w:t>.</w:t>
      </w:r>
    </w:p>
    <w:p w14:paraId="72CBA0F0" w14:textId="77777777" w:rsidR="00D01ECD" w:rsidRPr="000A0208" w:rsidRDefault="00D01ECD" w:rsidP="00D01ECD">
      <w:pPr>
        <w:pStyle w:val="H23G"/>
        <w:spacing w:before="280" w:after="160"/>
        <w:rPr>
          <w:lang w:val="fr-FR"/>
        </w:rPr>
      </w:pPr>
      <w:r w:rsidRPr="000A0208" w:rsidDel="00672E6C">
        <w:rPr>
          <w:lang w:val="fr-FR"/>
        </w:rPr>
        <w:t xml:space="preserve"> </w:t>
      </w:r>
      <w:r w:rsidRPr="000A0208">
        <w:rPr>
          <w:lang w:val="fr-FR"/>
        </w:rPr>
        <w:tab/>
      </w:r>
      <w:r w:rsidRPr="000A0208">
        <w:rPr>
          <w:lang w:val="fr-FR"/>
        </w:rPr>
        <w:tab/>
      </w:r>
      <w:bookmarkStart w:id="36" w:name="_Toc522896345"/>
      <w:bookmarkStart w:id="37" w:name="_Toc523727655"/>
      <w:r w:rsidRPr="000A0208">
        <w:rPr>
          <w:lang w:val="fr-FR"/>
        </w:rPr>
        <w:t>Commenta</w:t>
      </w:r>
      <w:bookmarkEnd w:id="36"/>
      <w:bookmarkEnd w:id="37"/>
      <w:r>
        <w:rPr>
          <w:lang w:val="fr-FR"/>
        </w:rPr>
        <w:t>ire</w:t>
      </w:r>
    </w:p>
    <w:p w14:paraId="08EA1A77" w14:textId="77777777" w:rsidR="00D01ECD" w:rsidRDefault="00D01ECD" w:rsidP="00D01ECD">
      <w:pPr>
        <w:pStyle w:val="SingleTxtG"/>
        <w:spacing w:after="140" w:line="244" w:lineRule="atLeast"/>
        <w:rPr>
          <w:lang w:val="fr-FR"/>
        </w:rPr>
      </w:pPr>
      <w:r w:rsidRPr="000A0208">
        <w:rPr>
          <w:lang w:val="fr-FR"/>
        </w:rPr>
        <w:t>1)</w:t>
      </w:r>
      <w:r w:rsidRPr="000A0208">
        <w:rPr>
          <w:lang w:val="fr-FR"/>
        </w:rPr>
        <w:tab/>
      </w:r>
      <w:r w:rsidRPr="00336568">
        <w:rPr>
          <w:lang w:val="fr-CA"/>
        </w:rPr>
        <w:t>Le projet de directive 12 concerne le règlement des différends</w:t>
      </w:r>
      <w:r w:rsidRPr="00F22925">
        <w:rPr>
          <w:lang w:val="fr-CA"/>
        </w:rPr>
        <w:t>.</w:t>
      </w:r>
      <w:r w:rsidRPr="00336568">
        <w:rPr>
          <w:bCs/>
          <w:lang w:val="fr-CA"/>
        </w:rPr>
        <w:t xml:space="preserve"> Son paragraphe 1 énonce l</w:t>
      </w:r>
      <w:r>
        <w:rPr>
          <w:bCs/>
          <w:lang w:val="fr-CA"/>
        </w:rPr>
        <w:t>’</w:t>
      </w:r>
      <w:r w:rsidRPr="00336568">
        <w:rPr>
          <w:bCs/>
          <w:lang w:val="fr-CA"/>
        </w:rPr>
        <w:t>obligation générale faite aux États de régler leurs différends par des moyens pacifiques</w:t>
      </w:r>
      <w:r w:rsidRPr="00F22925">
        <w:rPr>
          <w:lang w:val="fr-CA"/>
        </w:rPr>
        <w:t>.</w:t>
      </w:r>
      <w:r w:rsidRPr="00336568">
        <w:rPr>
          <w:lang w:val="fr-CA"/>
        </w:rPr>
        <w:t xml:space="preserve"> Les termes « entre États » viennent préciser que les différends visés dans ce paragraphe sont les différends interétatiques</w:t>
      </w:r>
      <w:r w:rsidRPr="00F22925">
        <w:rPr>
          <w:lang w:val="fr-CA"/>
        </w:rPr>
        <w:t>.</w:t>
      </w:r>
      <w:r w:rsidRPr="00336568">
        <w:rPr>
          <w:lang w:val="fr-CA"/>
        </w:rPr>
        <w:t xml:space="preserve"> Si le paragraphe ne fait pas référence au paragraphe 1 de l</w:t>
      </w:r>
      <w:r>
        <w:rPr>
          <w:lang w:val="fr-CA"/>
        </w:rPr>
        <w:t>’</w:t>
      </w:r>
      <w:r w:rsidRPr="00336568">
        <w:rPr>
          <w:lang w:val="fr-CA"/>
        </w:rPr>
        <w:t>Article 33 de la Charte des Nations Unies, l</w:t>
      </w:r>
      <w:r>
        <w:rPr>
          <w:lang w:val="fr-CA"/>
        </w:rPr>
        <w:t>’</w:t>
      </w:r>
      <w:r w:rsidRPr="00336568">
        <w:rPr>
          <w:lang w:val="fr-CA"/>
        </w:rPr>
        <w:t>intention n</w:t>
      </w:r>
      <w:r>
        <w:rPr>
          <w:lang w:val="fr-CA"/>
        </w:rPr>
        <w:t>’</w:t>
      </w:r>
      <w:r w:rsidRPr="00336568">
        <w:rPr>
          <w:lang w:val="fr-CA"/>
        </w:rPr>
        <w:t>est pas pour autant de minimiser l</w:t>
      </w:r>
      <w:r>
        <w:rPr>
          <w:lang w:val="fr-CA"/>
        </w:rPr>
        <w:t>’</w:t>
      </w:r>
      <w:r w:rsidRPr="00336568">
        <w:rPr>
          <w:lang w:val="fr-CA"/>
        </w:rPr>
        <w:t>importance des divers moyens de règlement pacifique des différends énumérés dans cet article, notamment la négociation, l</w:t>
      </w:r>
      <w:r>
        <w:rPr>
          <w:lang w:val="fr-CA"/>
        </w:rPr>
        <w:t>’</w:t>
      </w:r>
      <w:r w:rsidRPr="00336568">
        <w:rPr>
          <w:lang w:val="fr-CA"/>
        </w:rPr>
        <w:t>enquête, la médiation, la conciliation, l</w:t>
      </w:r>
      <w:r>
        <w:rPr>
          <w:lang w:val="fr-CA"/>
        </w:rPr>
        <w:t>’</w:t>
      </w:r>
      <w:r w:rsidRPr="00336568">
        <w:rPr>
          <w:lang w:val="fr-CA"/>
        </w:rPr>
        <w:t>arbitrage, le règlement judiciaire et le recours à tous autres moyens pacifiques pouvant avoir la préférence des États concernés, ni l</w:t>
      </w:r>
      <w:r>
        <w:rPr>
          <w:lang w:val="fr-CA"/>
        </w:rPr>
        <w:t>’</w:t>
      </w:r>
      <w:r w:rsidRPr="00336568">
        <w:rPr>
          <w:lang w:val="fr-CA"/>
        </w:rPr>
        <w:t>importance du principe du choix des moyens de règlement</w:t>
      </w:r>
      <w:r w:rsidRPr="00F22830">
        <w:rPr>
          <w:rStyle w:val="FootnoteReference"/>
        </w:rPr>
        <w:footnoteReference w:id="180"/>
      </w:r>
      <w:r w:rsidRPr="00F22925">
        <w:rPr>
          <w:sz w:val="18"/>
          <w:lang w:val="fr-CA"/>
        </w:rPr>
        <w:t>.</w:t>
      </w:r>
      <w:r w:rsidRPr="00336568">
        <w:rPr>
          <w:sz w:val="18"/>
          <w:lang w:val="fr-CA"/>
        </w:rPr>
        <w:t xml:space="preserve"> </w:t>
      </w:r>
      <w:r w:rsidRPr="00336568">
        <w:rPr>
          <w:lang w:val="fr-CA"/>
        </w:rPr>
        <w:t>Le paragraphe 1 n</w:t>
      </w:r>
      <w:r>
        <w:rPr>
          <w:lang w:val="fr-CA"/>
        </w:rPr>
        <w:t>’</w:t>
      </w:r>
      <w:r w:rsidRPr="00336568">
        <w:rPr>
          <w:lang w:val="fr-CA"/>
        </w:rPr>
        <w:t>est pas destiné à interférer avec les dispositions relatives au règlement des différends établies par les</w:t>
      </w:r>
      <w:r>
        <w:rPr>
          <w:lang w:val="fr-CA"/>
        </w:rPr>
        <w:t xml:space="preserve"> </w:t>
      </w:r>
      <w:r w:rsidRPr="00336568">
        <w:rPr>
          <w:lang w:val="fr-CA"/>
        </w:rPr>
        <w:t>régimes conventionnels, qui conservent leurs modalités de fonctionnement, ni à s</w:t>
      </w:r>
      <w:r>
        <w:rPr>
          <w:lang w:val="fr-CA"/>
        </w:rPr>
        <w:t>’</w:t>
      </w:r>
      <w:r w:rsidRPr="00336568">
        <w:rPr>
          <w:lang w:val="fr-CA"/>
        </w:rPr>
        <w:t>y substituer</w:t>
      </w:r>
      <w:r w:rsidRPr="00F22925">
        <w:rPr>
          <w:lang w:val="fr-CA"/>
        </w:rPr>
        <w:t>.</w:t>
      </w:r>
      <w:r w:rsidRPr="00336568">
        <w:rPr>
          <w:lang w:val="fr-CA"/>
        </w:rPr>
        <w:t xml:space="preserve"> Son objectif principal est de réaffirmer le principe du règlement pacifique des différends</w:t>
      </w:r>
      <w:r w:rsidRPr="00F22830">
        <w:rPr>
          <w:rStyle w:val="FootnoteReference"/>
        </w:rPr>
        <w:footnoteReference w:id="181"/>
      </w:r>
      <w:r w:rsidRPr="00336568">
        <w:rPr>
          <w:lang w:val="fr-CA"/>
        </w:rPr>
        <w:t xml:space="preserve"> et de servir de base au paragraphe 2</w:t>
      </w:r>
      <w:r w:rsidRPr="00F22925">
        <w:rPr>
          <w:lang w:val="fr-CA"/>
        </w:rPr>
        <w:t>.</w:t>
      </w:r>
      <w:r w:rsidRPr="00336568">
        <w:rPr>
          <w:lang w:val="fr-CA"/>
        </w:rPr>
        <w:t xml:space="preserve"> </w:t>
      </w:r>
    </w:p>
    <w:p w14:paraId="180603B3" w14:textId="77777777" w:rsidR="00D01ECD" w:rsidRDefault="00D01ECD" w:rsidP="00D01ECD">
      <w:pPr>
        <w:pStyle w:val="SingleTxtG"/>
        <w:spacing w:line="244" w:lineRule="atLeast"/>
        <w:rPr>
          <w:lang w:val="fr-FR"/>
        </w:rPr>
      </w:pPr>
      <w:r w:rsidRPr="000A0208">
        <w:rPr>
          <w:lang w:val="fr-FR"/>
        </w:rPr>
        <w:t>2)</w:t>
      </w:r>
      <w:r w:rsidRPr="000A0208">
        <w:rPr>
          <w:lang w:val="fr-FR"/>
        </w:rPr>
        <w:tab/>
      </w:r>
      <w:r w:rsidRPr="00336568">
        <w:rPr>
          <w:bCs/>
          <w:lang w:val="fr-CA"/>
        </w:rPr>
        <w:t>La</w:t>
      </w:r>
      <w:r w:rsidRPr="00336568">
        <w:rPr>
          <w:lang w:val="fr-CA"/>
        </w:rPr>
        <w:t xml:space="preserve"> première partie </w:t>
      </w:r>
      <w:r>
        <w:rPr>
          <w:lang w:val="fr-CA"/>
        </w:rPr>
        <w:t>du</w:t>
      </w:r>
      <w:r w:rsidRPr="00336568">
        <w:rPr>
          <w:lang w:val="fr-CA"/>
        </w:rPr>
        <w:t xml:space="preserve"> paragraphe 2 tient compte du fait que les différends liés à la protection de l</w:t>
      </w:r>
      <w:r>
        <w:rPr>
          <w:lang w:val="fr-CA"/>
        </w:rPr>
        <w:t>’</w:t>
      </w:r>
      <w:r w:rsidRPr="00336568">
        <w:rPr>
          <w:lang w:val="fr-CA"/>
        </w:rPr>
        <w:t xml:space="preserve">atmosphère contre la pollution atmosphérique et la dégradation </w:t>
      </w:r>
      <w:r w:rsidRPr="00336568">
        <w:rPr>
          <w:lang w:val="fr-CA"/>
        </w:rPr>
        <w:lastRenderedPageBreak/>
        <w:t>atmosphérique peuvent présenter une « grande complexité factuelle » et une « dimension scientifique marquée »</w:t>
      </w:r>
      <w:r w:rsidRPr="00F22925">
        <w:rPr>
          <w:lang w:val="fr-CA"/>
        </w:rPr>
        <w:t>.</w:t>
      </w:r>
      <w:r w:rsidRPr="00336568">
        <w:rPr>
          <w:lang w:val="fr-CA"/>
        </w:rPr>
        <w:t xml:space="preserve"> Si, d</w:t>
      </w:r>
      <w:r>
        <w:rPr>
          <w:lang w:val="fr-CA"/>
        </w:rPr>
        <w:t>’</w:t>
      </w:r>
      <w:r w:rsidRPr="00336568">
        <w:rPr>
          <w:lang w:val="fr-CA"/>
        </w:rPr>
        <w:t>un côté, le développement progressif du droit international relatif à la protection de l</w:t>
      </w:r>
      <w:r>
        <w:rPr>
          <w:lang w:val="fr-CA"/>
        </w:rPr>
        <w:t>’</w:t>
      </w:r>
      <w:r w:rsidRPr="00336568">
        <w:rPr>
          <w:lang w:val="fr-CA"/>
        </w:rPr>
        <w:t>atmosphère s</w:t>
      </w:r>
      <w:r>
        <w:rPr>
          <w:lang w:val="fr-CA"/>
        </w:rPr>
        <w:t>’</w:t>
      </w:r>
      <w:r w:rsidRPr="00336568">
        <w:rPr>
          <w:lang w:val="fr-CA"/>
        </w:rPr>
        <w:t>est largement appuyé sur la science</w:t>
      </w:r>
      <w:r w:rsidRPr="00F22830">
        <w:rPr>
          <w:rStyle w:val="FootnoteReference"/>
        </w:rPr>
        <w:footnoteReference w:id="182"/>
      </w:r>
      <w:r w:rsidRPr="00336568">
        <w:rPr>
          <w:lang w:val="fr-CA"/>
        </w:rPr>
        <w:t>, de l</w:t>
      </w:r>
      <w:r>
        <w:rPr>
          <w:lang w:val="fr-CA"/>
        </w:rPr>
        <w:t>’</w:t>
      </w:r>
      <w:r w:rsidRPr="00336568">
        <w:rPr>
          <w:lang w:val="fr-CA"/>
        </w:rPr>
        <w:t>autre, ces dernières années, le règlement des différends internationaux</w:t>
      </w:r>
      <w:r w:rsidRPr="00336568" w:rsidDel="00AB5E2C">
        <w:rPr>
          <w:lang w:val="fr-CA"/>
        </w:rPr>
        <w:t xml:space="preserve"> </w:t>
      </w:r>
      <w:r w:rsidRPr="00336568">
        <w:rPr>
          <w:lang w:val="fr-CA"/>
        </w:rPr>
        <w:t>a nécessité l</w:t>
      </w:r>
      <w:r>
        <w:rPr>
          <w:lang w:val="fr-CA"/>
        </w:rPr>
        <w:t>’</w:t>
      </w:r>
      <w:r w:rsidRPr="00336568">
        <w:rPr>
          <w:lang w:val="fr-CA"/>
        </w:rPr>
        <w:t>examen de questions scientifiques et techniques plus complexes qu</w:t>
      </w:r>
      <w:r>
        <w:rPr>
          <w:lang w:val="fr-CA"/>
        </w:rPr>
        <w:t>’</w:t>
      </w:r>
      <w:r w:rsidRPr="00336568">
        <w:rPr>
          <w:lang w:val="fr-CA"/>
        </w:rPr>
        <w:t>avant</w:t>
      </w:r>
      <w:r w:rsidRPr="00F22925">
        <w:rPr>
          <w:lang w:val="fr-CA"/>
        </w:rPr>
        <w:t>.</w:t>
      </w:r>
      <w:r w:rsidRPr="00336568">
        <w:rPr>
          <w:lang w:val="fr-CA"/>
        </w:rPr>
        <w:t xml:space="preserve"> Ainsi, les juridictions internationales ont été de plus en plus amenées à connaître d</w:t>
      </w:r>
      <w:r>
        <w:rPr>
          <w:lang w:val="fr-CA"/>
        </w:rPr>
        <w:t>’</w:t>
      </w:r>
      <w:r w:rsidRPr="00336568">
        <w:rPr>
          <w:lang w:val="fr-CA"/>
        </w:rPr>
        <w:t>affaires reposant sur des éléments de preuve d</w:t>
      </w:r>
      <w:r>
        <w:rPr>
          <w:lang w:val="fr-CA"/>
        </w:rPr>
        <w:t>’</w:t>
      </w:r>
      <w:r w:rsidRPr="00336568">
        <w:rPr>
          <w:lang w:val="fr-CA"/>
        </w:rPr>
        <w:t>une nature hautement technique et scientifique</w:t>
      </w:r>
      <w:r w:rsidRPr="00F22830">
        <w:rPr>
          <w:rStyle w:val="FootnoteReference"/>
        </w:rPr>
        <w:footnoteReference w:id="183"/>
      </w:r>
      <w:r w:rsidRPr="00F22925">
        <w:rPr>
          <w:lang w:val="fr-CA"/>
        </w:rPr>
        <w:t>.</w:t>
      </w:r>
      <w:r w:rsidRPr="00336568">
        <w:rPr>
          <w:lang w:val="fr-CA"/>
        </w:rPr>
        <w:t xml:space="preserve"> Comme en témoigne l</w:t>
      </w:r>
      <w:r>
        <w:rPr>
          <w:lang w:val="fr-CA"/>
        </w:rPr>
        <w:t>’</w:t>
      </w:r>
      <w:r w:rsidRPr="00336568">
        <w:rPr>
          <w:lang w:val="fr-CA"/>
        </w:rPr>
        <w:t>expérience acquise dans le domaine des différends interétatiques relatifs à l</w:t>
      </w:r>
      <w:r>
        <w:rPr>
          <w:lang w:val="fr-CA"/>
        </w:rPr>
        <w:t>’</w:t>
      </w:r>
      <w:r w:rsidRPr="00336568">
        <w:rPr>
          <w:lang w:val="fr-CA"/>
        </w:rPr>
        <w:t>environnement, il est souvent nécessaire, pour apprécier ce type d</w:t>
      </w:r>
      <w:r>
        <w:rPr>
          <w:lang w:val="fr-CA"/>
        </w:rPr>
        <w:t>’</w:t>
      </w:r>
      <w:r w:rsidRPr="00336568">
        <w:rPr>
          <w:lang w:val="fr-CA"/>
        </w:rPr>
        <w:t>éléments, de disposer de connaissances spécialisées permettant de replacer l</w:t>
      </w:r>
      <w:r>
        <w:rPr>
          <w:lang w:val="fr-CA"/>
        </w:rPr>
        <w:t>’</w:t>
      </w:r>
      <w:r w:rsidRPr="00336568">
        <w:rPr>
          <w:lang w:val="fr-CA"/>
        </w:rPr>
        <w:t>objet du litige dans son contexte ou d</w:t>
      </w:r>
      <w:r>
        <w:rPr>
          <w:lang w:val="fr-CA"/>
        </w:rPr>
        <w:t>’</w:t>
      </w:r>
      <w:r w:rsidRPr="00336568">
        <w:rPr>
          <w:lang w:val="fr-CA"/>
        </w:rPr>
        <w:t>en saisir pleinement la portée</w:t>
      </w:r>
      <w:r w:rsidRPr="00F22925">
        <w:rPr>
          <w:lang w:val="fr-CA"/>
        </w:rPr>
        <w:t>.</w:t>
      </w:r>
      <w:r w:rsidRPr="00336568">
        <w:rPr>
          <w:lang w:val="fr-CA"/>
        </w:rPr>
        <w:t xml:space="preserve"> </w:t>
      </w:r>
    </w:p>
    <w:p w14:paraId="39C8B3E8" w14:textId="77777777" w:rsidR="00D01ECD" w:rsidRDefault="00D01ECD" w:rsidP="00D01ECD">
      <w:pPr>
        <w:pStyle w:val="SingleTxtG"/>
        <w:spacing w:line="238" w:lineRule="atLeast"/>
        <w:rPr>
          <w:lang w:val="fr-FR"/>
        </w:rPr>
      </w:pPr>
      <w:r w:rsidRPr="000A0208">
        <w:rPr>
          <w:lang w:val="fr-FR"/>
        </w:rPr>
        <w:t>3)</w:t>
      </w:r>
      <w:r w:rsidRPr="000A0208">
        <w:rPr>
          <w:lang w:val="fr-FR"/>
        </w:rPr>
        <w:tab/>
      </w:r>
      <w:r>
        <w:rPr>
          <w:lang w:val="fr-FR"/>
        </w:rPr>
        <w:t>Les</w:t>
      </w:r>
      <w:r w:rsidRPr="00336568">
        <w:rPr>
          <w:lang w:val="fr-CA"/>
        </w:rPr>
        <w:t xml:space="preserve"> affaires de droit international de l</w:t>
      </w:r>
      <w:r>
        <w:rPr>
          <w:lang w:val="fr-CA"/>
        </w:rPr>
        <w:t>’</w:t>
      </w:r>
      <w:r w:rsidRPr="00336568">
        <w:rPr>
          <w:lang w:val="fr-CA"/>
        </w:rPr>
        <w:t>environnement nécessitant l</w:t>
      </w:r>
      <w:r>
        <w:rPr>
          <w:lang w:val="fr-CA"/>
        </w:rPr>
        <w:t>’</w:t>
      </w:r>
      <w:r w:rsidRPr="00336568">
        <w:rPr>
          <w:lang w:val="fr-CA"/>
        </w:rPr>
        <w:t>examen de questions scientifiques pointues</w:t>
      </w:r>
      <w:r>
        <w:rPr>
          <w:lang w:val="fr-CA"/>
        </w:rPr>
        <w:t xml:space="preserve"> dont la Cour internationale de Justice a récemment été saisie</w:t>
      </w:r>
      <w:r w:rsidRPr="00F22830">
        <w:rPr>
          <w:rStyle w:val="FootnoteReference"/>
        </w:rPr>
        <w:footnoteReference w:id="184"/>
      </w:r>
      <w:r>
        <w:rPr>
          <w:lang w:val="fr-CA"/>
        </w:rPr>
        <w:t xml:space="preserve"> font apparaître, directement</w:t>
      </w:r>
      <w:r w:rsidRPr="00336568">
        <w:rPr>
          <w:lang w:val="fr-CA"/>
        </w:rPr>
        <w:t xml:space="preserve"> ou indirectement, que le règlement des différends </w:t>
      </w:r>
      <w:r w:rsidRPr="00336568">
        <w:rPr>
          <w:lang w:val="fr-CA"/>
        </w:rPr>
        <w:lastRenderedPageBreak/>
        <w:t>relatifs à la protection de l</w:t>
      </w:r>
      <w:r>
        <w:rPr>
          <w:lang w:val="fr-CA"/>
        </w:rPr>
        <w:t>’</w:t>
      </w:r>
      <w:r w:rsidRPr="00336568">
        <w:rPr>
          <w:lang w:val="fr-CA"/>
        </w:rPr>
        <w:t>atmosphère a des caractéristiques propres</w:t>
      </w:r>
      <w:r w:rsidRPr="00F22925">
        <w:rPr>
          <w:lang w:val="fr-CA"/>
        </w:rPr>
        <w:t>.</w:t>
      </w:r>
      <w:r w:rsidRPr="00336568">
        <w:rPr>
          <w:lang w:val="fr-CA"/>
        </w:rPr>
        <w:t xml:space="preserve"> C</w:t>
      </w:r>
      <w:r>
        <w:rPr>
          <w:lang w:val="fr-CA"/>
        </w:rPr>
        <w:t>’</w:t>
      </w:r>
      <w:r w:rsidRPr="00336568">
        <w:rPr>
          <w:lang w:val="fr-CA"/>
        </w:rPr>
        <w:t xml:space="preserve">est pourquoi, comme </w:t>
      </w:r>
      <w:r>
        <w:rPr>
          <w:lang w:val="fr-CA"/>
        </w:rPr>
        <w:t>il est souligné au</w:t>
      </w:r>
      <w:r w:rsidRPr="00336568">
        <w:rPr>
          <w:lang w:val="fr-CA"/>
        </w:rPr>
        <w:t xml:space="preserve"> paragraphe 2, </w:t>
      </w:r>
      <w:r w:rsidRPr="00336568">
        <w:rPr>
          <w:spacing w:val="-2"/>
          <w:lang w:val="fr-CA"/>
        </w:rPr>
        <w:t xml:space="preserve">« une attention toute particulière » </w:t>
      </w:r>
      <w:r>
        <w:rPr>
          <w:spacing w:val="-2"/>
          <w:lang w:val="fr-CA"/>
        </w:rPr>
        <w:t>doit</w:t>
      </w:r>
      <w:r w:rsidRPr="00336568">
        <w:rPr>
          <w:spacing w:val="-2"/>
          <w:lang w:val="fr-CA"/>
        </w:rPr>
        <w:t xml:space="preserve"> être accordée au recours à des experts scientifiques et techniques</w:t>
      </w:r>
      <w:bookmarkStart w:id="38" w:name="_Ref74827808"/>
      <w:r w:rsidRPr="00F22830">
        <w:rPr>
          <w:rStyle w:val="FootnoteReference"/>
        </w:rPr>
        <w:footnoteReference w:id="185"/>
      </w:r>
      <w:bookmarkEnd w:id="38"/>
      <w:r w:rsidRPr="00F22925">
        <w:rPr>
          <w:spacing w:val="-2"/>
          <w:lang w:val="fr-CA"/>
        </w:rPr>
        <w:t>.</w:t>
      </w:r>
      <w:r w:rsidRPr="00336568">
        <w:rPr>
          <w:spacing w:val="-2"/>
          <w:lang w:val="fr-CA"/>
        </w:rPr>
        <w:t xml:space="preserve"> Ce</w:t>
      </w:r>
      <w:r>
        <w:rPr>
          <w:spacing w:val="-2"/>
          <w:lang w:val="fr-CA"/>
        </w:rPr>
        <w:t xml:space="preserve"> </w:t>
      </w:r>
      <w:r w:rsidRPr="00336568">
        <w:rPr>
          <w:spacing w:val="-2"/>
          <w:lang w:val="fr-CA"/>
        </w:rPr>
        <w:t>paragraphe</w:t>
      </w:r>
      <w:r w:rsidRPr="00336568">
        <w:rPr>
          <w:lang w:val="fr-CA"/>
        </w:rPr>
        <w:t xml:space="preserve"> a essentiellement pour objet de mettre l</w:t>
      </w:r>
      <w:r>
        <w:rPr>
          <w:lang w:val="fr-CA"/>
        </w:rPr>
        <w:t>’</w:t>
      </w:r>
      <w:r w:rsidRPr="00336568">
        <w:rPr>
          <w:lang w:val="fr-CA"/>
        </w:rPr>
        <w:t>accent sur le recours aux experts scientifiques et techniques dans le contexte du règlement, judiciaire ou autre, des différends interétatiques</w:t>
      </w:r>
      <w:r w:rsidRPr="00F22830">
        <w:rPr>
          <w:rStyle w:val="FootnoteReference"/>
        </w:rPr>
        <w:footnoteReference w:id="186"/>
      </w:r>
      <w:r w:rsidRPr="00F22925">
        <w:rPr>
          <w:lang w:val="fr-CA"/>
        </w:rPr>
        <w:t>.</w:t>
      </w:r>
    </w:p>
    <w:p w14:paraId="63AAA8DD" w14:textId="77777777" w:rsidR="00D01ECD" w:rsidRPr="00336568" w:rsidRDefault="00D01ECD" w:rsidP="00D01ECD">
      <w:pPr>
        <w:pStyle w:val="SingleTxtG"/>
        <w:spacing w:line="238" w:lineRule="atLeast"/>
        <w:rPr>
          <w:lang w:val="fr-CA"/>
        </w:rPr>
      </w:pPr>
      <w:r w:rsidRPr="000A0208">
        <w:rPr>
          <w:lang w:val="fr-FR"/>
        </w:rPr>
        <w:t>4)</w:t>
      </w:r>
      <w:r w:rsidRPr="000A0208">
        <w:rPr>
          <w:lang w:val="fr-FR"/>
        </w:rPr>
        <w:tab/>
      </w:r>
      <w:r>
        <w:rPr>
          <w:lang w:val="fr-FR"/>
        </w:rPr>
        <w:t>Pour ce projet de directive, la</w:t>
      </w:r>
      <w:r w:rsidRPr="00336568">
        <w:rPr>
          <w:iCs/>
          <w:lang w:val="fr-CA"/>
        </w:rPr>
        <w:t xml:space="preserve"> Commission a toutefois décidé de s</w:t>
      </w:r>
      <w:r>
        <w:rPr>
          <w:iCs/>
          <w:lang w:val="fr-CA"/>
        </w:rPr>
        <w:t>’</w:t>
      </w:r>
      <w:r w:rsidRPr="00336568">
        <w:rPr>
          <w:iCs/>
          <w:lang w:val="fr-CA"/>
        </w:rPr>
        <w:t xml:space="preserve">en tenir à une formulation simple et de ne pas traiter </w:t>
      </w:r>
      <w:r>
        <w:rPr>
          <w:iCs/>
          <w:lang w:val="fr-CA"/>
        </w:rPr>
        <w:t>d’autres questions éventuellement pertinentes, comme</w:t>
      </w:r>
      <w:r w:rsidRPr="00336568">
        <w:rPr>
          <w:lang w:val="fr-CA"/>
        </w:rPr>
        <w:t xml:space="preserve">, les principes </w:t>
      </w:r>
      <w:proofErr w:type="gramStart"/>
      <w:r w:rsidRPr="00336568">
        <w:rPr>
          <w:i/>
          <w:iCs/>
          <w:lang w:val="fr-CA"/>
        </w:rPr>
        <w:t>jura</w:t>
      </w:r>
      <w:proofErr w:type="gramEnd"/>
      <w:r w:rsidRPr="00336568">
        <w:rPr>
          <w:i/>
          <w:iCs/>
          <w:lang w:val="fr-CA"/>
        </w:rPr>
        <w:t xml:space="preserve"> </w:t>
      </w:r>
      <w:proofErr w:type="spellStart"/>
      <w:r w:rsidRPr="00336568">
        <w:rPr>
          <w:i/>
          <w:iCs/>
          <w:lang w:val="fr-CA"/>
        </w:rPr>
        <w:t>novit</w:t>
      </w:r>
      <w:proofErr w:type="spellEnd"/>
      <w:r w:rsidRPr="00336568">
        <w:rPr>
          <w:i/>
          <w:iCs/>
          <w:lang w:val="fr-CA"/>
        </w:rPr>
        <w:t xml:space="preserve"> </w:t>
      </w:r>
      <w:proofErr w:type="spellStart"/>
      <w:r w:rsidRPr="00336568">
        <w:rPr>
          <w:i/>
          <w:iCs/>
          <w:lang w:val="fr-CA"/>
        </w:rPr>
        <w:t>curia</w:t>
      </w:r>
      <w:proofErr w:type="spellEnd"/>
      <w:r w:rsidRPr="00336568">
        <w:rPr>
          <w:lang w:val="fr-CA"/>
        </w:rPr>
        <w:t xml:space="preserve"> (le juge connaît le droit) et </w:t>
      </w:r>
      <w:r w:rsidRPr="00336568">
        <w:rPr>
          <w:i/>
          <w:iCs/>
          <w:lang w:val="fr-CA"/>
        </w:rPr>
        <w:t xml:space="preserve">non ultra </w:t>
      </w:r>
      <w:proofErr w:type="spellStart"/>
      <w:r w:rsidRPr="00336568">
        <w:rPr>
          <w:i/>
          <w:iCs/>
          <w:lang w:val="fr-CA"/>
        </w:rPr>
        <w:t>petita</w:t>
      </w:r>
      <w:proofErr w:type="spellEnd"/>
      <w:r w:rsidRPr="00336568">
        <w:rPr>
          <w:iCs/>
          <w:lang w:val="fr-CA"/>
        </w:rPr>
        <w:t xml:space="preserve"> (ne pas accorder plus que ce qui est demandé)</w:t>
      </w:r>
      <w:r w:rsidRPr="00F22830">
        <w:rPr>
          <w:rStyle w:val="FootnoteReference"/>
        </w:rPr>
        <w:footnoteReference w:id="187"/>
      </w:r>
      <w:r w:rsidRPr="00F22925">
        <w:rPr>
          <w:iCs/>
          <w:lang w:val="fr-CA"/>
        </w:rPr>
        <w:t>.</w:t>
      </w:r>
      <w:r w:rsidRPr="00336568">
        <w:rPr>
          <w:iCs/>
          <w:lang w:val="fr-CA"/>
        </w:rPr>
        <w:t xml:space="preserve"> </w:t>
      </w:r>
    </w:p>
    <w:p w14:paraId="56327E1D" w14:textId="0D9AE7E0" w:rsidR="006D3D4E" w:rsidRDefault="0052070F" w:rsidP="00D01ECD"/>
    <w:sectPr w:rsidR="006D3D4E" w:rsidSect="007C22A5">
      <w:footnotePr>
        <w:numStart w:val="9"/>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6AA2" w14:textId="77777777" w:rsidR="0052070F" w:rsidRDefault="0052070F" w:rsidP="00D01ECD">
      <w:pPr>
        <w:spacing w:line="240" w:lineRule="auto"/>
      </w:pPr>
      <w:r>
        <w:separator/>
      </w:r>
    </w:p>
  </w:endnote>
  <w:endnote w:type="continuationSeparator" w:id="0">
    <w:p w14:paraId="5140C336" w14:textId="77777777" w:rsidR="0052070F" w:rsidRDefault="0052070F" w:rsidP="00D01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有澤楷書">
    <w:altName w:val="MS Mincho"/>
    <w:panose1 w:val="020B0604020202020204"/>
    <w:charset w:val="80"/>
    <w:family w:val="auto"/>
    <w:pitch w:val="fixed"/>
    <w:sig w:usb0="A00002BF" w:usb1="68C7FCFB"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2BB8" w14:textId="77777777" w:rsidR="0052070F" w:rsidRDefault="0052070F" w:rsidP="00D01ECD">
      <w:pPr>
        <w:spacing w:line="240" w:lineRule="auto"/>
      </w:pPr>
      <w:r>
        <w:separator/>
      </w:r>
    </w:p>
  </w:footnote>
  <w:footnote w:type="continuationSeparator" w:id="0">
    <w:p w14:paraId="4D99D58E" w14:textId="77777777" w:rsidR="0052070F" w:rsidRDefault="0052070F" w:rsidP="00D01ECD">
      <w:pPr>
        <w:spacing w:line="240" w:lineRule="auto"/>
      </w:pPr>
      <w:r>
        <w:continuationSeparator/>
      </w:r>
    </w:p>
  </w:footnote>
  <w:footnote w:id="1">
    <w:p w14:paraId="6999C3BF" w14:textId="77777777" w:rsidR="00D01ECD" w:rsidRPr="00750617" w:rsidRDefault="00D01ECD" w:rsidP="00D01ECD">
      <w:pPr>
        <w:pStyle w:val="FootnoteText"/>
      </w:pPr>
      <w:r w:rsidRPr="00750617">
        <w:tab/>
      </w:r>
      <w:r w:rsidRPr="00750617">
        <w:rPr>
          <w:rStyle w:val="FootnoteReference"/>
        </w:rPr>
        <w:footnoteRef/>
      </w:r>
      <w:r w:rsidRPr="00750617">
        <w:tab/>
        <w:t xml:space="preserve">Voir </w:t>
      </w:r>
      <w:r w:rsidRPr="00750617">
        <w:rPr>
          <w:i/>
          <w:iCs/>
        </w:rPr>
        <w:t>supra</w:t>
      </w:r>
      <w:r w:rsidRPr="00750617">
        <w:t xml:space="preserve"> la note </w:t>
      </w:r>
      <w:r w:rsidRPr="00750617">
        <w:fldChar w:fldCharType="begin"/>
      </w:r>
      <w:r w:rsidRPr="00750617">
        <w:instrText xml:space="preserve"> NOTEREF _Ref81549513 \h </w:instrText>
      </w:r>
      <w:r>
        <w:instrText xml:space="preserve"> \* MERGEFORMAT </w:instrText>
      </w:r>
      <w:r w:rsidRPr="00750617">
        <w:fldChar w:fldCharType="separate"/>
      </w:r>
      <w:r>
        <w:t>6</w:t>
      </w:r>
      <w:r w:rsidRPr="00750617">
        <w:fldChar w:fldCharType="end"/>
      </w:r>
      <w:r w:rsidRPr="00F22925">
        <w:t>.</w:t>
      </w:r>
    </w:p>
  </w:footnote>
  <w:footnote w:id="2">
    <w:p w14:paraId="4AF75758" w14:textId="77777777" w:rsidR="00D01ECD" w:rsidRPr="00750617" w:rsidRDefault="00D01ECD" w:rsidP="00D01ECD">
      <w:pPr>
        <w:pStyle w:val="FootnoteText"/>
        <w:rPr>
          <w:rFonts w:eastAsia="有澤楷書"/>
        </w:rPr>
      </w:pPr>
      <w:r w:rsidRPr="00750617">
        <w:tab/>
      </w:r>
      <w:r w:rsidRPr="00750617">
        <w:rPr>
          <w:rStyle w:val="FootnoteReference"/>
        </w:rPr>
        <w:footnoteRef/>
      </w:r>
      <w:r w:rsidRPr="00750617">
        <w:tab/>
        <w:t xml:space="preserve">L’inscription des « ressources atmosphériques » parmi les « autres ressources naturelles » par l’ancien Comité des ressources naturelles est apparue pour la première fois dans le rapport du Comité sur les travaux de sa première session, </w:t>
      </w:r>
      <w:r w:rsidRPr="00750617">
        <w:rPr>
          <w:i/>
        </w:rPr>
        <w:t>Documents officiels du Conseil économique et social, cinquantième session, Supplément n</w:t>
      </w:r>
      <w:r w:rsidRPr="00750617">
        <w:rPr>
          <w:i/>
          <w:vertAlign w:val="superscript"/>
        </w:rPr>
        <w:t>o</w:t>
      </w:r>
      <w:r w:rsidRPr="00750617">
        <w:rPr>
          <w:i/>
        </w:rPr>
        <w:t> 6</w:t>
      </w:r>
      <w:r w:rsidRPr="00750617">
        <w:t xml:space="preserve"> (</w:t>
      </w:r>
      <w:hyperlink r:id="rId1" w:history="1">
        <w:r w:rsidRPr="00750617">
          <w:rPr>
            <w:rStyle w:val="Hyperlink"/>
          </w:rPr>
          <w:t>E/4969-E/C</w:t>
        </w:r>
        <w:r w:rsidRPr="00F22925">
          <w:rPr>
            <w:rStyle w:val="Hyperlink"/>
          </w:rPr>
          <w:t>.</w:t>
        </w:r>
        <w:r w:rsidRPr="00750617">
          <w:rPr>
            <w:rStyle w:val="Hyperlink"/>
          </w:rPr>
          <w:t>7/13</w:t>
        </w:r>
      </w:hyperlink>
      <w:r w:rsidRPr="00750617">
        <w:t>), sect</w:t>
      </w:r>
      <w:r w:rsidRPr="00F22925">
        <w:t>.</w:t>
      </w:r>
      <w:r w:rsidRPr="00750617">
        <w:t> 4 (« autres ressources naturelles »), par</w:t>
      </w:r>
      <w:r w:rsidRPr="00F22925">
        <w:t>.</w:t>
      </w:r>
      <w:r w:rsidRPr="00750617">
        <w:t> 94 d)</w:t>
      </w:r>
      <w:r w:rsidRPr="00F22925">
        <w:t>.</w:t>
      </w:r>
      <w:r w:rsidRPr="00750617">
        <w:t xml:space="preserve"> Les travaux du Comité (devenu ensuite le Comité de l’énergie et des ressources naturelles au service du développement) ont été ensuite transférés à la Commission du développement durable</w:t>
      </w:r>
      <w:r w:rsidRPr="00F22925">
        <w:rPr>
          <w:color w:val="000000"/>
        </w:rPr>
        <w:t>.</w:t>
      </w:r>
    </w:p>
  </w:footnote>
  <w:footnote w:id="3">
    <w:p w14:paraId="0DDEA676" w14:textId="77777777" w:rsidR="00D01ECD" w:rsidRPr="00750617" w:rsidRDefault="00D01ECD" w:rsidP="00D01ECD">
      <w:pPr>
        <w:pStyle w:val="FootnoteText"/>
      </w:pPr>
      <w:r w:rsidRPr="00750617">
        <w:tab/>
      </w:r>
      <w:r w:rsidRPr="00750617">
        <w:rPr>
          <w:rStyle w:val="FootnoteReference"/>
        </w:rPr>
        <w:footnoteRef/>
      </w:r>
      <w:r w:rsidRPr="00750617">
        <w:tab/>
        <w:t>« Les ressources naturelles du Globe, y compris l’air […] doivent être préservé[e]s dans l’intérêt des générations présentes et à venir par une planification ou une gestion attentive selon que de besoin</w:t>
      </w:r>
      <w:r w:rsidRPr="00F22925">
        <w:t>.</w:t>
      </w:r>
      <w:r w:rsidRPr="00750617">
        <w:t> » (</w:t>
      </w:r>
      <w:proofErr w:type="gramStart"/>
      <w:r w:rsidRPr="00750617">
        <w:t>adoptée</w:t>
      </w:r>
      <w:proofErr w:type="gramEnd"/>
      <w:r w:rsidRPr="00750617">
        <w:t xml:space="preserve"> à Stockholm le 16 juin 1972, voir </w:t>
      </w:r>
      <w:r w:rsidRPr="00750617">
        <w:rPr>
          <w:i/>
        </w:rPr>
        <w:t>Rapport de la Conférence des Nations Unies sur l’environnement, Stockholm, 5-16 juin 1972</w:t>
      </w:r>
      <w:r w:rsidRPr="00750617">
        <w:t xml:space="preserve"> (Publication des Nations Unies, numéro de vente : F</w:t>
      </w:r>
      <w:r w:rsidRPr="00F22925">
        <w:t>.</w:t>
      </w:r>
      <w:r w:rsidRPr="00750617">
        <w:t>73</w:t>
      </w:r>
      <w:r w:rsidRPr="00F22925">
        <w:t>.</w:t>
      </w:r>
      <w:r w:rsidRPr="00750617">
        <w:t>II</w:t>
      </w:r>
      <w:r w:rsidRPr="00F22925">
        <w:t>.</w:t>
      </w:r>
      <w:r w:rsidRPr="00750617">
        <w:t>A</w:t>
      </w:r>
      <w:r w:rsidRPr="00F22925">
        <w:t>.</w:t>
      </w:r>
      <w:r w:rsidRPr="00750617">
        <w:t>14 (</w:t>
      </w:r>
      <w:hyperlink r:id="rId2" w:history="1">
        <w:r w:rsidRPr="00750617">
          <w:rPr>
            <w:rStyle w:val="Hyperlink"/>
          </w:rPr>
          <w:t>A/CONF</w:t>
        </w:r>
        <w:r w:rsidRPr="00F22925">
          <w:rPr>
            <w:rStyle w:val="Hyperlink"/>
          </w:rPr>
          <w:t>.</w:t>
        </w:r>
        <w:r w:rsidRPr="00750617">
          <w:rPr>
            <w:rStyle w:val="Hyperlink"/>
          </w:rPr>
          <w:t>48/14/Rev</w:t>
        </w:r>
        <w:r w:rsidRPr="00F22925">
          <w:rPr>
            <w:rStyle w:val="Hyperlink"/>
          </w:rPr>
          <w:t>.</w:t>
        </w:r>
        <w:r w:rsidRPr="00750617">
          <w:rPr>
            <w:rStyle w:val="Hyperlink"/>
          </w:rPr>
          <w:t>1</w:t>
        </w:r>
      </w:hyperlink>
      <w:r w:rsidRPr="00750617">
        <w:t xml:space="preserve"> et </w:t>
      </w:r>
      <w:hyperlink r:id="rId3" w:history="1">
        <w:r w:rsidRPr="00750617">
          <w:rPr>
            <w:rStyle w:val="Hyperlink"/>
          </w:rPr>
          <w:t>Corr</w:t>
        </w:r>
        <w:r w:rsidRPr="00F22925">
          <w:rPr>
            <w:rStyle w:val="Hyperlink"/>
          </w:rPr>
          <w:t>.</w:t>
        </w:r>
        <w:r w:rsidRPr="00750617">
          <w:rPr>
            <w:rStyle w:val="Hyperlink"/>
          </w:rPr>
          <w:t>1</w:t>
        </w:r>
      </w:hyperlink>
      <w:r w:rsidRPr="00750617">
        <w:t>), première partie, chap</w:t>
      </w:r>
      <w:r w:rsidRPr="00F22925">
        <w:t>.</w:t>
      </w:r>
      <w:r w:rsidRPr="00750617">
        <w:t> I, principe 2)</w:t>
      </w:r>
      <w:r w:rsidRPr="00F22925">
        <w:t>.</w:t>
      </w:r>
    </w:p>
  </w:footnote>
  <w:footnote w:id="4">
    <w:p w14:paraId="31A4A807" w14:textId="77777777" w:rsidR="00D01ECD" w:rsidRPr="00750617" w:rsidRDefault="00D01ECD" w:rsidP="00D01ECD">
      <w:pPr>
        <w:pStyle w:val="FootnoteText"/>
      </w:pPr>
      <w:r w:rsidRPr="00750617">
        <w:tab/>
      </w:r>
      <w:r w:rsidRPr="00750617">
        <w:rPr>
          <w:rStyle w:val="FootnoteReference"/>
        </w:rPr>
        <w:footnoteRef/>
      </w:r>
      <w:r w:rsidRPr="00750617">
        <w:tab/>
        <w:t>« [L]es ressources […] atmosphériques qu’utilise l’homme seront gérées de manière à assurer et maintenir leur productivité optimale et continue » (Charte mondiale de la nature, résolution </w:t>
      </w:r>
      <w:hyperlink r:id="rId4" w:history="1">
        <w:r w:rsidRPr="00750617">
          <w:t>37/7</w:t>
        </w:r>
      </w:hyperlink>
      <w:r w:rsidRPr="00750617">
        <w:t xml:space="preserve"> de l’Assemblée générale en date du 28 octobre 1982, annexe, principes généraux, par</w:t>
      </w:r>
      <w:r w:rsidRPr="00F22925">
        <w:t>.</w:t>
      </w:r>
      <w:r w:rsidRPr="00750617">
        <w:t> 4)</w:t>
      </w:r>
      <w:r w:rsidRPr="00F22925">
        <w:t>.</w:t>
      </w:r>
    </w:p>
  </w:footnote>
  <w:footnote w:id="5">
    <w:p w14:paraId="14CEE000" w14:textId="77777777" w:rsidR="00D01ECD" w:rsidRPr="00750617" w:rsidRDefault="00D01ECD" w:rsidP="00D01ECD">
      <w:pPr>
        <w:pStyle w:val="FootnoteText"/>
      </w:pPr>
      <w:r w:rsidRPr="00750617">
        <w:tab/>
      </w:r>
      <w:r w:rsidRPr="00750617">
        <w:rPr>
          <w:rStyle w:val="FootnoteReference"/>
        </w:rPr>
        <w:footnoteRef/>
      </w:r>
      <w:r w:rsidRPr="00750617">
        <w:tab/>
        <w:t>Ibid</w:t>
      </w:r>
      <w:r w:rsidRPr="00F22925">
        <w:t>.</w:t>
      </w:r>
      <w:r w:rsidRPr="00750617">
        <w:t>, deuxième alinéa du préambule, alinéa a)</w:t>
      </w:r>
      <w:r w:rsidRPr="00F22925">
        <w:t>.</w:t>
      </w:r>
    </w:p>
  </w:footnote>
  <w:footnote w:id="6">
    <w:p w14:paraId="5F74101A" w14:textId="77777777" w:rsidR="00D01ECD" w:rsidRPr="00750617" w:rsidRDefault="00D01ECD" w:rsidP="00D01ECD">
      <w:pPr>
        <w:pStyle w:val="FootnoteText"/>
      </w:pPr>
      <w:r w:rsidRPr="00750617">
        <w:tab/>
      </w:r>
      <w:r w:rsidRPr="00750617">
        <w:rPr>
          <w:rStyle w:val="FootnoteReference"/>
        </w:rPr>
        <w:footnoteRef/>
      </w:r>
      <w:r w:rsidRPr="00750617">
        <w:tab/>
        <w:t xml:space="preserve">Voir, par exemple, l’affaire </w:t>
      </w:r>
      <w:proofErr w:type="spellStart"/>
      <w:r w:rsidRPr="00750617">
        <w:rPr>
          <w:i/>
        </w:rPr>
        <w:t>Gasoline</w:t>
      </w:r>
      <w:proofErr w:type="spellEnd"/>
      <w:r w:rsidRPr="00750617">
        <w:t xml:space="preserve"> de 1996, dans laquelle le Groupe spécial et l’Organe d’appel de l’Organisation mondiale du commerce (OMC) ont affirmé que l’air pur était une « ressource naturelle » qui pouvait être « épuisée »</w:t>
      </w:r>
      <w:r w:rsidRPr="00F22925">
        <w:t>.</w:t>
      </w:r>
      <w:r w:rsidRPr="00750617">
        <w:t xml:space="preserve"> Rapport de l’Organe d’appel, </w:t>
      </w:r>
      <w:r w:rsidRPr="00750617">
        <w:rPr>
          <w:i/>
        </w:rPr>
        <w:t>États-Unis − Normes concernant l’essence nouvelle et ancienne formules</w:t>
      </w:r>
      <w:r w:rsidRPr="00750617">
        <w:t xml:space="preserve"> (1996), WT/DS2/AB/R</w:t>
      </w:r>
      <w:r w:rsidRPr="00F22925">
        <w:t>.</w:t>
      </w:r>
      <w:r w:rsidRPr="00750617">
        <w:t xml:space="preserve"> </w:t>
      </w:r>
    </w:p>
  </w:footnote>
  <w:footnote w:id="7">
    <w:p w14:paraId="029AA6D1" w14:textId="77777777" w:rsidR="00D01ECD" w:rsidRPr="00750617" w:rsidRDefault="00D01ECD" w:rsidP="00D01ECD">
      <w:pPr>
        <w:pStyle w:val="FootnoteText"/>
      </w:pPr>
      <w:r w:rsidRPr="00750617">
        <w:tab/>
      </w:r>
      <w:r w:rsidRPr="00750617">
        <w:rPr>
          <w:rStyle w:val="FootnoteReference"/>
        </w:rPr>
        <w:footnoteRef/>
      </w:r>
      <w:r w:rsidRPr="00750617">
        <w:tab/>
        <w:t xml:space="preserve">Voir Convention de Stockholm sur les polluants organiques persistants de 2001, Nations Unies, </w:t>
      </w:r>
      <w:r w:rsidRPr="00750617">
        <w:rPr>
          <w:i/>
        </w:rPr>
        <w:t>Recueil des Traités</w:t>
      </w:r>
      <w:r w:rsidRPr="00750617">
        <w:t>, vol</w:t>
      </w:r>
      <w:r w:rsidRPr="00F22925">
        <w:t>.</w:t>
      </w:r>
      <w:r w:rsidRPr="00750617">
        <w:t> 2256, n</w:t>
      </w:r>
      <w:r w:rsidRPr="00750617">
        <w:rPr>
          <w:vertAlign w:val="superscript"/>
        </w:rPr>
        <w:t>o</w:t>
      </w:r>
      <w:r w:rsidRPr="00750617">
        <w:t> 40214, p</w:t>
      </w:r>
      <w:r w:rsidRPr="00F22925">
        <w:t>.</w:t>
      </w:r>
      <w:r w:rsidRPr="00750617">
        <w:t> 119 (mentionnant dans le préambule que « les polluants organiques persistants […] sont propagés par l’air […] par-delà les frontières internationales et déposés loin de leur site d’origine, où ils s’accumulent dans les écosystèmes terrestres et aquatiques »)</w:t>
      </w:r>
      <w:r w:rsidRPr="00F22925">
        <w:t>.</w:t>
      </w:r>
      <w:r w:rsidRPr="00750617">
        <w:t xml:space="preserve"> Suite à la modification apportée en 2012 au Protocole de Göteborg à la Convention de 1979 sur la pollution atmosphérique transfrontière à longue distance, relatif à la réduction de l’acidification, de l’eutrophisation et de l’ozone troposphérique (Göteborg, 30 novembre 1999, Nations Unies, </w:t>
      </w:r>
      <w:r w:rsidRPr="00750617">
        <w:rPr>
          <w:i/>
        </w:rPr>
        <w:t>Recueil des Traités</w:t>
      </w:r>
      <w:r w:rsidRPr="00750617">
        <w:t>, vol</w:t>
      </w:r>
      <w:r w:rsidRPr="00F22925">
        <w:t>.</w:t>
      </w:r>
      <w:r w:rsidRPr="00750617">
        <w:t> 2319, p</w:t>
      </w:r>
      <w:r w:rsidRPr="00F22925">
        <w:t>.</w:t>
      </w:r>
      <w:r w:rsidRPr="00750617">
        <w:t> 81), le troisième alinéa du préambule indique ce qui suit : « Constatant avec préoccupation […] que les [éléments chimiques] émis […] sont transportés dans l’atmosphère sur de longues distances et peuvent avoir des effets transfrontières nocifs</w:t>
      </w:r>
      <w:r w:rsidRPr="00F22925">
        <w:t>.</w:t>
      </w:r>
      <w:r w:rsidRPr="00750617">
        <w:t> »</w:t>
      </w:r>
      <w:r w:rsidRPr="00F22925">
        <w:t>.</w:t>
      </w:r>
      <w:r w:rsidRPr="00750617">
        <w:t xml:space="preserve"> Aux termes de la Convention de Minamata de 2013 sur le mercure (adoptée à Kumamoto (Japon) le 10 octobre 2013, ibid</w:t>
      </w:r>
      <w:r w:rsidRPr="00F22925">
        <w:t>.</w:t>
      </w:r>
      <w:r w:rsidRPr="00750617">
        <w:t>, vol</w:t>
      </w:r>
      <w:r w:rsidRPr="00F22925">
        <w:t>.</w:t>
      </w:r>
      <w:r w:rsidRPr="00750617">
        <w:t xml:space="preserve"> 3013, </w:t>
      </w:r>
      <w:r w:rsidRPr="00750617">
        <w:rPr>
          <w:rFonts w:eastAsia="MS Mincho"/>
        </w:rPr>
        <w:t>n</w:t>
      </w:r>
      <w:r w:rsidRPr="00750617">
        <w:rPr>
          <w:rFonts w:eastAsia="MS Mincho"/>
          <w:vertAlign w:val="superscript"/>
        </w:rPr>
        <w:t>o</w:t>
      </w:r>
      <w:r w:rsidRPr="00750617">
        <w:t xml:space="preserve"> 54669 (numéro du volume à déterminer), disponible à l’adresse suivante : </w:t>
      </w:r>
      <w:hyperlink r:id="rId5" w:history="1">
        <w:r w:rsidRPr="00F8021E">
          <w:rPr>
            <w:rStyle w:val="Hyperlink"/>
          </w:rPr>
          <w:t>https://treaties</w:t>
        </w:r>
        <w:r w:rsidRPr="00F22925">
          <w:rPr>
            <w:rStyle w:val="Hyperlink"/>
          </w:rPr>
          <w:t>.</w:t>
        </w:r>
        <w:r w:rsidRPr="00F8021E">
          <w:rPr>
            <w:rStyle w:val="Hyperlink"/>
          </w:rPr>
          <w:t>un</w:t>
        </w:r>
        <w:r w:rsidRPr="00F22925">
          <w:rPr>
            <w:rStyle w:val="Hyperlink"/>
          </w:rPr>
          <w:t>.</w:t>
        </w:r>
        <w:r w:rsidRPr="00F8021E">
          <w:rPr>
            <w:rStyle w:val="Hyperlink"/>
          </w:rPr>
          <w:t>org</w:t>
        </w:r>
      </w:hyperlink>
      <w:r w:rsidRPr="00750617">
        <w:t>), le mercure est « une substance chimique préoccupante à l’échelle mondiale vu sa propagation atmosphérique à longue distance » (premier alinéa du préambule) ; voir J</w:t>
      </w:r>
      <w:r w:rsidRPr="00F22925">
        <w:t>.</w:t>
      </w:r>
      <w:r w:rsidRPr="00750617">
        <w:t> S</w:t>
      </w:r>
      <w:r w:rsidRPr="00F22925">
        <w:t>.</w:t>
      </w:r>
      <w:r w:rsidRPr="00750617">
        <w:t xml:space="preserve"> </w:t>
      </w:r>
      <w:proofErr w:type="spellStart"/>
      <w:r w:rsidRPr="00750617">
        <w:t>Fuglesvedt</w:t>
      </w:r>
      <w:proofErr w:type="spellEnd"/>
      <w:r w:rsidRPr="00750617">
        <w:t xml:space="preserve"> </w:t>
      </w:r>
      <w:r w:rsidRPr="00750617">
        <w:rPr>
          <w:i/>
        </w:rPr>
        <w:t>et al</w:t>
      </w:r>
      <w:r w:rsidRPr="00F22925">
        <w:rPr>
          <w:i/>
        </w:rPr>
        <w:t>.</w:t>
      </w:r>
      <w:r w:rsidRPr="00750617">
        <w:t xml:space="preserve">, « Transport impacts on </w:t>
      </w:r>
      <w:proofErr w:type="spellStart"/>
      <w:r w:rsidRPr="00750617">
        <w:t>atmosphere</w:t>
      </w:r>
      <w:proofErr w:type="spellEnd"/>
      <w:r w:rsidRPr="00750617">
        <w:t xml:space="preserve"> and </w:t>
      </w:r>
      <w:proofErr w:type="spellStart"/>
      <w:r w:rsidRPr="00750617">
        <w:t>climate</w:t>
      </w:r>
      <w:proofErr w:type="spellEnd"/>
      <w:r w:rsidRPr="00750617">
        <w:t xml:space="preserve"> : </w:t>
      </w:r>
      <w:proofErr w:type="spellStart"/>
      <w:r w:rsidRPr="00750617">
        <w:t>metrics</w:t>
      </w:r>
      <w:proofErr w:type="spellEnd"/>
      <w:r w:rsidRPr="00750617">
        <w:t xml:space="preserve"> », </w:t>
      </w:r>
      <w:proofErr w:type="spellStart"/>
      <w:r w:rsidRPr="00750617">
        <w:rPr>
          <w:i/>
        </w:rPr>
        <w:t>Atmospheric</w:t>
      </w:r>
      <w:proofErr w:type="spellEnd"/>
      <w:r w:rsidRPr="00750617">
        <w:rPr>
          <w:i/>
        </w:rPr>
        <w:t xml:space="preserve"> </w:t>
      </w:r>
      <w:proofErr w:type="spellStart"/>
      <w:r w:rsidRPr="00750617">
        <w:rPr>
          <w:i/>
        </w:rPr>
        <w:t>Environment</w:t>
      </w:r>
      <w:proofErr w:type="spellEnd"/>
      <w:r w:rsidRPr="00750617">
        <w:t>, vol</w:t>
      </w:r>
      <w:r w:rsidRPr="00F22925">
        <w:t>.</w:t>
      </w:r>
      <w:r w:rsidRPr="00750617">
        <w:t> 44 (2010), p</w:t>
      </w:r>
      <w:r w:rsidRPr="00F22925">
        <w:t>.</w:t>
      </w:r>
      <w:r w:rsidRPr="00750617">
        <w:t> 4648 à 4677 ; D</w:t>
      </w:r>
      <w:r w:rsidRPr="00F22925">
        <w:t>.</w:t>
      </w:r>
      <w:r w:rsidRPr="00750617">
        <w:t> J</w:t>
      </w:r>
      <w:r w:rsidRPr="00F22925">
        <w:t>.</w:t>
      </w:r>
      <w:r w:rsidRPr="00750617">
        <w:t xml:space="preserve"> </w:t>
      </w:r>
      <w:proofErr w:type="spellStart"/>
      <w:r w:rsidRPr="00750617">
        <w:t>Wuebbles</w:t>
      </w:r>
      <w:proofErr w:type="spellEnd"/>
      <w:r w:rsidRPr="00750617">
        <w:t>, H</w:t>
      </w:r>
      <w:r w:rsidRPr="00F22925">
        <w:t>.</w:t>
      </w:r>
      <w:r w:rsidRPr="00750617">
        <w:t> Lei et J</w:t>
      </w:r>
      <w:r w:rsidRPr="00F22925">
        <w:t>.</w:t>
      </w:r>
      <w:r w:rsidRPr="00750617">
        <w:t>-T Lin, « </w:t>
      </w:r>
      <w:proofErr w:type="spellStart"/>
      <w:r w:rsidRPr="00750617">
        <w:t>Inter-continental</w:t>
      </w:r>
      <w:proofErr w:type="spellEnd"/>
      <w:r w:rsidRPr="00750617">
        <w:t xml:space="preserve"> transport of </w:t>
      </w:r>
      <w:proofErr w:type="spellStart"/>
      <w:r w:rsidRPr="00750617">
        <w:t>aerosols</w:t>
      </w:r>
      <w:proofErr w:type="spellEnd"/>
      <w:r w:rsidRPr="00750617">
        <w:t xml:space="preserve"> and </w:t>
      </w:r>
      <w:proofErr w:type="spellStart"/>
      <w:r w:rsidRPr="00750617">
        <w:t>photochemical</w:t>
      </w:r>
      <w:proofErr w:type="spellEnd"/>
      <w:r w:rsidRPr="00750617">
        <w:t xml:space="preserve"> </w:t>
      </w:r>
      <w:proofErr w:type="spellStart"/>
      <w:r w:rsidRPr="00750617">
        <w:t>oxidants</w:t>
      </w:r>
      <w:proofErr w:type="spellEnd"/>
      <w:r w:rsidRPr="00750617">
        <w:t xml:space="preserve"> </w:t>
      </w:r>
      <w:proofErr w:type="spellStart"/>
      <w:r w:rsidRPr="00750617">
        <w:t>from</w:t>
      </w:r>
      <w:proofErr w:type="spellEnd"/>
      <w:r w:rsidRPr="00750617">
        <w:t xml:space="preserve"> Asia and </w:t>
      </w:r>
      <w:proofErr w:type="spellStart"/>
      <w:r w:rsidRPr="00750617">
        <w:t>its</w:t>
      </w:r>
      <w:proofErr w:type="spellEnd"/>
      <w:r w:rsidRPr="00750617">
        <w:t xml:space="preserve"> </w:t>
      </w:r>
      <w:proofErr w:type="spellStart"/>
      <w:r w:rsidRPr="00750617">
        <w:t>consequences</w:t>
      </w:r>
      <w:proofErr w:type="spellEnd"/>
      <w:r w:rsidRPr="00750617">
        <w:t xml:space="preserve"> », </w:t>
      </w:r>
      <w:proofErr w:type="spellStart"/>
      <w:r w:rsidRPr="00750617">
        <w:rPr>
          <w:i/>
        </w:rPr>
        <w:t>Environmental</w:t>
      </w:r>
      <w:proofErr w:type="spellEnd"/>
      <w:r w:rsidRPr="00750617">
        <w:rPr>
          <w:i/>
        </w:rPr>
        <w:t xml:space="preserve"> Pollution</w:t>
      </w:r>
      <w:r w:rsidRPr="00750617">
        <w:t>, vol</w:t>
      </w:r>
      <w:r w:rsidRPr="00F22925">
        <w:t>.</w:t>
      </w:r>
      <w:r w:rsidRPr="00750617">
        <w:t> 150 (2007), p</w:t>
      </w:r>
      <w:r w:rsidRPr="00F22925">
        <w:t>.</w:t>
      </w:r>
      <w:r w:rsidRPr="00750617">
        <w:t> 65 à 84 ; J</w:t>
      </w:r>
      <w:r w:rsidRPr="00F22925">
        <w:t>.</w:t>
      </w:r>
      <w:r w:rsidRPr="00750617">
        <w:t>-T Lin, X</w:t>
      </w:r>
      <w:r w:rsidRPr="00F22925">
        <w:t>.</w:t>
      </w:r>
      <w:r w:rsidRPr="00750617">
        <w:t>-Z Liang et D</w:t>
      </w:r>
      <w:r w:rsidRPr="00F22925">
        <w:t>.</w:t>
      </w:r>
      <w:r w:rsidRPr="00750617">
        <w:t> J</w:t>
      </w:r>
      <w:r w:rsidRPr="00F22925">
        <w:t>.</w:t>
      </w:r>
      <w:r w:rsidRPr="00750617">
        <w:t> </w:t>
      </w:r>
      <w:proofErr w:type="spellStart"/>
      <w:r w:rsidRPr="00750617">
        <w:t>Wuebbles</w:t>
      </w:r>
      <w:proofErr w:type="spellEnd"/>
      <w:r w:rsidRPr="00750617">
        <w:t>, « </w:t>
      </w:r>
      <w:proofErr w:type="spellStart"/>
      <w:r w:rsidRPr="00750617">
        <w:t>Effects</w:t>
      </w:r>
      <w:proofErr w:type="spellEnd"/>
      <w:r w:rsidRPr="00750617">
        <w:t xml:space="preserve"> of </w:t>
      </w:r>
      <w:proofErr w:type="spellStart"/>
      <w:r w:rsidRPr="00750617">
        <w:t>inter</w:t>
      </w:r>
      <w:r w:rsidRPr="00750617">
        <w:noBreakHyphen/>
        <w:t>continental</w:t>
      </w:r>
      <w:proofErr w:type="spellEnd"/>
      <w:r w:rsidRPr="00750617">
        <w:t xml:space="preserve"> transport on surface ozone over the United States : </w:t>
      </w:r>
      <w:proofErr w:type="spellStart"/>
      <w:r w:rsidRPr="00750617">
        <w:t>Present</w:t>
      </w:r>
      <w:proofErr w:type="spellEnd"/>
      <w:r w:rsidRPr="00750617">
        <w:t xml:space="preserve"> and future </w:t>
      </w:r>
      <w:proofErr w:type="spellStart"/>
      <w:r w:rsidRPr="00750617">
        <w:t>assessment</w:t>
      </w:r>
      <w:proofErr w:type="spellEnd"/>
      <w:r w:rsidRPr="00750617">
        <w:t xml:space="preserve"> </w:t>
      </w:r>
      <w:proofErr w:type="spellStart"/>
      <w:r w:rsidRPr="00750617">
        <w:t>with</w:t>
      </w:r>
      <w:proofErr w:type="spellEnd"/>
      <w:r w:rsidRPr="00750617">
        <w:t xml:space="preserve"> a global model », </w:t>
      </w:r>
      <w:proofErr w:type="spellStart"/>
      <w:r w:rsidRPr="00750617">
        <w:rPr>
          <w:i/>
        </w:rPr>
        <w:t>Geophysical</w:t>
      </w:r>
      <w:proofErr w:type="spellEnd"/>
      <w:r w:rsidRPr="00750617">
        <w:rPr>
          <w:i/>
        </w:rPr>
        <w:t xml:space="preserve"> </w:t>
      </w:r>
      <w:proofErr w:type="spellStart"/>
      <w:r w:rsidRPr="00750617">
        <w:rPr>
          <w:i/>
        </w:rPr>
        <w:t>Research</w:t>
      </w:r>
      <w:proofErr w:type="spellEnd"/>
      <w:r w:rsidRPr="00750617">
        <w:rPr>
          <w:i/>
        </w:rPr>
        <w:t xml:space="preserve"> </w:t>
      </w:r>
      <w:proofErr w:type="spellStart"/>
      <w:r w:rsidRPr="00750617">
        <w:rPr>
          <w:i/>
        </w:rPr>
        <w:t>Letters</w:t>
      </w:r>
      <w:proofErr w:type="spellEnd"/>
      <w:r w:rsidRPr="00750617">
        <w:t>, vol</w:t>
      </w:r>
      <w:r w:rsidRPr="00F22925">
        <w:t>.</w:t>
      </w:r>
      <w:r w:rsidRPr="00750617">
        <w:t> 35 (2008)</w:t>
      </w:r>
      <w:r w:rsidRPr="00F22925">
        <w:t>.</w:t>
      </w:r>
    </w:p>
  </w:footnote>
  <w:footnote w:id="8">
    <w:p w14:paraId="01FE4C96" w14:textId="77777777" w:rsidR="00D01ECD" w:rsidRPr="00750617" w:rsidRDefault="00D01ECD" w:rsidP="00D01ECD">
      <w:pPr>
        <w:pStyle w:val="FootnoteText"/>
      </w:pPr>
      <w:r w:rsidRPr="00750617">
        <w:tab/>
      </w:r>
      <w:r w:rsidRPr="00750617">
        <w:rPr>
          <w:rStyle w:val="FootnoteReference"/>
        </w:rPr>
        <w:footnoteRef/>
      </w:r>
      <w:r w:rsidRPr="00750617">
        <w:tab/>
        <w:t>Voir T</w:t>
      </w:r>
      <w:r w:rsidRPr="00F22925">
        <w:t>.</w:t>
      </w:r>
      <w:r w:rsidRPr="00750617">
        <w:t xml:space="preserve"> </w:t>
      </w:r>
      <w:proofErr w:type="spellStart"/>
      <w:r w:rsidRPr="00750617">
        <w:t>Koivurova</w:t>
      </w:r>
      <w:proofErr w:type="spellEnd"/>
      <w:r w:rsidRPr="00750617">
        <w:t>, P</w:t>
      </w:r>
      <w:r w:rsidRPr="00F22925">
        <w:t>.</w:t>
      </w:r>
      <w:r w:rsidRPr="00750617">
        <w:t xml:space="preserve"> </w:t>
      </w:r>
      <w:proofErr w:type="spellStart"/>
      <w:r w:rsidRPr="00750617">
        <w:t>Kankaanpää</w:t>
      </w:r>
      <w:proofErr w:type="spellEnd"/>
      <w:r w:rsidRPr="00750617">
        <w:t xml:space="preserve"> et A</w:t>
      </w:r>
      <w:r w:rsidRPr="00F22925">
        <w:t>.</w:t>
      </w:r>
      <w:r w:rsidRPr="00750617">
        <w:t xml:space="preserve"> </w:t>
      </w:r>
      <w:proofErr w:type="spellStart"/>
      <w:r w:rsidRPr="00750617">
        <w:t>Stepien</w:t>
      </w:r>
      <w:proofErr w:type="spellEnd"/>
      <w:r w:rsidRPr="00750617">
        <w:t>, « </w:t>
      </w:r>
      <w:proofErr w:type="spellStart"/>
      <w:r w:rsidRPr="00750617">
        <w:t>Innovative</w:t>
      </w:r>
      <w:proofErr w:type="spellEnd"/>
      <w:r w:rsidRPr="00750617">
        <w:t xml:space="preserve"> </w:t>
      </w:r>
      <w:proofErr w:type="spellStart"/>
      <w:r w:rsidRPr="00750617">
        <w:t>Environmental</w:t>
      </w:r>
      <w:proofErr w:type="spellEnd"/>
      <w:r w:rsidRPr="00750617">
        <w:t xml:space="preserve"> Protection : </w:t>
      </w:r>
      <w:proofErr w:type="spellStart"/>
      <w:r w:rsidRPr="00750617">
        <w:t>Lessons</w:t>
      </w:r>
      <w:proofErr w:type="spellEnd"/>
      <w:r w:rsidRPr="00750617">
        <w:t xml:space="preserve"> </w:t>
      </w:r>
      <w:proofErr w:type="spellStart"/>
      <w:r w:rsidRPr="00750617">
        <w:t>from</w:t>
      </w:r>
      <w:proofErr w:type="spellEnd"/>
      <w:r w:rsidRPr="00750617">
        <w:t xml:space="preserve"> the </w:t>
      </w:r>
      <w:proofErr w:type="spellStart"/>
      <w:r w:rsidRPr="00750617">
        <w:t>Arctic</w:t>
      </w:r>
      <w:proofErr w:type="spellEnd"/>
      <w:r w:rsidRPr="00750617">
        <w:t xml:space="preserve"> », </w:t>
      </w:r>
      <w:r w:rsidRPr="00750617">
        <w:rPr>
          <w:i/>
        </w:rPr>
        <w:t xml:space="preserve">Journal of </w:t>
      </w:r>
      <w:proofErr w:type="spellStart"/>
      <w:r w:rsidRPr="00750617">
        <w:rPr>
          <w:i/>
        </w:rPr>
        <w:t>Environmental</w:t>
      </w:r>
      <w:proofErr w:type="spellEnd"/>
      <w:r w:rsidRPr="00750617">
        <w:rPr>
          <w:i/>
        </w:rPr>
        <w:t xml:space="preserve"> Law</w:t>
      </w:r>
      <w:r w:rsidRPr="00750617">
        <w:t>, vol</w:t>
      </w:r>
      <w:r w:rsidRPr="00F22925">
        <w:t>.</w:t>
      </w:r>
      <w:r w:rsidRPr="00750617">
        <w:t> 27 (2015), p</w:t>
      </w:r>
      <w:r w:rsidRPr="00F22925">
        <w:t>.</w:t>
      </w:r>
      <w:r w:rsidRPr="00750617">
        <w:t> 285 à 311, à la page 297</w:t>
      </w:r>
      <w:r w:rsidRPr="00F22925">
        <w:t>.</w:t>
      </w:r>
    </w:p>
  </w:footnote>
  <w:footnote w:id="9">
    <w:p w14:paraId="13CCD3DD" w14:textId="77777777" w:rsidR="00D01ECD" w:rsidRPr="00750617" w:rsidRDefault="00D01ECD" w:rsidP="00D01ECD">
      <w:pPr>
        <w:pStyle w:val="FootnoteText"/>
      </w:pPr>
      <w:r w:rsidRPr="00750617">
        <w:tab/>
      </w:r>
      <w:r w:rsidRPr="00750617">
        <w:rPr>
          <w:rStyle w:val="FootnoteReference"/>
        </w:rPr>
        <w:footnoteRef/>
      </w:r>
      <w:r w:rsidRPr="00750617">
        <w:tab/>
        <w:t xml:space="preserve">New York, 9 mai 1992, Nations Unies, </w:t>
      </w:r>
      <w:r w:rsidRPr="00750617">
        <w:rPr>
          <w:i/>
          <w:iCs/>
        </w:rPr>
        <w:t>Recueil des Traités</w:t>
      </w:r>
      <w:r w:rsidRPr="00750617">
        <w:t>, vol</w:t>
      </w:r>
      <w:r w:rsidRPr="00F22925">
        <w:t>.</w:t>
      </w:r>
      <w:r w:rsidRPr="00750617">
        <w:t xml:space="preserve"> 1771, </w:t>
      </w:r>
      <w:r w:rsidRPr="00750617">
        <w:rPr>
          <w:rFonts w:eastAsia="MS Mincho"/>
        </w:rPr>
        <w:t>n</w:t>
      </w:r>
      <w:r w:rsidRPr="00750617">
        <w:rPr>
          <w:rFonts w:eastAsia="MS Mincho"/>
          <w:vertAlign w:val="superscript"/>
        </w:rPr>
        <w:t>o</w:t>
      </w:r>
      <w:r w:rsidRPr="00750617">
        <w:t> 30822, p</w:t>
      </w:r>
      <w:r w:rsidRPr="00F22925">
        <w:t>.</w:t>
      </w:r>
      <w:r w:rsidRPr="00750617">
        <w:t xml:space="preserve"> 107</w:t>
      </w:r>
      <w:r w:rsidRPr="00F22925">
        <w:t>.</w:t>
      </w:r>
    </w:p>
  </w:footnote>
  <w:footnote w:id="10">
    <w:p w14:paraId="33E886B2" w14:textId="77777777" w:rsidR="00D01ECD" w:rsidRPr="00750617" w:rsidRDefault="00D01ECD" w:rsidP="00D01ECD">
      <w:pPr>
        <w:pStyle w:val="FootnoteText"/>
      </w:pPr>
      <w:r w:rsidRPr="00750617">
        <w:tab/>
      </w:r>
      <w:r w:rsidRPr="00750617">
        <w:rPr>
          <w:rStyle w:val="FootnoteReference"/>
        </w:rPr>
        <w:footnoteRef/>
      </w:r>
      <w:r w:rsidRPr="00750617">
        <w:tab/>
        <w:t>Convention-cadre des Nations Unies sur les changements climatiques, premier alinéa du préambule</w:t>
      </w:r>
      <w:r w:rsidRPr="00F22925">
        <w:t>.</w:t>
      </w:r>
    </w:p>
  </w:footnote>
  <w:footnote w:id="11">
    <w:p w14:paraId="7A841C77" w14:textId="77777777" w:rsidR="00D01ECD" w:rsidRPr="00750617" w:rsidRDefault="00D01ECD" w:rsidP="00D01ECD">
      <w:pPr>
        <w:pStyle w:val="FootnoteText"/>
      </w:pPr>
      <w:r w:rsidRPr="00750617">
        <w:tab/>
      </w:r>
      <w:r w:rsidRPr="00750617">
        <w:rPr>
          <w:rStyle w:val="FootnoteReference"/>
        </w:rPr>
        <w:footnoteRef/>
      </w:r>
      <w:r w:rsidRPr="00750617">
        <w:tab/>
        <w:t xml:space="preserve">Accord de Paris (Paris, 12 décembre 2015), Nations Unies, </w:t>
      </w:r>
      <w:r w:rsidRPr="00750617">
        <w:rPr>
          <w:i/>
          <w:iCs/>
        </w:rPr>
        <w:t>Recueil des Traités</w:t>
      </w:r>
      <w:r w:rsidRPr="00750617">
        <w:t xml:space="preserve">, </w:t>
      </w:r>
      <w:r w:rsidRPr="00750617">
        <w:rPr>
          <w:rFonts w:eastAsia="MS Mincho"/>
        </w:rPr>
        <w:t>n</w:t>
      </w:r>
      <w:r w:rsidRPr="00750617">
        <w:rPr>
          <w:rFonts w:eastAsia="MS Mincho"/>
          <w:vertAlign w:val="superscript"/>
        </w:rPr>
        <w:t>o</w:t>
      </w:r>
      <w:r w:rsidRPr="00750617">
        <w:t xml:space="preserve"> 54113 (numéro du volume à déterminer), disponible à l’adresse suivante : </w:t>
      </w:r>
      <w:hyperlink r:id="rId6" w:history="1">
        <w:r w:rsidRPr="00750617">
          <w:rPr>
            <w:rStyle w:val="Hyperlink"/>
          </w:rPr>
          <w:t>https://treaties</w:t>
        </w:r>
        <w:r w:rsidRPr="00F22925">
          <w:rPr>
            <w:rStyle w:val="Hyperlink"/>
          </w:rPr>
          <w:t>.</w:t>
        </w:r>
        <w:r w:rsidRPr="00750617">
          <w:rPr>
            <w:rStyle w:val="Hyperlink"/>
          </w:rPr>
          <w:t>un</w:t>
        </w:r>
        <w:r w:rsidRPr="00F22925">
          <w:rPr>
            <w:rStyle w:val="Hyperlink"/>
          </w:rPr>
          <w:t>.</w:t>
        </w:r>
        <w:r w:rsidRPr="00750617">
          <w:rPr>
            <w:rStyle w:val="Hyperlink"/>
          </w:rPr>
          <w:t>org</w:t>
        </w:r>
      </w:hyperlink>
      <w:r w:rsidRPr="00750617">
        <w:t>, onzième alinéa du préambule</w:t>
      </w:r>
      <w:r w:rsidRPr="00F22925">
        <w:t>.</w:t>
      </w:r>
    </w:p>
  </w:footnote>
  <w:footnote w:id="12">
    <w:p w14:paraId="39450C00" w14:textId="77777777" w:rsidR="00D01ECD" w:rsidRPr="00750617" w:rsidRDefault="00D01ECD" w:rsidP="00D01ECD">
      <w:pPr>
        <w:pStyle w:val="FootnoteText"/>
      </w:pPr>
      <w:r w:rsidRPr="00750617">
        <w:tab/>
      </w:r>
      <w:r w:rsidRPr="00750617">
        <w:rPr>
          <w:rStyle w:val="FootnoteReference"/>
        </w:rPr>
        <w:footnoteRef/>
      </w:r>
      <w:r w:rsidRPr="00750617">
        <w:tab/>
        <w:t xml:space="preserve">Convention sur la diversité biologique (Rio de Janeiro, 5 juin 1992, Nations Unies, </w:t>
      </w:r>
      <w:r w:rsidRPr="00750617">
        <w:rPr>
          <w:i/>
          <w:iCs/>
        </w:rPr>
        <w:t>Recueil des Traités</w:t>
      </w:r>
      <w:r w:rsidRPr="00750617">
        <w:t>, vol</w:t>
      </w:r>
      <w:r w:rsidRPr="00F22925">
        <w:t>.</w:t>
      </w:r>
      <w:r w:rsidRPr="00750617">
        <w:t xml:space="preserve"> 1790, </w:t>
      </w:r>
      <w:r w:rsidRPr="00750617">
        <w:rPr>
          <w:rFonts w:eastAsia="MS Mincho"/>
        </w:rPr>
        <w:t>n</w:t>
      </w:r>
      <w:r w:rsidRPr="00750617">
        <w:rPr>
          <w:rFonts w:eastAsia="MS Mincho"/>
          <w:vertAlign w:val="superscript"/>
        </w:rPr>
        <w:t>o</w:t>
      </w:r>
      <w:r w:rsidRPr="00750617">
        <w:t> 30619, p</w:t>
      </w:r>
      <w:r w:rsidRPr="00F22925">
        <w:t>.</w:t>
      </w:r>
      <w:r w:rsidRPr="00750617">
        <w:t> 79, troisième alinéa du préambule, « préoccupation commune à l’humanité ») ; Convention des Nations Unies sur la lutte contre la désertification dans les pays gravement touchés par la sécheresse et/ou la désertification, en particulier en Afrique (Paris, 14 octobre 1994, ibid</w:t>
      </w:r>
      <w:r w:rsidRPr="00F22925">
        <w:t>.</w:t>
      </w:r>
      <w:r w:rsidRPr="00750617">
        <w:t>, vol</w:t>
      </w:r>
      <w:r w:rsidRPr="00F22925">
        <w:t>.</w:t>
      </w:r>
      <w:r w:rsidRPr="00750617">
        <w:t xml:space="preserve"> 1954, </w:t>
      </w:r>
      <w:r w:rsidRPr="00750617">
        <w:rPr>
          <w:rFonts w:eastAsia="MS Mincho"/>
        </w:rPr>
        <w:t>n</w:t>
      </w:r>
      <w:r w:rsidRPr="00750617">
        <w:rPr>
          <w:rFonts w:eastAsia="MS Mincho"/>
          <w:vertAlign w:val="superscript"/>
        </w:rPr>
        <w:t>o</w:t>
      </w:r>
      <w:r w:rsidRPr="00750617">
        <w:t> 33480, p</w:t>
      </w:r>
      <w:r w:rsidRPr="00F22925">
        <w:t>.</w:t>
      </w:r>
      <w:r w:rsidRPr="00750617">
        <w:t> 3, premier alinéa du préambule (« centre des préoccupations »), deuxième alinéa du préambule (« vive préoccupation ») et quatrième alinéa du préambule (« problème de dimension mondiale ») ; Convention de Minamata sur le mercure, premier alinéa du préambule (où il est dit que le mercure est une substance chimique « préoccupante à l’échelle mondiale »)</w:t>
      </w:r>
      <w:r w:rsidRPr="00F22925">
        <w:t>.</w:t>
      </w:r>
    </w:p>
  </w:footnote>
  <w:footnote w:id="13">
    <w:p w14:paraId="28EA1EC3" w14:textId="77777777" w:rsidR="00D01ECD" w:rsidRPr="000D3559" w:rsidRDefault="00D01ECD" w:rsidP="00D01ECD">
      <w:pPr>
        <w:pStyle w:val="FootnoteText"/>
        <w:rPr>
          <w:lang w:val="en-US"/>
        </w:rPr>
      </w:pPr>
      <w:r w:rsidRPr="00750617">
        <w:tab/>
      </w:r>
      <w:r w:rsidRPr="00750617">
        <w:rPr>
          <w:rStyle w:val="FootnoteReference"/>
        </w:rPr>
        <w:footnoteRef/>
      </w:r>
      <w:r w:rsidRPr="000D3559">
        <w:rPr>
          <w:lang w:val="en-US"/>
        </w:rPr>
        <w:tab/>
      </w:r>
      <w:r w:rsidRPr="000D3559">
        <w:rPr>
          <w:szCs w:val="18"/>
          <w:lang w:val="en-US"/>
        </w:rPr>
        <w:t xml:space="preserve">M. Bowman, </w:t>
      </w:r>
      <w:r w:rsidRPr="000D3559">
        <w:rPr>
          <w:lang w:val="en-US"/>
        </w:rPr>
        <w:t>« </w:t>
      </w:r>
      <w:r w:rsidRPr="000D3559">
        <w:rPr>
          <w:szCs w:val="18"/>
          <w:lang w:val="en-US"/>
        </w:rPr>
        <w:t>Environmental protection and the concept of common concern of mankind</w:t>
      </w:r>
      <w:r w:rsidRPr="000D3559">
        <w:rPr>
          <w:lang w:val="en-US"/>
        </w:rPr>
        <w:t> »,</w:t>
      </w:r>
      <w:r w:rsidRPr="000D3559">
        <w:rPr>
          <w:szCs w:val="18"/>
          <w:lang w:val="en-US"/>
        </w:rPr>
        <w:t xml:space="preserve"> dans M. Fitzmaurice, D. M. Ong et P. </w:t>
      </w:r>
      <w:proofErr w:type="spellStart"/>
      <w:r w:rsidRPr="000D3559">
        <w:rPr>
          <w:szCs w:val="18"/>
          <w:lang w:val="en-US"/>
        </w:rPr>
        <w:t>Merkouris</w:t>
      </w:r>
      <w:proofErr w:type="spellEnd"/>
      <w:r w:rsidRPr="000D3559">
        <w:rPr>
          <w:szCs w:val="18"/>
          <w:lang w:val="en-US"/>
        </w:rPr>
        <w:t xml:space="preserve">, dir. publ., </w:t>
      </w:r>
      <w:r w:rsidRPr="000D3559">
        <w:rPr>
          <w:i/>
          <w:szCs w:val="18"/>
          <w:lang w:val="en-US"/>
        </w:rPr>
        <w:t>Research Handbook on International Environmental Law</w:t>
      </w:r>
      <w:r w:rsidRPr="000D3559">
        <w:rPr>
          <w:szCs w:val="18"/>
          <w:lang w:val="en-US"/>
        </w:rPr>
        <w:t xml:space="preserve"> (Cheltenham, Edward Elgar, 2010), p. 493 à 518, à la page 501 ; D. French, </w:t>
      </w:r>
      <w:r w:rsidRPr="000D3559">
        <w:rPr>
          <w:lang w:val="en-US"/>
        </w:rPr>
        <w:t>« </w:t>
      </w:r>
      <w:r w:rsidRPr="000D3559">
        <w:rPr>
          <w:szCs w:val="18"/>
          <w:lang w:val="en-US"/>
        </w:rPr>
        <w:t>Common concern, common heritage and other global(-</w:t>
      </w:r>
      <w:proofErr w:type="spellStart"/>
      <w:r w:rsidRPr="000D3559">
        <w:rPr>
          <w:szCs w:val="18"/>
          <w:lang w:val="en-US"/>
        </w:rPr>
        <w:t>ising</w:t>
      </w:r>
      <w:proofErr w:type="spellEnd"/>
      <w:r w:rsidRPr="000D3559">
        <w:rPr>
          <w:szCs w:val="18"/>
          <w:lang w:val="en-US"/>
        </w:rPr>
        <w:t>) concepts : rhetorical devices, legal principles or a fundamental challenge ?</w:t>
      </w:r>
      <w:r w:rsidRPr="000D3559">
        <w:rPr>
          <w:lang w:val="en-US"/>
        </w:rPr>
        <w:t> », dans</w:t>
      </w:r>
      <w:r w:rsidRPr="000D3559">
        <w:rPr>
          <w:szCs w:val="18"/>
          <w:lang w:val="en-US"/>
        </w:rPr>
        <w:t xml:space="preserve"> M. J. Bowman, P. G. G. Davies et E. J. Goodwin, </w:t>
      </w:r>
      <w:r w:rsidRPr="000D3559">
        <w:rPr>
          <w:iCs/>
          <w:szCs w:val="18"/>
          <w:lang w:val="en-US"/>
        </w:rPr>
        <w:t>dir. publ.,</w:t>
      </w:r>
      <w:r w:rsidRPr="000D3559">
        <w:rPr>
          <w:szCs w:val="18"/>
          <w:lang w:val="en-US"/>
        </w:rPr>
        <w:t xml:space="preserve"> </w:t>
      </w:r>
      <w:r w:rsidRPr="000D3559">
        <w:rPr>
          <w:i/>
          <w:szCs w:val="18"/>
          <w:lang w:val="en-US"/>
        </w:rPr>
        <w:t>Research Handbook on Biodiversity and Law</w:t>
      </w:r>
      <w:r w:rsidRPr="000D3559">
        <w:rPr>
          <w:szCs w:val="18"/>
          <w:lang w:val="en-US"/>
        </w:rPr>
        <w:t xml:space="preserve"> (Cheltenham, Edward Elgar, 2016), p. 334 à 360, à la page 349 </w:t>
      </w:r>
      <w:r w:rsidRPr="000D3559">
        <w:rPr>
          <w:i/>
          <w:iCs/>
          <w:szCs w:val="18"/>
          <w:lang w:val="en-US"/>
        </w:rPr>
        <w:t>ff.</w:t>
      </w:r>
      <w:r w:rsidRPr="000D3559">
        <w:rPr>
          <w:szCs w:val="18"/>
          <w:lang w:val="en-US"/>
        </w:rPr>
        <w:t> ; J. </w:t>
      </w:r>
      <w:proofErr w:type="spellStart"/>
      <w:r w:rsidRPr="000D3559">
        <w:rPr>
          <w:szCs w:val="18"/>
          <w:lang w:val="en-US"/>
        </w:rPr>
        <w:t>Brunnée</w:t>
      </w:r>
      <w:proofErr w:type="spellEnd"/>
      <w:r w:rsidRPr="000D3559">
        <w:rPr>
          <w:szCs w:val="18"/>
          <w:lang w:val="en-US"/>
        </w:rPr>
        <w:t xml:space="preserve">, </w:t>
      </w:r>
      <w:r w:rsidRPr="000D3559">
        <w:rPr>
          <w:lang w:val="en-US"/>
        </w:rPr>
        <w:t>« </w:t>
      </w:r>
      <w:r w:rsidRPr="000D3559">
        <w:rPr>
          <w:szCs w:val="18"/>
          <w:lang w:val="en-US"/>
        </w:rPr>
        <w:t>Common areas, common heritage, and common concern</w:t>
      </w:r>
      <w:r w:rsidRPr="000D3559">
        <w:rPr>
          <w:lang w:val="en-US"/>
        </w:rPr>
        <w:t> », dans</w:t>
      </w:r>
      <w:r w:rsidRPr="000D3559">
        <w:rPr>
          <w:szCs w:val="18"/>
          <w:lang w:val="en-US"/>
        </w:rPr>
        <w:t xml:space="preserve"> D. </w:t>
      </w:r>
      <w:proofErr w:type="spellStart"/>
      <w:r w:rsidRPr="000D3559">
        <w:rPr>
          <w:szCs w:val="18"/>
          <w:lang w:val="en-US"/>
        </w:rPr>
        <w:t>Bodansky</w:t>
      </w:r>
      <w:proofErr w:type="spellEnd"/>
      <w:r w:rsidRPr="000D3559">
        <w:rPr>
          <w:szCs w:val="18"/>
          <w:lang w:val="en-US"/>
        </w:rPr>
        <w:t xml:space="preserve">, J. </w:t>
      </w:r>
      <w:proofErr w:type="spellStart"/>
      <w:r w:rsidRPr="000D3559">
        <w:rPr>
          <w:szCs w:val="18"/>
          <w:lang w:val="en-US"/>
        </w:rPr>
        <w:t>Brunnée</w:t>
      </w:r>
      <w:proofErr w:type="spellEnd"/>
      <w:r w:rsidRPr="000D3559">
        <w:rPr>
          <w:szCs w:val="18"/>
          <w:lang w:val="en-US"/>
        </w:rPr>
        <w:t xml:space="preserve"> et E. Hey, dir. publ., </w:t>
      </w:r>
      <w:r w:rsidRPr="000D3559">
        <w:rPr>
          <w:i/>
          <w:szCs w:val="18"/>
          <w:lang w:val="en-US"/>
        </w:rPr>
        <w:t>The Oxford Handbook of International Environmental Law</w:t>
      </w:r>
      <w:r w:rsidRPr="000D3559">
        <w:rPr>
          <w:szCs w:val="18"/>
          <w:lang w:val="en-US"/>
        </w:rPr>
        <w:t xml:space="preserve"> (Oxford, Oxford University Press, 2007), p. 550 à 573, à la page 565 ; A. Boyle et C. </w:t>
      </w:r>
      <w:proofErr w:type="spellStart"/>
      <w:r w:rsidRPr="000D3559">
        <w:rPr>
          <w:szCs w:val="18"/>
          <w:lang w:val="en-US"/>
        </w:rPr>
        <w:t>Redgwell</w:t>
      </w:r>
      <w:proofErr w:type="spellEnd"/>
      <w:r w:rsidRPr="000D3559">
        <w:rPr>
          <w:szCs w:val="18"/>
          <w:lang w:val="en-US"/>
        </w:rPr>
        <w:t xml:space="preserve">, </w:t>
      </w:r>
      <w:r w:rsidRPr="000D3559">
        <w:rPr>
          <w:i/>
          <w:szCs w:val="18"/>
          <w:lang w:val="en-US"/>
        </w:rPr>
        <w:t>International Law and the Environment</w:t>
      </w:r>
      <w:r w:rsidRPr="000D3559">
        <w:rPr>
          <w:szCs w:val="18"/>
          <w:lang w:val="en-US"/>
        </w:rPr>
        <w:t>, 4</w:t>
      </w:r>
      <w:r w:rsidRPr="000D3559">
        <w:rPr>
          <w:szCs w:val="18"/>
          <w:vertAlign w:val="superscript"/>
          <w:lang w:val="en-US"/>
        </w:rPr>
        <w:t>e</w:t>
      </w:r>
      <w:r w:rsidRPr="000D3559">
        <w:rPr>
          <w:szCs w:val="18"/>
          <w:lang w:val="en-US"/>
        </w:rPr>
        <w:t> </w:t>
      </w:r>
      <w:proofErr w:type="spellStart"/>
      <w:r w:rsidRPr="000D3559">
        <w:rPr>
          <w:szCs w:val="18"/>
          <w:lang w:val="en-US"/>
        </w:rPr>
        <w:t>éd</w:t>
      </w:r>
      <w:proofErr w:type="spellEnd"/>
      <w:r w:rsidRPr="000D3559">
        <w:rPr>
          <w:szCs w:val="18"/>
          <w:lang w:val="en-US"/>
        </w:rPr>
        <w:t xml:space="preserve">. (Oxford, Oxford University Press, 2009), p. 143 à 145 ; D. Shelton, </w:t>
      </w:r>
      <w:r w:rsidRPr="000D3559">
        <w:rPr>
          <w:lang w:val="en-US"/>
        </w:rPr>
        <w:t>« </w:t>
      </w:r>
      <w:r w:rsidRPr="000D3559">
        <w:rPr>
          <w:szCs w:val="18"/>
          <w:lang w:val="en-US"/>
        </w:rPr>
        <w:t>Common concern of humanity</w:t>
      </w:r>
      <w:r w:rsidRPr="000D3559">
        <w:rPr>
          <w:lang w:val="en-US"/>
        </w:rPr>
        <w:t xml:space="preserve"> », </w:t>
      </w:r>
      <w:r w:rsidRPr="000D3559">
        <w:rPr>
          <w:i/>
          <w:szCs w:val="18"/>
          <w:lang w:val="en-US"/>
        </w:rPr>
        <w:t>Environmental Policy and Law</w:t>
      </w:r>
      <w:r w:rsidRPr="000D3559">
        <w:rPr>
          <w:szCs w:val="18"/>
          <w:lang w:val="en-US"/>
        </w:rPr>
        <w:t>, vol. 39 (2009), p. 83 à 96 ; D. Shelton,</w:t>
      </w:r>
      <w:r w:rsidRPr="000D3559" w:rsidDel="00182BDE">
        <w:rPr>
          <w:i/>
          <w:szCs w:val="18"/>
          <w:lang w:val="en-US"/>
        </w:rPr>
        <w:t xml:space="preserve"> </w:t>
      </w:r>
      <w:r w:rsidRPr="000D3559">
        <w:rPr>
          <w:lang w:val="en-US"/>
        </w:rPr>
        <w:t>« </w:t>
      </w:r>
      <w:r w:rsidRPr="000D3559">
        <w:rPr>
          <w:szCs w:val="18"/>
          <w:lang w:val="en-US"/>
        </w:rPr>
        <w:t>Equitable utilization of the atmosphere : rights-based approach to climate change?</w:t>
      </w:r>
      <w:r w:rsidRPr="000D3559">
        <w:rPr>
          <w:lang w:val="en-US"/>
        </w:rPr>
        <w:t> »</w:t>
      </w:r>
      <w:r w:rsidRPr="000D3559">
        <w:rPr>
          <w:szCs w:val="18"/>
          <w:lang w:val="en-US"/>
        </w:rPr>
        <w:t xml:space="preserve">, dans S. Humphreys, dir. publ., </w:t>
      </w:r>
      <w:r w:rsidRPr="000D3559">
        <w:rPr>
          <w:i/>
          <w:szCs w:val="18"/>
          <w:lang w:val="en-US"/>
        </w:rPr>
        <w:t>Human Rights and Climate Change</w:t>
      </w:r>
      <w:r w:rsidRPr="000D3559">
        <w:rPr>
          <w:szCs w:val="18"/>
          <w:lang w:val="en-US"/>
        </w:rPr>
        <w:t xml:space="preserve"> (Cambridge, Cambridge University Press, 2010), p. 91 à 125 ; S. </w:t>
      </w:r>
      <w:proofErr w:type="spellStart"/>
      <w:r w:rsidRPr="000D3559">
        <w:rPr>
          <w:szCs w:val="18"/>
          <w:lang w:val="en-US"/>
        </w:rPr>
        <w:t>Stec</w:t>
      </w:r>
      <w:proofErr w:type="spellEnd"/>
      <w:r w:rsidRPr="000D3559">
        <w:rPr>
          <w:szCs w:val="18"/>
          <w:lang w:val="en-US"/>
        </w:rPr>
        <w:t xml:space="preserve">, </w:t>
      </w:r>
      <w:r w:rsidRPr="000D3559">
        <w:rPr>
          <w:lang w:val="en-US"/>
        </w:rPr>
        <w:t>« </w:t>
      </w:r>
      <w:r w:rsidRPr="000D3559">
        <w:rPr>
          <w:szCs w:val="18"/>
          <w:lang w:val="en-US"/>
        </w:rPr>
        <w:t>Humanitarian limits to sovereignty : common concern and common heritage approaches to natural resources and environment</w:t>
      </w:r>
      <w:r w:rsidRPr="000D3559">
        <w:rPr>
          <w:lang w:val="en-US"/>
        </w:rPr>
        <w:t xml:space="preserve"> », </w:t>
      </w:r>
      <w:r w:rsidRPr="000D3559">
        <w:rPr>
          <w:i/>
          <w:szCs w:val="18"/>
          <w:lang w:val="en-US"/>
        </w:rPr>
        <w:t>International Community Law Review</w:t>
      </w:r>
      <w:r w:rsidRPr="000D3559">
        <w:rPr>
          <w:szCs w:val="18"/>
          <w:lang w:val="en-US"/>
        </w:rPr>
        <w:t>, vol. 12 (2010), p. 361 à 389 ; T. </w:t>
      </w:r>
      <w:proofErr w:type="spellStart"/>
      <w:r w:rsidRPr="000D3559">
        <w:rPr>
          <w:szCs w:val="18"/>
          <w:lang w:val="en-US"/>
        </w:rPr>
        <w:t>Cortier</w:t>
      </w:r>
      <w:proofErr w:type="spellEnd"/>
      <w:r w:rsidRPr="000D3559">
        <w:rPr>
          <w:szCs w:val="18"/>
          <w:lang w:val="en-US"/>
        </w:rPr>
        <w:t xml:space="preserve">, dir. publ., </w:t>
      </w:r>
      <w:r w:rsidRPr="000D3559">
        <w:rPr>
          <w:i/>
          <w:iCs/>
          <w:szCs w:val="18"/>
          <w:lang w:val="en-US"/>
        </w:rPr>
        <w:t>The Prospects of the Common Concern of Humankind in International Law</w:t>
      </w:r>
      <w:r w:rsidRPr="000D3559">
        <w:rPr>
          <w:szCs w:val="18"/>
          <w:lang w:val="en-US"/>
        </w:rPr>
        <w:t xml:space="preserve"> (Cambridge, Cambridge University Press, 2021).</w:t>
      </w:r>
    </w:p>
  </w:footnote>
  <w:footnote w:id="14">
    <w:p w14:paraId="38AAF29C" w14:textId="77777777" w:rsidR="00D01ECD" w:rsidRPr="00750617" w:rsidRDefault="00D01ECD" w:rsidP="00D01ECD">
      <w:pPr>
        <w:pStyle w:val="FootnoteText"/>
      </w:pPr>
      <w:r w:rsidRPr="000D3559">
        <w:rPr>
          <w:lang w:val="en-US"/>
        </w:rPr>
        <w:tab/>
      </w:r>
      <w:r w:rsidRPr="00750617">
        <w:rPr>
          <w:rStyle w:val="FootnoteReference"/>
        </w:rPr>
        <w:footnoteRef/>
      </w:r>
      <w:r w:rsidRPr="00750617">
        <w:tab/>
        <w:t>Une des premières démarches tendant à faire reconnaître ce principe remonte à la Conférence internationale du Travail qui s’est tenue à Washington en 1919, à l’occasion de laquelle les délégations d’Asie et d’Afrique ont obtenu l’adoption de normes du travail différenciées sur le fondement de l’article</w:t>
      </w:r>
      <w:r w:rsidRPr="00750617">
        <w:rPr>
          <w:szCs w:val="18"/>
        </w:rPr>
        <w:t> </w:t>
      </w:r>
      <w:r w:rsidRPr="00750617">
        <w:t>405 (par</w:t>
      </w:r>
      <w:r w:rsidRPr="00F22925">
        <w:t>.</w:t>
      </w:r>
      <w:r w:rsidRPr="00750617">
        <w:rPr>
          <w:szCs w:val="18"/>
        </w:rPr>
        <w:t> </w:t>
      </w:r>
      <w:r w:rsidRPr="00750617">
        <w:t>3) du Traité de Versailles de 1919 (Traité de paix signé à Versailles le 28</w:t>
      </w:r>
      <w:r w:rsidRPr="00750617">
        <w:rPr>
          <w:szCs w:val="18"/>
        </w:rPr>
        <w:t> </w:t>
      </w:r>
      <w:r w:rsidRPr="00750617">
        <w:t xml:space="preserve">juin 1919, </w:t>
      </w:r>
      <w:r w:rsidRPr="00596473">
        <w:t xml:space="preserve">Heinrich </w:t>
      </w:r>
      <w:proofErr w:type="spellStart"/>
      <w:r w:rsidRPr="00596473">
        <w:t>Triepel</w:t>
      </w:r>
      <w:proofErr w:type="spellEnd"/>
      <w:r w:rsidRPr="00596473">
        <w:t>, Nouveau recueil général de traités et autres actes relatifs aux rapports de droit international, Continuation du grand recueil de G.</w:t>
      </w:r>
      <w:r w:rsidRPr="00596473">
        <w:rPr>
          <w:szCs w:val="18"/>
        </w:rPr>
        <w:t> </w:t>
      </w:r>
      <w:r w:rsidRPr="00596473">
        <w:t>Fr. de Martens, 3</w:t>
      </w:r>
      <w:r w:rsidRPr="00596473">
        <w:rPr>
          <w:vertAlign w:val="superscript"/>
        </w:rPr>
        <w:t>e</w:t>
      </w:r>
      <w:r w:rsidRPr="00596473">
        <w:t xml:space="preserve"> série, Leipzig, </w:t>
      </w:r>
      <w:proofErr w:type="spellStart"/>
      <w:r w:rsidRPr="00596473">
        <w:t>Theodor</w:t>
      </w:r>
      <w:proofErr w:type="spellEnd"/>
      <w:r w:rsidRPr="00596473">
        <w:t xml:space="preserve"> </w:t>
      </w:r>
      <w:proofErr w:type="spellStart"/>
      <w:r w:rsidRPr="00596473">
        <w:t>Weicher</w:t>
      </w:r>
      <w:proofErr w:type="spellEnd"/>
      <w:r w:rsidRPr="00596473">
        <w:t>, 1922, t.</w:t>
      </w:r>
      <w:r w:rsidRPr="00596473">
        <w:rPr>
          <w:szCs w:val="18"/>
        </w:rPr>
        <w:t> </w:t>
      </w:r>
      <w:r w:rsidRPr="00596473">
        <w:t>XI, p.</w:t>
      </w:r>
      <w:r w:rsidRPr="00596473">
        <w:rPr>
          <w:szCs w:val="18"/>
        </w:rPr>
        <w:t> </w:t>
      </w:r>
      <w:r w:rsidRPr="00596473">
        <w:t>323), devenu</w:t>
      </w:r>
      <w:r w:rsidRPr="00750617">
        <w:t xml:space="preserve"> l’article</w:t>
      </w:r>
      <w:r w:rsidRPr="00750617">
        <w:rPr>
          <w:szCs w:val="18"/>
        </w:rPr>
        <w:t> </w:t>
      </w:r>
      <w:r w:rsidRPr="00750617">
        <w:t>19 (par</w:t>
      </w:r>
      <w:r w:rsidRPr="00F22925">
        <w:t>.</w:t>
      </w:r>
      <w:r w:rsidRPr="00750617">
        <w:rPr>
          <w:szCs w:val="18"/>
        </w:rPr>
        <w:t> </w:t>
      </w:r>
      <w:r w:rsidRPr="00750617">
        <w:t>3) de la Constitution de l’Organisation internationale du Travail (9</w:t>
      </w:r>
      <w:r w:rsidRPr="00750617">
        <w:rPr>
          <w:szCs w:val="18"/>
        </w:rPr>
        <w:t> </w:t>
      </w:r>
      <w:r w:rsidRPr="00750617">
        <w:t xml:space="preserve">octobre 1946, Nations Unies, </w:t>
      </w:r>
      <w:r w:rsidRPr="00750617">
        <w:rPr>
          <w:i/>
          <w:iCs/>
        </w:rPr>
        <w:t>Recueil des Traités</w:t>
      </w:r>
      <w:r w:rsidRPr="00750617">
        <w:t>, vol</w:t>
      </w:r>
      <w:r w:rsidRPr="00F22925">
        <w:t>.</w:t>
      </w:r>
      <w:r w:rsidRPr="00750617">
        <w:rPr>
          <w:szCs w:val="18"/>
        </w:rPr>
        <w:t> </w:t>
      </w:r>
      <w:r w:rsidRPr="00750617">
        <w:t xml:space="preserve">15, </w:t>
      </w:r>
      <w:r w:rsidRPr="00750617">
        <w:rPr>
          <w:rFonts w:eastAsia="MS Mincho"/>
        </w:rPr>
        <w:t>n</w:t>
      </w:r>
      <w:r w:rsidRPr="00750617">
        <w:rPr>
          <w:rFonts w:eastAsia="MS Mincho"/>
          <w:vertAlign w:val="superscript"/>
        </w:rPr>
        <w:t>o</w:t>
      </w:r>
      <w:r w:rsidRPr="00750617">
        <w:t> 229, p</w:t>
      </w:r>
      <w:r w:rsidRPr="00F22925">
        <w:t>.</w:t>
      </w:r>
      <w:r w:rsidRPr="00750617">
        <w:rPr>
          <w:szCs w:val="18"/>
        </w:rPr>
        <w:t> </w:t>
      </w:r>
      <w:r w:rsidRPr="00750617">
        <w:t>35) (où il est dit que les conventions du travail « </w:t>
      </w:r>
      <w:proofErr w:type="spellStart"/>
      <w:r w:rsidRPr="00750617">
        <w:t>devr</w:t>
      </w:r>
      <w:proofErr w:type="spellEnd"/>
      <w:r w:rsidRPr="00750617">
        <w:t>[ont] avoir égard » aux pays dans lesquels il existe des circonstances particulières qui rendent les conditions de l’industrie « essentiellement différentes »)</w:t>
      </w:r>
      <w:r w:rsidRPr="00F22925">
        <w:t>.</w:t>
      </w:r>
      <w:r w:rsidRPr="00750617">
        <w:t xml:space="preserve"> Le principe est aussi reflété dans certaines des conventions que l’Organisation internationale du Travail a approuvées en 2019 ainsi que dans plusieurs conventions adoptées par la suite</w:t>
      </w:r>
      <w:r w:rsidRPr="00F22925">
        <w:t>.</w:t>
      </w:r>
      <w:r w:rsidRPr="00750617">
        <w:t xml:space="preserve"> </w:t>
      </w:r>
      <w:proofErr w:type="spellStart"/>
      <w:r w:rsidRPr="000D3559">
        <w:rPr>
          <w:lang w:val="en-US"/>
        </w:rPr>
        <w:t>Voir</w:t>
      </w:r>
      <w:proofErr w:type="spellEnd"/>
      <w:r w:rsidRPr="000D3559">
        <w:rPr>
          <w:lang w:val="en-US"/>
        </w:rPr>
        <w:t xml:space="preserve"> I. F. </w:t>
      </w:r>
      <w:proofErr w:type="spellStart"/>
      <w:r w:rsidRPr="000D3559">
        <w:rPr>
          <w:lang w:val="en-US"/>
        </w:rPr>
        <w:t>Ayusawa</w:t>
      </w:r>
      <w:proofErr w:type="spellEnd"/>
      <w:r w:rsidRPr="000D3559">
        <w:rPr>
          <w:lang w:val="en-US"/>
        </w:rPr>
        <w:t xml:space="preserve">, </w:t>
      </w:r>
      <w:r w:rsidRPr="000D3559">
        <w:rPr>
          <w:i/>
          <w:iCs/>
          <w:lang w:val="en-US"/>
        </w:rPr>
        <w:t>International Labor Legislation</w:t>
      </w:r>
      <w:r w:rsidRPr="000D3559">
        <w:rPr>
          <w:lang w:val="en-US"/>
        </w:rPr>
        <w:t xml:space="preserve"> (New York, Columbia University, 1920), </w:t>
      </w:r>
      <w:r w:rsidRPr="000D3559">
        <w:rPr>
          <w:szCs w:val="18"/>
          <w:lang w:val="en-US"/>
        </w:rPr>
        <w:t>chap. </w:t>
      </w:r>
      <w:r w:rsidRPr="00750617">
        <w:rPr>
          <w:szCs w:val="18"/>
        </w:rPr>
        <w:t>VI, p</w:t>
      </w:r>
      <w:r w:rsidRPr="00F22925">
        <w:rPr>
          <w:szCs w:val="18"/>
        </w:rPr>
        <w:t>.</w:t>
      </w:r>
      <w:r w:rsidRPr="00750617">
        <w:rPr>
          <w:szCs w:val="18"/>
        </w:rPr>
        <w:t xml:space="preserve"> 149 et </w:t>
      </w:r>
      <w:proofErr w:type="spellStart"/>
      <w:r w:rsidRPr="00750617">
        <w:rPr>
          <w:szCs w:val="18"/>
        </w:rPr>
        <w:t>suiv</w:t>
      </w:r>
      <w:proofErr w:type="spellEnd"/>
      <w:r w:rsidRPr="00F22925">
        <w:rPr>
          <w:szCs w:val="18"/>
        </w:rPr>
        <w:t>.</w:t>
      </w:r>
      <w:r w:rsidRPr="00750617">
        <w:rPr>
          <w:szCs w:val="18"/>
        </w:rPr>
        <w:t xml:space="preserve"> Il est aussi pris en considération dans le Système généralisé de préférences élaboré dans les années 1970 dans le cadre de la </w:t>
      </w:r>
      <w:r w:rsidRPr="00750617">
        <w:t>Conférence des Nations Unies sur le commerce et le développement</w:t>
      </w:r>
      <w:r w:rsidRPr="00750617">
        <w:rPr>
          <w:szCs w:val="18"/>
        </w:rPr>
        <w:t>, ainsi qu’il ressort du projet d’article 23 des projets d’article sur les clauses de la nation la plus favorisée établis par la Commission en 1978</w:t>
      </w:r>
      <w:r w:rsidRPr="00F22925">
        <w:rPr>
          <w:szCs w:val="18"/>
        </w:rPr>
        <w:t>.</w:t>
      </w:r>
      <w:r w:rsidRPr="00750617">
        <w:rPr>
          <w:szCs w:val="18"/>
        </w:rPr>
        <w:t xml:space="preserve"> Voir les articles 23 (La clause de la nation la plus favorisée et le traitement conféré dans le cadre d’un système généralisé de préférences) et 30 (Nouvelles règles de droit international en faveur des pays en développement), adoptés par la Commission à sa trentième session, en 1978 (</w:t>
      </w:r>
      <w:r w:rsidRPr="00750617">
        <w:rPr>
          <w:i/>
          <w:szCs w:val="18"/>
        </w:rPr>
        <w:t>Annuaire … 1978</w:t>
      </w:r>
      <w:r w:rsidRPr="00750617">
        <w:rPr>
          <w:szCs w:val="18"/>
        </w:rPr>
        <w:t>, vol</w:t>
      </w:r>
      <w:r w:rsidRPr="00F22925">
        <w:rPr>
          <w:szCs w:val="18"/>
        </w:rPr>
        <w:t>.</w:t>
      </w:r>
      <w:r w:rsidRPr="00750617">
        <w:rPr>
          <w:szCs w:val="18"/>
        </w:rPr>
        <w:t> II (2</w:t>
      </w:r>
      <w:r w:rsidRPr="00750617">
        <w:rPr>
          <w:szCs w:val="18"/>
          <w:vertAlign w:val="superscript"/>
        </w:rPr>
        <w:t>e</w:t>
      </w:r>
      <w:r w:rsidRPr="00750617">
        <w:rPr>
          <w:szCs w:val="18"/>
        </w:rPr>
        <w:t> partie), par</w:t>
      </w:r>
      <w:r w:rsidRPr="00F22925">
        <w:rPr>
          <w:szCs w:val="18"/>
        </w:rPr>
        <w:t>.</w:t>
      </w:r>
      <w:r w:rsidRPr="00750617">
        <w:rPr>
          <w:szCs w:val="18"/>
        </w:rPr>
        <w:t> 74, voir aussi par</w:t>
      </w:r>
      <w:r w:rsidRPr="00F22925">
        <w:rPr>
          <w:szCs w:val="18"/>
        </w:rPr>
        <w:t>.</w:t>
      </w:r>
      <w:r w:rsidRPr="00750617">
        <w:rPr>
          <w:szCs w:val="18"/>
        </w:rPr>
        <w:t> 47 à 72</w:t>
      </w:r>
      <w:r w:rsidRPr="00F22925">
        <w:rPr>
          <w:szCs w:val="18"/>
        </w:rPr>
        <w:t>.</w:t>
      </w:r>
      <w:r w:rsidRPr="00750617">
        <w:rPr>
          <w:szCs w:val="18"/>
        </w:rPr>
        <w:t xml:space="preserve"> Voir S</w:t>
      </w:r>
      <w:r w:rsidRPr="00F22925">
        <w:rPr>
          <w:szCs w:val="18"/>
        </w:rPr>
        <w:t>.</w:t>
      </w:r>
      <w:r w:rsidRPr="00750617">
        <w:rPr>
          <w:szCs w:val="18"/>
        </w:rPr>
        <w:t> </w:t>
      </w:r>
      <w:proofErr w:type="spellStart"/>
      <w:r w:rsidRPr="00750617">
        <w:rPr>
          <w:szCs w:val="18"/>
        </w:rPr>
        <w:t>Murase</w:t>
      </w:r>
      <w:proofErr w:type="spellEnd"/>
      <w:r w:rsidRPr="00750617">
        <w:rPr>
          <w:szCs w:val="18"/>
        </w:rPr>
        <w:t xml:space="preserve">, </w:t>
      </w:r>
      <w:proofErr w:type="spellStart"/>
      <w:r w:rsidRPr="00750617">
        <w:rPr>
          <w:i/>
          <w:szCs w:val="18"/>
        </w:rPr>
        <w:t>Economic</w:t>
      </w:r>
      <w:proofErr w:type="spellEnd"/>
      <w:r w:rsidRPr="00750617">
        <w:rPr>
          <w:i/>
          <w:szCs w:val="18"/>
        </w:rPr>
        <w:t xml:space="preserve"> Basis of International Law</w:t>
      </w:r>
      <w:r w:rsidRPr="00750617">
        <w:rPr>
          <w:szCs w:val="18"/>
        </w:rPr>
        <w:t xml:space="preserve"> (Tokyo, </w:t>
      </w:r>
      <w:proofErr w:type="spellStart"/>
      <w:r w:rsidRPr="00750617">
        <w:rPr>
          <w:szCs w:val="18"/>
        </w:rPr>
        <w:t>Yuhikaku</w:t>
      </w:r>
      <w:proofErr w:type="spellEnd"/>
      <w:r w:rsidRPr="00750617">
        <w:rPr>
          <w:szCs w:val="18"/>
        </w:rPr>
        <w:t>, 2001), p</w:t>
      </w:r>
      <w:r w:rsidRPr="00F22925">
        <w:rPr>
          <w:szCs w:val="18"/>
        </w:rPr>
        <w:t>.</w:t>
      </w:r>
      <w:r w:rsidRPr="00750617">
        <w:rPr>
          <w:szCs w:val="18"/>
        </w:rPr>
        <w:t> 109 à 179 (en japonais)</w:t>
      </w:r>
      <w:r w:rsidRPr="00F22925">
        <w:rPr>
          <w:szCs w:val="18"/>
        </w:rPr>
        <w:t>.</w:t>
      </w:r>
      <w:r w:rsidRPr="00750617">
        <w:rPr>
          <w:szCs w:val="18"/>
        </w:rPr>
        <w:t xml:space="preserve"> Voir aussi les dérogations pour les pays en développement prévues à l’article XVIII de l’</w:t>
      </w:r>
      <w:r w:rsidRPr="00750617">
        <w:t>Accord général de 1947 sur les tarifs douaniers et le commerce</w:t>
      </w:r>
      <w:r w:rsidRPr="00750617">
        <w:rPr>
          <w:szCs w:val="18"/>
        </w:rPr>
        <w:t xml:space="preserve"> (Genève, 30 octobre 1947), </w:t>
      </w:r>
      <w:r w:rsidRPr="00750617">
        <w:rPr>
          <w:iCs/>
          <w:szCs w:val="18"/>
        </w:rPr>
        <w:t>Nations Unies,</w:t>
      </w:r>
      <w:r w:rsidRPr="00750617">
        <w:rPr>
          <w:i/>
          <w:szCs w:val="18"/>
        </w:rPr>
        <w:t xml:space="preserve"> Recueil des Traités</w:t>
      </w:r>
      <w:r w:rsidRPr="00750617">
        <w:rPr>
          <w:szCs w:val="18"/>
        </w:rPr>
        <w:t>, vol</w:t>
      </w:r>
      <w:r w:rsidRPr="00F22925">
        <w:rPr>
          <w:szCs w:val="18"/>
        </w:rPr>
        <w:t>.</w:t>
      </w:r>
      <w:r w:rsidRPr="00750617">
        <w:rPr>
          <w:szCs w:val="18"/>
        </w:rPr>
        <w:t xml:space="preserve"> 55, </w:t>
      </w:r>
      <w:r w:rsidRPr="00750617">
        <w:rPr>
          <w:rFonts w:eastAsia="MS Mincho"/>
          <w:szCs w:val="18"/>
        </w:rPr>
        <w:t>n</w:t>
      </w:r>
      <w:r w:rsidRPr="00750617">
        <w:rPr>
          <w:rFonts w:eastAsia="MS Mincho"/>
          <w:szCs w:val="18"/>
          <w:vertAlign w:val="superscript"/>
        </w:rPr>
        <w:t>o</w:t>
      </w:r>
      <w:r w:rsidRPr="00750617">
        <w:rPr>
          <w:szCs w:val="18"/>
        </w:rPr>
        <w:t> 814, p</w:t>
      </w:r>
      <w:r w:rsidRPr="00F22925">
        <w:rPr>
          <w:szCs w:val="18"/>
        </w:rPr>
        <w:t>.</w:t>
      </w:r>
      <w:r w:rsidRPr="00750617">
        <w:rPr>
          <w:szCs w:val="18"/>
        </w:rPr>
        <w:t> 194</w:t>
      </w:r>
      <w:r w:rsidRPr="00F22925">
        <w:rPr>
          <w:szCs w:val="18"/>
        </w:rPr>
        <w:t>.</w:t>
      </w:r>
    </w:p>
  </w:footnote>
  <w:footnote w:id="15">
    <w:p w14:paraId="112A275D"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Rapport de la Conférence des Nations Unies sur l’environnement, Stockholm, 5-16 juin 1972</w:t>
      </w:r>
      <w:r w:rsidRPr="00750617">
        <w:t xml:space="preserve"> (</w:t>
      </w:r>
      <w:hyperlink r:id="rId7" w:history="1">
        <w:r w:rsidRPr="00750617">
          <w:rPr>
            <w:rStyle w:val="Hyperlink"/>
          </w:rPr>
          <w:t>A/CONF</w:t>
        </w:r>
        <w:r w:rsidRPr="00F22925">
          <w:rPr>
            <w:rStyle w:val="Hyperlink"/>
          </w:rPr>
          <w:t>.</w:t>
        </w:r>
        <w:r w:rsidRPr="00750617">
          <w:rPr>
            <w:rStyle w:val="Hyperlink"/>
          </w:rPr>
          <w:t>48/14/Rev</w:t>
        </w:r>
        <w:r w:rsidRPr="00F22925">
          <w:rPr>
            <w:rStyle w:val="Hyperlink"/>
          </w:rPr>
          <w:t>.</w:t>
        </w:r>
        <w:r w:rsidRPr="00750617">
          <w:rPr>
            <w:rStyle w:val="Hyperlink"/>
          </w:rPr>
          <w:t>1</w:t>
        </w:r>
      </w:hyperlink>
      <w:r w:rsidRPr="00750617">
        <w:t>), première partie, chap</w:t>
      </w:r>
      <w:r w:rsidRPr="00F22925">
        <w:t>.</w:t>
      </w:r>
      <w:r w:rsidRPr="00750617">
        <w:t> </w:t>
      </w:r>
      <w:r w:rsidRPr="000D3559">
        <w:rPr>
          <w:lang w:val="en-US"/>
        </w:rPr>
        <w:t xml:space="preserve">I. </w:t>
      </w:r>
      <w:proofErr w:type="spellStart"/>
      <w:r w:rsidRPr="000D3559">
        <w:rPr>
          <w:lang w:val="en-US"/>
        </w:rPr>
        <w:t>Voir</w:t>
      </w:r>
      <w:proofErr w:type="spellEnd"/>
      <w:r w:rsidRPr="000D3559">
        <w:rPr>
          <w:lang w:val="en-US"/>
        </w:rPr>
        <w:t xml:space="preserve"> L. B. Sohn, « The Stockholm Declaration on the Human Environment ». </w:t>
      </w:r>
      <w:r w:rsidRPr="00750617">
        <w:rPr>
          <w:i/>
          <w:szCs w:val="18"/>
        </w:rPr>
        <w:t>Harvard International Law Journal</w:t>
      </w:r>
      <w:r w:rsidRPr="00750617">
        <w:rPr>
          <w:szCs w:val="18"/>
        </w:rPr>
        <w:t>, vol</w:t>
      </w:r>
      <w:r w:rsidRPr="00F22925">
        <w:rPr>
          <w:szCs w:val="18"/>
        </w:rPr>
        <w:t>.</w:t>
      </w:r>
      <w:r w:rsidRPr="00750617">
        <w:t> </w:t>
      </w:r>
      <w:r w:rsidRPr="00750617">
        <w:rPr>
          <w:szCs w:val="18"/>
        </w:rPr>
        <w:t>14 (1973), p</w:t>
      </w:r>
      <w:r w:rsidRPr="00F22925">
        <w:rPr>
          <w:szCs w:val="18"/>
        </w:rPr>
        <w:t>.</w:t>
      </w:r>
      <w:r w:rsidRPr="00750617">
        <w:t> </w:t>
      </w:r>
      <w:r w:rsidRPr="00750617">
        <w:rPr>
          <w:szCs w:val="18"/>
        </w:rPr>
        <w:t>423 à 515, aux pages</w:t>
      </w:r>
      <w:r w:rsidRPr="00750617">
        <w:t> </w:t>
      </w:r>
      <w:r w:rsidRPr="00750617">
        <w:rPr>
          <w:szCs w:val="18"/>
        </w:rPr>
        <w:t>485 à 493</w:t>
      </w:r>
      <w:r w:rsidRPr="00F22925">
        <w:rPr>
          <w:szCs w:val="18"/>
          <w:lang w:eastAsia="ja-JP"/>
        </w:rPr>
        <w:t>.</w:t>
      </w:r>
      <w:r w:rsidRPr="00750617">
        <w:t xml:space="preserve"> </w:t>
      </w:r>
    </w:p>
  </w:footnote>
  <w:footnote w:id="16">
    <w:p w14:paraId="1934C25A"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szCs w:val="18"/>
        </w:rPr>
        <w:t>Adoptée à Rio de Janeiro le 14</w:t>
      </w:r>
      <w:r w:rsidRPr="00750617">
        <w:t> </w:t>
      </w:r>
      <w:r w:rsidRPr="00750617">
        <w:rPr>
          <w:szCs w:val="18"/>
        </w:rPr>
        <w:t xml:space="preserve">juin 1992, voir </w:t>
      </w:r>
      <w:r w:rsidRPr="00750617">
        <w:rPr>
          <w:i/>
          <w:szCs w:val="18"/>
        </w:rPr>
        <w:t>Rapport de la Conférence des Nations Unies sur l’environnement et le développement, Rio de Janeiro, 3-14</w:t>
      </w:r>
      <w:r w:rsidRPr="00750617">
        <w:t> </w:t>
      </w:r>
      <w:r w:rsidRPr="00750617">
        <w:rPr>
          <w:i/>
          <w:szCs w:val="18"/>
        </w:rPr>
        <w:t>juin 1992</w:t>
      </w:r>
      <w:r w:rsidRPr="00750617">
        <w:rPr>
          <w:iCs/>
          <w:szCs w:val="18"/>
        </w:rPr>
        <w:t xml:space="preserve"> </w:t>
      </w:r>
      <w:r w:rsidRPr="00750617">
        <w:rPr>
          <w:szCs w:val="18"/>
        </w:rPr>
        <w:t>(</w:t>
      </w:r>
      <w:hyperlink r:id="rId8" w:history="1">
        <w:r w:rsidRPr="00750617">
          <w:rPr>
            <w:rStyle w:val="Hyperlink"/>
          </w:rPr>
          <w:t>A/CONF</w:t>
        </w:r>
        <w:r w:rsidRPr="00F22925">
          <w:rPr>
            <w:rStyle w:val="Hyperlink"/>
          </w:rPr>
          <w:t>.</w:t>
        </w:r>
        <w:r w:rsidRPr="00750617">
          <w:rPr>
            <w:rStyle w:val="Hyperlink"/>
          </w:rPr>
          <w:t>151/26/Rev</w:t>
        </w:r>
        <w:r w:rsidRPr="00F22925">
          <w:rPr>
            <w:rStyle w:val="Hyperlink"/>
          </w:rPr>
          <w:t>.</w:t>
        </w:r>
        <w:r w:rsidRPr="00750617">
          <w:rPr>
            <w:rStyle w:val="Hyperlink"/>
          </w:rPr>
          <w:t>1</w:t>
        </w:r>
      </w:hyperlink>
      <w:r w:rsidRPr="00750617">
        <w:rPr>
          <w:rStyle w:val="Hyperlink"/>
        </w:rPr>
        <w:t xml:space="preserve"> (vol</w:t>
      </w:r>
      <w:r w:rsidRPr="00F22925">
        <w:rPr>
          <w:rStyle w:val="Hyperlink"/>
        </w:rPr>
        <w:t>.</w:t>
      </w:r>
      <w:r w:rsidRPr="00750617">
        <w:rPr>
          <w:rStyle w:val="Hyperlink"/>
        </w:rPr>
        <w:t> I)</w:t>
      </w:r>
      <w:r w:rsidRPr="00750617">
        <w:rPr>
          <w:szCs w:val="18"/>
        </w:rPr>
        <w:t xml:space="preserve"> et </w:t>
      </w:r>
      <w:hyperlink r:id="rId9" w:history="1">
        <w:r w:rsidRPr="00750617">
          <w:rPr>
            <w:rStyle w:val="Hyperlink"/>
            <w:szCs w:val="18"/>
          </w:rPr>
          <w:t>Corr</w:t>
        </w:r>
        <w:r w:rsidRPr="00F22925">
          <w:rPr>
            <w:rStyle w:val="Hyperlink"/>
            <w:szCs w:val="18"/>
          </w:rPr>
          <w:t>.</w:t>
        </w:r>
        <w:r w:rsidRPr="00750617">
          <w:rPr>
            <w:rStyle w:val="Hyperlink"/>
            <w:szCs w:val="18"/>
          </w:rPr>
          <w:t>1</w:t>
        </w:r>
      </w:hyperlink>
      <w:r w:rsidRPr="00750617">
        <w:rPr>
          <w:szCs w:val="18"/>
        </w:rPr>
        <w:t>), résolution</w:t>
      </w:r>
      <w:r w:rsidRPr="00750617">
        <w:t> </w:t>
      </w:r>
      <w:r w:rsidRPr="00750617">
        <w:rPr>
          <w:szCs w:val="18"/>
        </w:rPr>
        <w:t>1, p</w:t>
      </w:r>
      <w:r w:rsidRPr="00F22925">
        <w:rPr>
          <w:szCs w:val="18"/>
        </w:rPr>
        <w:t>.</w:t>
      </w:r>
      <w:r w:rsidRPr="00750617">
        <w:t> </w:t>
      </w:r>
      <w:r w:rsidRPr="00750617">
        <w:rPr>
          <w:szCs w:val="18"/>
        </w:rPr>
        <w:t>3</w:t>
      </w:r>
      <w:r w:rsidRPr="00F22925">
        <w:rPr>
          <w:szCs w:val="18"/>
        </w:rPr>
        <w:t>.</w:t>
      </w:r>
    </w:p>
  </w:footnote>
  <w:footnote w:id="17">
    <w:p w14:paraId="1810A694"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iCs/>
        </w:rPr>
        <w:t>Rapport du Sommet mondial pour le développement durable, Johannesburg (Afrique du Sud), 26</w:t>
      </w:r>
      <w:r w:rsidRPr="00750617">
        <w:t> </w:t>
      </w:r>
      <w:r w:rsidRPr="00750617">
        <w:rPr>
          <w:i/>
          <w:iCs/>
        </w:rPr>
        <w:t>août − 4</w:t>
      </w:r>
      <w:r w:rsidRPr="00750617">
        <w:t> </w:t>
      </w:r>
      <w:r w:rsidRPr="00750617">
        <w:rPr>
          <w:i/>
          <w:iCs/>
        </w:rPr>
        <w:t>septembre 2002</w:t>
      </w:r>
      <w:r w:rsidRPr="00750617">
        <w:t xml:space="preserve"> (</w:t>
      </w:r>
      <w:hyperlink r:id="rId10" w:history="1">
        <w:r w:rsidRPr="00750617">
          <w:rPr>
            <w:rStyle w:val="Hyperlink"/>
          </w:rPr>
          <w:t>A/CONF</w:t>
        </w:r>
        <w:r w:rsidRPr="00F22925">
          <w:rPr>
            <w:rStyle w:val="Hyperlink"/>
          </w:rPr>
          <w:t>.</w:t>
        </w:r>
        <w:r w:rsidRPr="00750617">
          <w:rPr>
            <w:rStyle w:val="Hyperlink"/>
          </w:rPr>
          <w:t>199/20</w:t>
        </w:r>
      </w:hyperlink>
      <w:r w:rsidRPr="00750617">
        <w:t>) (publication des Nations Unies, numéro de vente : F</w:t>
      </w:r>
      <w:r w:rsidRPr="00F22925">
        <w:t>.</w:t>
      </w:r>
      <w:r w:rsidRPr="00750617">
        <w:t>03</w:t>
      </w:r>
      <w:r w:rsidRPr="00F22925">
        <w:t>.</w:t>
      </w:r>
      <w:r w:rsidRPr="00750617">
        <w:t>II</w:t>
      </w:r>
      <w:r w:rsidRPr="00F22925">
        <w:t>.</w:t>
      </w:r>
      <w:r w:rsidRPr="00750617">
        <w:t>A</w:t>
      </w:r>
      <w:r w:rsidRPr="00F22925">
        <w:t>.</w:t>
      </w:r>
      <w:r w:rsidRPr="00750617">
        <w:t>1 et rectificatif), chap</w:t>
      </w:r>
      <w:r w:rsidRPr="00F22925">
        <w:t>.</w:t>
      </w:r>
      <w:r w:rsidRPr="00750617">
        <w:t> I, résolution 1, annexe</w:t>
      </w:r>
      <w:r w:rsidRPr="00F22925">
        <w:t>.</w:t>
      </w:r>
      <w:r w:rsidRPr="00750617">
        <w:t xml:space="preserve"> </w:t>
      </w:r>
    </w:p>
  </w:footnote>
  <w:footnote w:id="18">
    <w:p w14:paraId="51D331DD" w14:textId="77777777" w:rsidR="00D01ECD" w:rsidRPr="00750617" w:rsidRDefault="00D01ECD" w:rsidP="00D01ECD">
      <w:pPr>
        <w:pStyle w:val="FootnoteText"/>
      </w:pPr>
      <w:r w:rsidRPr="00750617">
        <w:tab/>
      </w:r>
      <w:r w:rsidRPr="00750617">
        <w:rPr>
          <w:rStyle w:val="FootnoteReference"/>
        </w:rPr>
        <w:footnoteRef/>
      </w:r>
      <w:r w:rsidRPr="00750617">
        <w:tab/>
        <w:t>Déclaration de Johannesburg, par</w:t>
      </w:r>
      <w:r w:rsidRPr="00F22925">
        <w:t>.</w:t>
      </w:r>
      <w:r w:rsidRPr="00750617">
        <w:t> 24</w:t>
      </w:r>
      <w:r w:rsidRPr="00F22925">
        <w:t>.</w:t>
      </w:r>
      <w:r w:rsidRPr="00750617">
        <w:t xml:space="preserve"> Voir aussi le document final de la Conférence des Nations Unies sur le développement durable, intitulé « L’avenir que nous voulons », reproduit à l’annexe de la résolution 66/288 adoptée par l’Assemblée générale le 27 juillet 2012</w:t>
      </w:r>
      <w:r w:rsidRPr="00F22925">
        <w:t>.</w:t>
      </w:r>
    </w:p>
  </w:footnote>
  <w:footnote w:id="19">
    <w:p w14:paraId="2E2CCAAC" w14:textId="77777777" w:rsidR="00D01ECD" w:rsidRPr="00750617" w:rsidRDefault="00D01ECD" w:rsidP="00D01ECD">
      <w:pPr>
        <w:pStyle w:val="FootnoteText"/>
      </w:pPr>
      <w:r w:rsidRPr="00750617">
        <w:tab/>
      </w:r>
      <w:r w:rsidRPr="00750617">
        <w:rPr>
          <w:rStyle w:val="FootnoteReference"/>
        </w:rPr>
        <w:footnoteRef/>
      </w:r>
      <w:r w:rsidRPr="00750617">
        <w:tab/>
        <w:t xml:space="preserve">Convention sur le droit relatif aux utilisations des cours d’eau internationaux à des fins autres que la navigation (New York, 21 mai 1997), </w:t>
      </w:r>
      <w:r w:rsidRPr="00750617">
        <w:rPr>
          <w:i/>
          <w:iCs/>
        </w:rPr>
        <w:t xml:space="preserve">Documents officiels de l’Assemblée générale, cinquante et unième session, Supplément </w:t>
      </w:r>
      <w:r w:rsidRPr="00750617">
        <w:rPr>
          <w:rFonts w:eastAsia="MS Mincho"/>
          <w:i/>
          <w:iCs/>
        </w:rPr>
        <w:t>n</w:t>
      </w:r>
      <w:r w:rsidRPr="00750617">
        <w:rPr>
          <w:rFonts w:eastAsia="MS Mincho"/>
          <w:i/>
          <w:iCs/>
          <w:vertAlign w:val="superscript"/>
        </w:rPr>
        <w:t>o</w:t>
      </w:r>
      <w:r w:rsidRPr="00750617">
        <w:rPr>
          <w:i/>
          <w:iCs/>
        </w:rPr>
        <w:t xml:space="preserve"> 49 </w:t>
      </w:r>
      <w:r w:rsidRPr="00750617">
        <w:t>(</w:t>
      </w:r>
      <w:hyperlink r:id="rId11" w:history="1">
        <w:r w:rsidRPr="00750617">
          <w:rPr>
            <w:rStyle w:val="Hyperlink"/>
          </w:rPr>
          <w:t>A/51/49</w:t>
        </w:r>
      </w:hyperlink>
      <w:r w:rsidRPr="00750617">
        <w:t>), vol</w:t>
      </w:r>
      <w:r w:rsidRPr="00F22925">
        <w:t>.</w:t>
      </w:r>
      <w:r w:rsidRPr="00750617">
        <w:t> III, résolution 51/229, annexe</w:t>
      </w:r>
      <w:r w:rsidRPr="00F22925">
        <w:t>.</w:t>
      </w:r>
      <w:r w:rsidRPr="00750617">
        <w:t xml:space="preserve"> La Convention est entrée en vigueur le 17 août 2014</w:t>
      </w:r>
      <w:r w:rsidRPr="00F22925">
        <w:t>.</w:t>
      </w:r>
    </w:p>
  </w:footnote>
  <w:footnote w:id="20">
    <w:p w14:paraId="0767E4BB" w14:textId="77777777" w:rsidR="00D01ECD" w:rsidRPr="000D3559" w:rsidRDefault="00D01ECD" w:rsidP="00D01ECD">
      <w:pPr>
        <w:pStyle w:val="FootnoteText"/>
        <w:rPr>
          <w:lang w:val="en-US"/>
        </w:rPr>
      </w:pPr>
      <w:r w:rsidRPr="00750617">
        <w:tab/>
      </w:r>
      <w:r w:rsidRPr="00750617">
        <w:rPr>
          <w:rStyle w:val="FootnoteReference"/>
        </w:rPr>
        <w:footnoteRef/>
      </w:r>
      <w:r w:rsidRPr="000D3559">
        <w:rPr>
          <w:lang w:val="en-US"/>
        </w:rPr>
        <w:tab/>
        <w:t xml:space="preserve">R. A. Duce </w:t>
      </w:r>
      <w:r w:rsidRPr="000D3559">
        <w:rPr>
          <w:i/>
          <w:lang w:val="en-US"/>
        </w:rPr>
        <w:t>et al.</w:t>
      </w:r>
      <w:r w:rsidRPr="000D3559">
        <w:rPr>
          <w:lang w:val="en-US"/>
        </w:rPr>
        <w:t xml:space="preserve">, « The atmospheric input of trace species to the world ocean », </w:t>
      </w:r>
      <w:r w:rsidRPr="000D3559">
        <w:rPr>
          <w:i/>
          <w:lang w:val="en-US"/>
        </w:rPr>
        <w:t>Global Biogeochemical Cycles</w:t>
      </w:r>
      <w:r w:rsidRPr="000D3559">
        <w:rPr>
          <w:lang w:val="en-US"/>
        </w:rPr>
        <w:t xml:space="preserve">, vol. 5 (1991), p. 193 à </w:t>
      </w:r>
      <w:proofErr w:type="gramStart"/>
      <w:r w:rsidRPr="000D3559">
        <w:rPr>
          <w:lang w:val="en-US"/>
        </w:rPr>
        <w:t>259 ;</w:t>
      </w:r>
      <w:proofErr w:type="gramEnd"/>
      <w:r w:rsidRPr="000D3559">
        <w:rPr>
          <w:lang w:val="en-US"/>
        </w:rPr>
        <w:t xml:space="preserve"> T. </w:t>
      </w:r>
      <w:proofErr w:type="spellStart"/>
      <w:r w:rsidRPr="000D3559">
        <w:rPr>
          <w:lang w:val="en-US"/>
        </w:rPr>
        <w:t>Jickells</w:t>
      </w:r>
      <w:proofErr w:type="spellEnd"/>
      <w:r w:rsidRPr="000D3559">
        <w:rPr>
          <w:lang w:val="en-US"/>
        </w:rPr>
        <w:t xml:space="preserve"> et C. M. Moore, « The importance of atmospheric deposition for ocean productivity », </w:t>
      </w:r>
      <w:r w:rsidRPr="000D3559">
        <w:rPr>
          <w:i/>
          <w:lang w:val="en-US"/>
        </w:rPr>
        <w:t>Annual Review of Ecology, Evolution, and Systematics</w:t>
      </w:r>
      <w:r w:rsidRPr="000D3559">
        <w:rPr>
          <w:lang w:val="en-US"/>
        </w:rPr>
        <w:t>, vol. 46 (2015), p. 481 à 501.</w:t>
      </w:r>
    </w:p>
  </w:footnote>
  <w:footnote w:id="21">
    <w:p w14:paraId="37BE8EE9"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750617">
        <w:tab/>
        <w:t>Voir Groupe d’experts intergouvernemental sur l’évolution du climat (GIEC), « Changements climatiques 2014 : rapport de synthèse − résumé à l’intention des décideurs », p</w:t>
      </w:r>
      <w:r w:rsidRPr="00F22925">
        <w:t>.</w:t>
      </w:r>
      <w:r w:rsidRPr="00750617">
        <w:t> 4</w:t>
      </w:r>
      <w:r w:rsidRPr="00F22925">
        <w:t>.</w:t>
      </w:r>
      <w:r w:rsidRPr="00750617">
        <w:t xml:space="preserve"> De nombreuses études scientifiques donnent à penser que, du fait de l’augmentation de la température des océans, de nombreuses régions sont menacées par une sécheresse grave et généralisée au XXI</w:t>
      </w:r>
      <w:r w:rsidRPr="00750617">
        <w:rPr>
          <w:vertAlign w:val="superscript"/>
        </w:rPr>
        <w:t>e</w:t>
      </w:r>
      <w:r w:rsidRPr="00750617">
        <w:t> siècle</w:t>
      </w:r>
      <w:r w:rsidRPr="00F22925">
        <w:t>.</w:t>
      </w:r>
      <w:r w:rsidRPr="00750617">
        <w:t xml:space="preserve"> </w:t>
      </w:r>
      <w:proofErr w:type="spellStart"/>
      <w:r w:rsidRPr="000D3559">
        <w:rPr>
          <w:lang w:val="en-US"/>
        </w:rPr>
        <w:t>Voir</w:t>
      </w:r>
      <w:proofErr w:type="spellEnd"/>
      <w:r w:rsidRPr="000D3559">
        <w:rPr>
          <w:lang w:val="en-US"/>
        </w:rPr>
        <w:t xml:space="preserve"> Ø. </w:t>
      </w:r>
      <w:proofErr w:type="spellStart"/>
      <w:r w:rsidRPr="000D3559">
        <w:rPr>
          <w:lang w:val="en-US"/>
        </w:rPr>
        <w:t>Hov</w:t>
      </w:r>
      <w:proofErr w:type="spellEnd"/>
      <w:r w:rsidRPr="000D3559">
        <w:rPr>
          <w:lang w:val="en-US"/>
        </w:rPr>
        <w:t>, « Overview : oceans and the atmosphere », et T. </w:t>
      </w:r>
      <w:proofErr w:type="spellStart"/>
      <w:r w:rsidRPr="000D3559">
        <w:rPr>
          <w:lang w:val="en-US"/>
        </w:rPr>
        <w:t>Jickells</w:t>
      </w:r>
      <w:proofErr w:type="spellEnd"/>
      <w:r w:rsidRPr="000D3559">
        <w:rPr>
          <w:lang w:val="en-US"/>
        </w:rPr>
        <w:t xml:space="preserve">, « Linkages between the oceans and the atmosphere », dans « Summary of the informal meeting of the International Law Commission : dialogue with atmospheric scientists (third session), 4 May 2017 », par. 4 à 12 et 21 à 30, disponible à </w:t>
      </w:r>
      <w:proofErr w:type="spellStart"/>
      <w:r w:rsidRPr="000D3559">
        <w:rPr>
          <w:lang w:val="en-US"/>
        </w:rPr>
        <w:t>l’adresse</w:t>
      </w:r>
      <w:proofErr w:type="spellEnd"/>
      <w:r w:rsidRPr="000D3559">
        <w:rPr>
          <w:lang w:val="en-US"/>
        </w:rPr>
        <w:t xml:space="preserve"> </w:t>
      </w:r>
      <w:proofErr w:type="spellStart"/>
      <w:r w:rsidRPr="000D3559">
        <w:rPr>
          <w:lang w:val="en-US"/>
        </w:rPr>
        <w:t>suivante</w:t>
      </w:r>
      <w:proofErr w:type="spellEnd"/>
      <w:r w:rsidRPr="000D3559">
        <w:rPr>
          <w:lang w:val="en-US"/>
        </w:rPr>
        <w:t xml:space="preserve"> : </w:t>
      </w:r>
      <w:hyperlink r:id="rId12" w:history="1">
        <w:r w:rsidRPr="000D3559">
          <w:rPr>
            <w:rStyle w:val="Hyperlink"/>
            <w:lang w:val="en-US"/>
          </w:rPr>
          <w:t>http://legal.un.org/docs/?path=../ilc/sessions/69/pdfs/english/informal_dialogue_ 4may2017.pdf&amp;lang=E</w:t>
        </w:r>
      </w:hyperlink>
      <w:r w:rsidRPr="000D3559">
        <w:rPr>
          <w:lang w:val="en-US"/>
        </w:rPr>
        <w:t>.</w:t>
      </w:r>
    </w:p>
  </w:footnote>
  <w:footnote w:id="22">
    <w:p w14:paraId="247D443B" w14:textId="77777777" w:rsidR="00D01ECD" w:rsidRPr="00750617" w:rsidRDefault="00D01ECD" w:rsidP="00D01ECD">
      <w:pPr>
        <w:pStyle w:val="FootnoteText"/>
      </w:pPr>
      <w:r w:rsidRPr="000D3559">
        <w:rPr>
          <w:lang w:val="en-US"/>
        </w:rPr>
        <w:tab/>
      </w:r>
      <w:r w:rsidRPr="00750617">
        <w:rPr>
          <w:rStyle w:val="FootnoteReference"/>
        </w:rPr>
        <w:footnoteRef/>
      </w:r>
      <w:r w:rsidRPr="00750617">
        <w:tab/>
        <w:t>Résolution 75/239 de l’Assemblée générale, en date du 31 décembre 2020, sur les océans et le droit de la mer, parties IX et XI</w:t>
      </w:r>
      <w:r w:rsidRPr="00F22925">
        <w:t>.</w:t>
      </w:r>
      <w:r w:rsidRPr="00750617">
        <w:t xml:space="preserve"> Voir aussi les résolution </w:t>
      </w:r>
      <w:hyperlink r:id="rId13" w:history="1">
        <w:r w:rsidRPr="00750617">
          <w:t>71/257</w:t>
        </w:r>
      </w:hyperlink>
      <w:r w:rsidRPr="00750617">
        <w:t>, du 23 décembre 2016 ; 72/37, du 5 décembre 2017 ; 73/124, du 11 décembre 2018 ; 74/19, du 10 décembre 2019</w:t>
      </w:r>
      <w:r w:rsidRPr="00F22925">
        <w:t>.</w:t>
      </w:r>
    </w:p>
  </w:footnote>
  <w:footnote w:id="23">
    <w:p w14:paraId="74AF5F20" w14:textId="77777777" w:rsidR="00D01ECD" w:rsidRPr="000D3559" w:rsidRDefault="00D01ECD" w:rsidP="00D01ECD">
      <w:pPr>
        <w:pStyle w:val="FootnoteText"/>
        <w:rPr>
          <w:lang w:val="en-US"/>
        </w:rPr>
      </w:pPr>
      <w:r w:rsidRPr="00750617">
        <w:tab/>
      </w:r>
      <w:r w:rsidRPr="00750617">
        <w:rPr>
          <w:rStyle w:val="FootnoteReference"/>
        </w:rPr>
        <w:footnoteRef/>
      </w:r>
      <w:r w:rsidRPr="000D3559">
        <w:rPr>
          <w:lang w:val="en-US"/>
        </w:rPr>
        <w:tab/>
      </w:r>
      <w:r w:rsidRPr="000D3559">
        <w:rPr>
          <w:szCs w:val="18"/>
          <w:lang w:val="en-US"/>
        </w:rPr>
        <w:t xml:space="preserve">GIEC, </w:t>
      </w:r>
      <w:r w:rsidRPr="000D3559">
        <w:rPr>
          <w:i/>
          <w:iCs/>
          <w:szCs w:val="18"/>
          <w:lang w:val="en-US"/>
        </w:rPr>
        <w:t xml:space="preserve">Climate Change and </w:t>
      </w:r>
      <w:proofErr w:type="gramStart"/>
      <w:r w:rsidRPr="000D3559">
        <w:rPr>
          <w:i/>
          <w:iCs/>
          <w:szCs w:val="18"/>
          <w:lang w:val="en-US"/>
        </w:rPr>
        <w:t>Land :</w:t>
      </w:r>
      <w:proofErr w:type="gramEnd"/>
      <w:r w:rsidRPr="000D3559">
        <w:rPr>
          <w:i/>
          <w:iCs/>
          <w:szCs w:val="18"/>
          <w:lang w:val="en-US"/>
        </w:rPr>
        <w:t xml:space="preserve"> An IPCC Special Report on Climate Change, Desertification, Land Degradation, Sustainable Land Management, Food Security, and Greenhouse Gas Fluxes in Terrestrial Ecosystems</w:t>
      </w:r>
      <w:r w:rsidRPr="000D3559">
        <w:rPr>
          <w:szCs w:val="18"/>
          <w:lang w:val="en-US"/>
        </w:rPr>
        <w:t xml:space="preserve"> (2019), disponible à </w:t>
      </w:r>
      <w:proofErr w:type="spellStart"/>
      <w:r w:rsidRPr="000D3559">
        <w:rPr>
          <w:szCs w:val="18"/>
          <w:lang w:val="en-US"/>
        </w:rPr>
        <w:t>l’adresse</w:t>
      </w:r>
      <w:proofErr w:type="spellEnd"/>
      <w:r w:rsidRPr="000D3559">
        <w:rPr>
          <w:szCs w:val="18"/>
          <w:lang w:val="en-US"/>
        </w:rPr>
        <w:t xml:space="preserve"> </w:t>
      </w:r>
      <w:proofErr w:type="spellStart"/>
      <w:r w:rsidRPr="000D3559">
        <w:rPr>
          <w:szCs w:val="18"/>
          <w:lang w:val="en-US"/>
        </w:rPr>
        <w:t>suivante</w:t>
      </w:r>
      <w:proofErr w:type="spellEnd"/>
      <w:r w:rsidRPr="000D3559">
        <w:rPr>
          <w:szCs w:val="18"/>
          <w:lang w:val="en-US"/>
        </w:rPr>
        <w:t xml:space="preserve"> : </w:t>
      </w:r>
      <w:hyperlink r:id="rId14" w:history="1">
        <w:r w:rsidRPr="000D3559">
          <w:rPr>
            <w:rStyle w:val="Hyperlink"/>
            <w:szCs w:val="18"/>
            <w:lang w:val="en-US"/>
          </w:rPr>
          <w:t>www.ipcc.ch/srccl/</w:t>
        </w:r>
      </w:hyperlink>
      <w:r w:rsidRPr="000D3559">
        <w:rPr>
          <w:szCs w:val="18"/>
          <w:lang w:val="en-US"/>
        </w:rPr>
        <w:t>.</w:t>
      </w:r>
    </w:p>
  </w:footnote>
  <w:footnote w:id="24">
    <w:p w14:paraId="06E14AB6" w14:textId="77777777" w:rsidR="00D01ECD" w:rsidRPr="00750617" w:rsidRDefault="00D01ECD" w:rsidP="00D01ECD">
      <w:pPr>
        <w:pStyle w:val="FootnoteText"/>
      </w:pPr>
      <w:r w:rsidRPr="000D3559">
        <w:rPr>
          <w:lang w:val="en-US"/>
        </w:rPr>
        <w:tab/>
      </w:r>
      <w:r w:rsidRPr="00750617">
        <w:rPr>
          <w:rStyle w:val="FootnoteReference"/>
        </w:rPr>
        <w:footnoteRef/>
      </w:r>
      <w:r w:rsidRPr="00750617">
        <w:tab/>
        <w:t>Division des affaires maritimes et du droit de la mer de l’Organisation des Nations Unies,</w:t>
      </w:r>
      <w:r w:rsidRPr="00750617">
        <w:rPr>
          <w:szCs w:val="18"/>
        </w:rPr>
        <w:t xml:space="preserve"> « First Global Integrated Marine </w:t>
      </w:r>
      <w:proofErr w:type="spellStart"/>
      <w:r w:rsidRPr="00750617">
        <w:rPr>
          <w:szCs w:val="18"/>
        </w:rPr>
        <w:t>Assessment</w:t>
      </w:r>
      <w:proofErr w:type="spellEnd"/>
      <w:r w:rsidRPr="00750617">
        <w:rPr>
          <w:szCs w:val="18"/>
        </w:rPr>
        <w:t xml:space="preserve"> (first World </w:t>
      </w:r>
      <w:proofErr w:type="spellStart"/>
      <w:r w:rsidRPr="00750617">
        <w:rPr>
          <w:szCs w:val="18"/>
        </w:rPr>
        <w:t>Ocean</w:t>
      </w:r>
      <w:proofErr w:type="spellEnd"/>
      <w:r w:rsidRPr="00750617">
        <w:rPr>
          <w:szCs w:val="18"/>
        </w:rPr>
        <w:t xml:space="preserve"> </w:t>
      </w:r>
      <w:proofErr w:type="spellStart"/>
      <w:r w:rsidRPr="00750617">
        <w:rPr>
          <w:szCs w:val="18"/>
        </w:rPr>
        <w:t>Assessment</w:t>
      </w:r>
      <w:proofErr w:type="spellEnd"/>
      <w:r w:rsidRPr="00750617">
        <w:rPr>
          <w:szCs w:val="18"/>
        </w:rPr>
        <w:t>)</w:t>
      </w:r>
      <w:r w:rsidRPr="00750617">
        <w:t> »</w:t>
      </w:r>
      <w:r w:rsidRPr="00750617">
        <w:rPr>
          <w:szCs w:val="18"/>
        </w:rPr>
        <w:t xml:space="preserve">, disponible à l’adresse suivante : </w:t>
      </w:r>
      <w:hyperlink r:id="rId15" w:history="1">
        <w:r w:rsidRPr="00750617">
          <w:rPr>
            <w:rStyle w:val="Hyperlink"/>
          </w:rPr>
          <w:t>www</w:t>
        </w:r>
        <w:r w:rsidRPr="00F22925">
          <w:rPr>
            <w:rStyle w:val="Hyperlink"/>
          </w:rPr>
          <w:t>.</w:t>
        </w:r>
        <w:r w:rsidRPr="00750617">
          <w:rPr>
            <w:rStyle w:val="Hyperlink"/>
          </w:rPr>
          <w:t>un</w:t>
        </w:r>
        <w:r w:rsidRPr="00F22925">
          <w:rPr>
            <w:rStyle w:val="Hyperlink"/>
          </w:rPr>
          <w:t>.</w:t>
        </w:r>
        <w:r w:rsidRPr="00750617">
          <w:rPr>
            <w:rStyle w:val="Hyperlink"/>
          </w:rPr>
          <w:t>org/depts/los/global_reporting/WOA_RegProcess</w:t>
        </w:r>
        <w:r w:rsidRPr="00F22925">
          <w:rPr>
            <w:rStyle w:val="Hyperlink"/>
          </w:rPr>
          <w:t>.</w:t>
        </w:r>
        <w:r w:rsidRPr="00750617">
          <w:rPr>
            <w:rStyle w:val="Hyperlink"/>
          </w:rPr>
          <w:t>htm</w:t>
        </w:r>
      </w:hyperlink>
      <w:r w:rsidRPr="00750617">
        <w:rPr>
          <w:szCs w:val="18"/>
        </w:rPr>
        <w:t xml:space="preserve"> (voir, en particulier, le chapitre 20, intitulé « </w:t>
      </w:r>
      <w:proofErr w:type="spellStart"/>
      <w:r w:rsidRPr="00750617">
        <w:rPr>
          <w:szCs w:val="18"/>
        </w:rPr>
        <w:t>Coastal</w:t>
      </w:r>
      <w:proofErr w:type="spellEnd"/>
      <w:r w:rsidRPr="00750617">
        <w:rPr>
          <w:szCs w:val="18"/>
        </w:rPr>
        <w:t xml:space="preserve">, </w:t>
      </w:r>
      <w:proofErr w:type="spellStart"/>
      <w:r w:rsidRPr="00750617">
        <w:rPr>
          <w:szCs w:val="18"/>
        </w:rPr>
        <w:t>riverine</w:t>
      </w:r>
      <w:proofErr w:type="spellEnd"/>
      <w:r w:rsidRPr="00750617">
        <w:rPr>
          <w:szCs w:val="18"/>
        </w:rPr>
        <w:t xml:space="preserve"> and </w:t>
      </w:r>
      <w:proofErr w:type="spellStart"/>
      <w:r w:rsidRPr="00750617">
        <w:rPr>
          <w:szCs w:val="18"/>
        </w:rPr>
        <w:t>atmospheric</w:t>
      </w:r>
      <w:proofErr w:type="spellEnd"/>
      <w:r w:rsidRPr="00750617">
        <w:rPr>
          <w:szCs w:val="18"/>
        </w:rPr>
        <w:t xml:space="preserve"> inputs </w:t>
      </w:r>
      <w:proofErr w:type="spellStart"/>
      <w:r w:rsidRPr="00750617">
        <w:rPr>
          <w:szCs w:val="18"/>
        </w:rPr>
        <w:t>from</w:t>
      </w:r>
      <w:proofErr w:type="spellEnd"/>
      <w:r w:rsidRPr="00750617">
        <w:rPr>
          <w:szCs w:val="18"/>
        </w:rPr>
        <w:t xml:space="preserve"> land »)</w:t>
      </w:r>
      <w:r w:rsidRPr="00F22925">
        <w:rPr>
          <w:szCs w:val="18"/>
        </w:rPr>
        <w:t>.</w:t>
      </w:r>
      <w:r w:rsidRPr="00750617">
        <w:rPr>
          <w:szCs w:val="18"/>
        </w:rPr>
        <w:t xml:space="preserve"> L’Assemblée générale a approuvé le résumé du rapport à sa soixante-dixième session (voir la résolution 70/235 de l’Assemblée générale, du 23 décembre 2015, sur les océans et le droit de la mer)</w:t>
      </w:r>
      <w:r w:rsidRPr="00F22925">
        <w:rPr>
          <w:szCs w:val="18"/>
        </w:rPr>
        <w:t>.</w:t>
      </w:r>
    </w:p>
  </w:footnote>
  <w:footnote w:id="25">
    <w:p w14:paraId="0BFBD3CE" w14:textId="77777777" w:rsidR="00D01ECD" w:rsidRPr="00750617" w:rsidRDefault="00D01ECD" w:rsidP="00D01ECD">
      <w:pPr>
        <w:pStyle w:val="FootnoteText"/>
      </w:pPr>
      <w:r w:rsidRPr="00750617">
        <w:tab/>
      </w:r>
      <w:r w:rsidRPr="00750617">
        <w:rPr>
          <w:rStyle w:val="FootnoteReference"/>
        </w:rPr>
        <w:footnoteRef/>
      </w:r>
      <w:r w:rsidRPr="00750617">
        <w:tab/>
        <w:t xml:space="preserve">Résolution </w:t>
      </w:r>
      <w:hyperlink r:id="rId16" w:history="1">
        <w:r w:rsidRPr="00750617">
          <w:t>70/1</w:t>
        </w:r>
      </w:hyperlink>
      <w:r w:rsidRPr="00750617">
        <w:t xml:space="preserve"> de l’Assemblée générale en date du 25 septembre 2015, intitulée « Transformer notre monde : le Programme de développement durable à l’horizon 2030 », par</w:t>
      </w:r>
      <w:r w:rsidRPr="00F22925">
        <w:t>.</w:t>
      </w:r>
      <w:r w:rsidRPr="00750617">
        <w:t> 14</w:t>
      </w:r>
      <w:r w:rsidRPr="00F22925">
        <w:t>.</w:t>
      </w:r>
      <w:r w:rsidRPr="00750617">
        <w:t xml:space="preserve"> Voir aussi « Les océans et le droit de la mer », rapport du Secrétaire général (</w:t>
      </w:r>
      <w:hyperlink r:id="rId17" w:history="1">
        <w:r w:rsidRPr="00750617">
          <w:rPr>
            <w:rStyle w:val="Hyperlink"/>
          </w:rPr>
          <w:t>A/71/74/Add</w:t>
        </w:r>
        <w:r w:rsidRPr="00F22925">
          <w:rPr>
            <w:rStyle w:val="Hyperlink"/>
          </w:rPr>
          <w:t>.</w:t>
        </w:r>
        <w:r w:rsidRPr="00750617">
          <w:rPr>
            <w:rStyle w:val="Hyperlink"/>
          </w:rPr>
          <w:t>1</w:t>
        </w:r>
      </w:hyperlink>
      <w:r w:rsidRPr="00750617">
        <w:t>), chap</w:t>
      </w:r>
      <w:r w:rsidRPr="00F22925">
        <w:t>.</w:t>
      </w:r>
      <w:r w:rsidRPr="00750617">
        <w:t> VIII (« Océans, changements climatiques et acidification des océans »), par</w:t>
      </w:r>
      <w:r w:rsidRPr="00F22925">
        <w:t>.</w:t>
      </w:r>
      <w:r w:rsidRPr="00750617">
        <w:t> 115 à 122</w:t>
      </w:r>
      <w:r w:rsidRPr="00F22925">
        <w:t>.</w:t>
      </w:r>
      <w:r w:rsidRPr="00750617">
        <w:t xml:space="preserve"> </w:t>
      </w:r>
    </w:p>
  </w:footnote>
  <w:footnote w:id="26">
    <w:p w14:paraId="56F93557" w14:textId="77777777" w:rsidR="00D01ECD" w:rsidRPr="000D3559" w:rsidRDefault="00D01ECD" w:rsidP="00D01ECD">
      <w:pPr>
        <w:pStyle w:val="FootnoteText"/>
        <w:rPr>
          <w:lang w:val="en-US"/>
        </w:rPr>
      </w:pPr>
      <w:r w:rsidRPr="00750617">
        <w:tab/>
      </w:r>
      <w:r w:rsidRPr="00750617">
        <w:rPr>
          <w:rStyle w:val="FootnoteReference"/>
        </w:rPr>
        <w:footnoteRef/>
      </w:r>
      <w:r w:rsidRPr="00750617">
        <w:tab/>
        <w:t>Étude sur les émissions de gaz à effet de serre réalisée par l’Organisation maritime internationale (OMI), Ø</w:t>
      </w:r>
      <w:r w:rsidRPr="00F22925">
        <w:t>.</w:t>
      </w:r>
      <w:r w:rsidRPr="00750617">
        <w:t> </w:t>
      </w:r>
      <w:proofErr w:type="spellStart"/>
      <w:r w:rsidRPr="00750617">
        <w:t>Buhaug</w:t>
      </w:r>
      <w:proofErr w:type="spellEnd"/>
      <w:r w:rsidRPr="00750617">
        <w:t xml:space="preserve"> </w:t>
      </w:r>
      <w:r w:rsidRPr="00750617">
        <w:rPr>
          <w:i/>
        </w:rPr>
        <w:t>et al</w:t>
      </w:r>
      <w:r w:rsidRPr="00F22925">
        <w:rPr>
          <w:i/>
        </w:rPr>
        <w:t>.</w:t>
      </w:r>
      <w:r w:rsidRPr="00750617">
        <w:t xml:space="preserve">, </w:t>
      </w:r>
      <w:r w:rsidRPr="00750617">
        <w:rPr>
          <w:i/>
        </w:rPr>
        <w:t xml:space="preserve">Second IMO GHG </w:t>
      </w:r>
      <w:proofErr w:type="spellStart"/>
      <w:r w:rsidRPr="00750617">
        <w:rPr>
          <w:i/>
        </w:rPr>
        <w:t>Study</w:t>
      </w:r>
      <w:proofErr w:type="spellEnd"/>
      <w:r w:rsidRPr="00750617">
        <w:rPr>
          <w:i/>
        </w:rPr>
        <w:t xml:space="preserve"> 2009</w:t>
      </w:r>
      <w:r w:rsidRPr="00750617">
        <w:t xml:space="preserve"> (Londres, OMI, 2009), p</w:t>
      </w:r>
      <w:r w:rsidRPr="00F22925">
        <w:t>.</w:t>
      </w:r>
      <w:r w:rsidRPr="00750617">
        <w:t> 23</w:t>
      </w:r>
      <w:r w:rsidRPr="00F22925">
        <w:t>.</w:t>
      </w:r>
      <w:r w:rsidRPr="00750617">
        <w:t xml:space="preserve"> </w:t>
      </w:r>
      <w:proofErr w:type="spellStart"/>
      <w:r w:rsidRPr="000D3559">
        <w:rPr>
          <w:lang w:val="en-US"/>
        </w:rPr>
        <w:t>Voir</w:t>
      </w:r>
      <w:proofErr w:type="spellEnd"/>
      <w:r w:rsidRPr="000D3559">
        <w:rPr>
          <w:lang w:val="en-US"/>
        </w:rPr>
        <w:t xml:space="preserve"> </w:t>
      </w:r>
      <w:proofErr w:type="spellStart"/>
      <w:r w:rsidRPr="000D3559">
        <w:rPr>
          <w:lang w:val="en-US"/>
        </w:rPr>
        <w:t>aussi</w:t>
      </w:r>
      <w:proofErr w:type="spellEnd"/>
      <w:r w:rsidRPr="000D3559">
        <w:rPr>
          <w:lang w:val="en-US"/>
        </w:rPr>
        <w:t xml:space="preserve"> T. W. P. Smith </w:t>
      </w:r>
      <w:r w:rsidRPr="000D3559">
        <w:rPr>
          <w:i/>
          <w:lang w:val="en-US"/>
        </w:rPr>
        <w:t>et al.</w:t>
      </w:r>
      <w:r w:rsidRPr="000D3559">
        <w:rPr>
          <w:lang w:val="en-US"/>
        </w:rPr>
        <w:t xml:space="preserve">, </w:t>
      </w:r>
      <w:r w:rsidRPr="000D3559">
        <w:rPr>
          <w:i/>
          <w:lang w:val="en-US"/>
        </w:rPr>
        <w:t>Third IMO GHG Study</w:t>
      </w:r>
      <w:r w:rsidRPr="000D3559">
        <w:rPr>
          <w:lang w:val="en-US"/>
        </w:rPr>
        <w:t xml:space="preserve"> (</w:t>
      </w:r>
      <w:proofErr w:type="spellStart"/>
      <w:r w:rsidRPr="000D3559">
        <w:rPr>
          <w:lang w:val="en-US"/>
        </w:rPr>
        <w:t>Londres</w:t>
      </w:r>
      <w:proofErr w:type="spellEnd"/>
      <w:r w:rsidRPr="000D3559">
        <w:rPr>
          <w:lang w:val="en-US"/>
        </w:rPr>
        <w:t xml:space="preserve">, OMI, 2014), </w:t>
      </w:r>
      <w:proofErr w:type="spellStart"/>
      <w:r w:rsidRPr="000D3559">
        <w:rPr>
          <w:lang w:val="en-US"/>
        </w:rPr>
        <w:t>synthèse</w:t>
      </w:r>
      <w:proofErr w:type="spellEnd"/>
      <w:r w:rsidRPr="000D3559">
        <w:rPr>
          <w:lang w:val="en-US"/>
        </w:rPr>
        <w:t>, tableau 1, et M. </w:t>
      </w:r>
      <w:proofErr w:type="spellStart"/>
      <w:r w:rsidRPr="000D3559">
        <w:rPr>
          <w:lang w:val="en-US"/>
        </w:rPr>
        <w:t>Righi</w:t>
      </w:r>
      <w:proofErr w:type="spellEnd"/>
      <w:r w:rsidRPr="000D3559">
        <w:rPr>
          <w:lang w:val="en-US"/>
        </w:rPr>
        <w:t>, J. Hendricks et R. </w:t>
      </w:r>
      <w:proofErr w:type="spellStart"/>
      <w:r w:rsidRPr="000D3559">
        <w:rPr>
          <w:lang w:val="en-US"/>
        </w:rPr>
        <w:t>Sausen</w:t>
      </w:r>
      <w:proofErr w:type="spellEnd"/>
      <w:r w:rsidRPr="000D3559">
        <w:rPr>
          <w:lang w:val="en-US"/>
        </w:rPr>
        <w:t xml:space="preserve">, « The global impact of the transport sectors on atmospheric aerosol in 2030 </w:t>
      </w:r>
      <w:r w:rsidRPr="000D3559">
        <w:rPr>
          <w:spacing w:val="-3"/>
          <w:lang w:val="en-US"/>
        </w:rPr>
        <w:t>− Part </w:t>
      </w:r>
      <w:proofErr w:type="gramStart"/>
      <w:r w:rsidRPr="000D3559">
        <w:rPr>
          <w:spacing w:val="-3"/>
          <w:lang w:val="en-US"/>
        </w:rPr>
        <w:t>1 :</w:t>
      </w:r>
      <w:proofErr w:type="gramEnd"/>
      <w:r w:rsidRPr="000D3559">
        <w:rPr>
          <w:spacing w:val="-3"/>
          <w:lang w:val="en-US"/>
        </w:rPr>
        <w:t xml:space="preserve"> land transport and shipping », </w:t>
      </w:r>
      <w:r w:rsidRPr="000D3559">
        <w:rPr>
          <w:i/>
          <w:spacing w:val="-3"/>
          <w:lang w:val="en-US"/>
        </w:rPr>
        <w:t>Atmospheric Chemistry and Physics</w:t>
      </w:r>
      <w:r w:rsidRPr="000D3559">
        <w:rPr>
          <w:spacing w:val="-3"/>
          <w:lang w:val="en-US"/>
        </w:rPr>
        <w:t>, vol. 15 (2015), p. 633 à 651.</w:t>
      </w:r>
    </w:p>
  </w:footnote>
  <w:footnote w:id="27">
    <w:p w14:paraId="31802A97" w14:textId="77777777" w:rsidR="00D01ECD" w:rsidRPr="00750617" w:rsidRDefault="00D01ECD" w:rsidP="00D01ECD">
      <w:pPr>
        <w:pStyle w:val="FootnoteText"/>
      </w:pPr>
      <w:r w:rsidRPr="000D3559">
        <w:rPr>
          <w:vertAlign w:val="superscript"/>
          <w:lang w:val="en-US"/>
        </w:rPr>
        <w:tab/>
      </w:r>
      <w:r w:rsidRPr="00750617">
        <w:rPr>
          <w:rStyle w:val="FootnoteReference"/>
        </w:rPr>
        <w:footnoteRef/>
      </w:r>
      <w:r w:rsidRPr="00750617">
        <w:tab/>
        <w:t xml:space="preserve">GIEC, </w:t>
      </w:r>
      <w:r w:rsidRPr="00750617">
        <w:rPr>
          <w:i/>
          <w:iCs/>
        </w:rPr>
        <w:t>Changements climatiques 2013 : Les éléments scientifiques</w:t>
      </w:r>
      <w:r w:rsidRPr="00F22925">
        <w:rPr>
          <w:i/>
          <w:iCs/>
        </w:rPr>
        <w:t>.</w:t>
      </w:r>
      <w:r w:rsidRPr="00750617">
        <w:rPr>
          <w:i/>
          <w:iCs/>
        </w:rPr>
        <w:t xml:space="preserve"> Contribution du Groupe de travail I au cinquième rapport du Groupe d’experts intergouvernemental sur l’évolution du climat</w:t>
      </w:r>
      <w:r w:rsidRPr="00750617">
        <w:t xml:space="preserve"> (Cambridge, Cambridge </w:t>
      </w:r>
      <w:proofErr w:type="spellStart"/>
      <w:r w:rsidRPr="00750617">
        <w:t>University</w:t>
      </w:r>
      <w:proofErr w:type="spellEnd"/>
      <w:r w:rsidRPr="00750617">
        <w:t xml:space="preserve"> </w:t>
      </w:r>
      <w:proofErr w:type="spellStart"/>
      <w:r w:rsidRPr="00750617">
        <w:t>Press</w:t>
      </w:r>
      <w:proofErr w:type="spellEnd"/>
      <w:r w:rsidRPr="00750617">
        <w:t>, 2013), p</w:t>
      </w:r>
      <w:r w:rsidRPr="00F22925">
        <w:t>.</w:t>
      </w:r>
      <w:r w:rsidRPr="00750617">
        <w:t> 1180</w:t>
      </w:r>
      <w:r w:rsidRPr="00F22925">
        <w:t>.</w:t>
      </w:r>
      <w:r w:rsidRPr="00750617">
        <w:t xml:space="preserve"> Voir aussi le chapitre IX, sur l’élévation du niveau de la mer au regard du droit international</w:t>
      </w:r>
      <w:r w:rsidRPr="00F22925">
        <w:t>.</w:t>
      </w:r>
    </w:p>
  </w:footnote>
  <w:footnote w:id="28">
    <w:p w14:paraId="1CEEB07C" w14:textId="77777777" w:rsidR="00D01ECD" w:rsidRPr="00750617" w:rsidRDefault="00D01ECD" w:rsidP="00D01ECD">
      <w:pPr>
        <w:pStyle w:val="FootnoteText"/>
      </w:pPr>
      <w:r w:rsidRPr="00750617">
        <w:rPr>
          <w:vertAlign w:val="superscript"/>
        </w:rPr>
        <w:tab/>
      </w:r>
      <w:r w:rsidRPr="00750617">
        <w:rPr>
          <w:rStyle w:val="FootnoteReference"/>
        </w:rPr>
        <w:footnoteRef/>
      </w:r>
      <w:r w:rsidRPr="00750617">
        <w:rPr>
          <w:vertAlign w:val="superscript"/>
        </w:rPr>
        <w:tab/>
      </w:r>
      <w:r w:rsidRPr="00750617">
        <w:t>Ibid</w:t>
      </w:r>
      <w:r w:rsidRPr="00F22925">
        <w:t>.</w:t>
      </w:r>
      <w:r w:rsidRPr="00750617">
        <w:t>, p</w:t>
      </w:r>
      <w:r w:rsidRPr="00F22925">
        <w:t>.</w:t>
      </w:r>
      <w:r w:rsidRPr="00750617">
        <w:t> 1140</w:t>
      </w:r>
      <w:r w:rsidRPr="00F22925">
        <w:t>.</w:t>
      </w:r>
      <w:r w:rsidRPr="00750617">
        <w:t xml:space="preserve"> Voir aussi GIEC, </w:t>
      </w:r>
      <w:r w:rsidRPr="00750617">
        <w:rPr>
          <w:i/>
          <w:iCs/>
          <w:szCs w:val="18"/>
        </w:rPr>
        <w:t xml:space="preserve">IPCC </w:t>
      </w:r>
      <w:proofErr w:type="spellStart"/>
      <w:r w:rsidRPr="00750617">
        <w:rPr>
          <w:i/>
          <w:iCs/>
          <w:szCs w:val="18"/>
        </w:rPr>
        <w:t>Special</w:t>
      </w:r>
      <w:proofErr w:type="spellEnd"/>
      <w:r w:rsidRPr="00750617">
        <w:rPr>
          <w:i/>
          <w:iCs/>
          <w:szCs w:val="18"/>
        </w:rPr>
        <w:t xml:space="preserve"> Report on the </w:t>
      </w:r>
      <w:proofErr w:type="spellStart"/>
      <w:r w:rsidRPr="00750617">
        <w:rPr>
          <w:i/>
          <w:iCs/>
          <w:szCs w:val="18"/>
        </w:rPr>
        <w:t>Ocean</w:t>
      </w:r>
      <w:proofErr w:type="spellEnd"/>
      <w:r w:rsidRPr="00750617">
        <w:rPr>
          <w:i/>
          <w:iCs/>
          <w:szCs w:val="18"/>
        </w:rPr>
        <w:t xml:space="preserve"> and </w:t>
      </w:r>
      <w:proofErr w:type="spellStart"/>
      <w:r w:rsidRPr="00750617">
        <w:rPr>
          <w:i/>
          <w:iCs/>
          <w:szCs w:val="18"/>
        </w:rPr>
        <w:t>Cryosphere</w:t>
      </w:r>
      <w:proofErr w:type="spellEnd"/>
      <w:r w:rsidRPr="00750617">
        <w:rPr>
          <w:i/>
          <w:iCs/>
          <w:szCs w:val="18"/>
        </w:rPr>
        <w:t xml:space="preserve"> in a </w:t>
      </w:r>
      <w:proofErr w:type="spellStart"/>
      <w:r w:rsidRPr="00750617">
        <w:rPr>
          <w:i/>
          <w:iCs/>
          <w:szCs w:val="18"/>
        </w:rPr>
        <w:t>Changing</w:t>
      </w:r>
      <w:proofErr w:type="spellEnd"/>
      <w:r w:rsidRPr="00750617">
        <w:rPr>
          <w:i/>
          <w:iCs/>
          <w:szCs w:val="18"/>
        </w:rPr>
        <w:t xml:space="preserve"> </w:t>
      </w:r>
      <w:proofErr w:type="spellStart"/>
      <w:r w:rsidRPr="00750617">
        <w:rPr>
          <w:i/>
          <w:iCs/>
          <w:szCs w:val="18"/>
        </w:rPr>
        <w:t>Climate</w:t>
      </w:r>
      <w:proofErr w:type="spellEnd"/>
      <w:r w:rsidRPr="00750617">
        <w:rPr>
          <w:i/>
          <w:iCs/>
          <w:szCs w:val="18"/>
        </w:rPr>
        <w:t xml:space="preserve"> </w:t>
      </w:r>
      <w:r w:rsidRPr="00750617">
        <w:rPr>
          <w:szCs w:val="18"/>
        </w:rPr>
        <w:t xml:space="preserve">(2019), disponible à l’adresse suivante : </w:t>
      </w:r>
      <w:hyperlink r:id="rId18" w:history="1">
        <w:r w:rsidRPr="00750617">
          <w:rPr>
            <w:rStyle w:val="Hyperlink"/>
          </w:rPr>
          <w:t>www</w:t>
        </w:r>
        <w:r w:rsidRPr="00F22925">
          <w:rPr>
            <w:rStyle w:val="Hyperlink"/>
          </w:rPr>
          <w:t>.</w:t>
        </w:r>
        <w:r w:rsidRPr="00750617">
          <w:rPr>
            <w:rStyle w:val="Hyperlink"/>
          </w:rPr>
          <w:t>ipcc</w:t>
        </w:r>
        <w:r w:rsidRPr="00F22925">
          <w:rPr>
            <w:rStyle w:val="Hyperlink"/>
          </w:rPr>
          <w:t>.</w:t>
        </w:r>
        <w:r w:rsidRPr="00750617">
          <w:rPr>
            <w:rStyle w:val="Hyperlink"/>
          </w:rPr>
          <w:t>ch/srocc/</w:t>
        </w:r>
      </w:hyperlink>
      <w:r w:rsidRPr="00F22925">
        <w:rPr>
          <w:szCs w:val="18"/>
        </w:rPr>
        <w:t>.</w:t>
      </w:r>
    </w:p>
  </w:footnote>
  <w:footnote w:id="29">
    <w:p w14:paraId="0BF53F6B" w14:textId="77777777" w:rsidR="00D01ECD" w:rsidRPr="000D3559" w:rsidRDefault="00D01ECD" w:rsidP="00D01ECD">
      <w:pPr>
        <w:pStyle w:val="FootnoteText"/>
        <w:rPr>
          <w:lang w:val="en-US"/>
        </w:rPr>
      </w:pPr>
      <w:r w:rsidRPr="00750617">
        <w:tab/>
      </w:r>
      <w:r w:rsidRPr="00750617">
        <w:rPr>
          <w:rStyle w:val="FootnoteReference"/>
        </w:rPr>
        <w:footnoteRef/>
      </w:r>
      <w:r w:rsidRPr="000D3559">
        <w:rPr>
          <w:lang w:val="en-US"/>
        </w:rPr>
        <w:tab/>
      </w:r>
      <w:proofErr w:type="spellStart"/>
      <w:r w:rsidRPr="000D3559">
        <w:rPr>
          <w:lang w:val="en-US"/>
        </w:rPr>
        <w:t>Voir</w:t>
      </w:r>
      <w:proofErr w:type="spellEnd"/>
      <w:r w:rsidRPr="000D3559">
        <w:rPr>
          <w:lang w:val="en-US"/>
        </w:rPr>
        <w:t xml:space="preserve"> A. H. A. </w:t>
      </w:r>
      <w:proofErr w:type="spellStart"/>
      <w:r w:rsidRPr="000D3559">
        <w:rPr>
          <w:lang w:val="en-US"/>
        </w:rPr>
        <w:t>Soons</w:t>
      </w:r>
      <w:proofErr w:type="spellEnd"/>
      <w:r w:rsidRPr="000D3559">
        <w:rPr>
          <w:lang w:val="en-US"/>
        </w:rPr>
        <w:t xml:space="preserve">, « The effects of a rising sea level on maritime limits and boundaries », </w:t>
      </w:r>
      <w:r w:rsidRPr="000D3559">
        <w:rPr>
          <w:i/>
          <w:lang w:val="en-US"/>
        </w:rPr>
        <w:t>Netherlands International Law Review</w:t>
      </w:r>
      <w:r w:rsidRPr="000D3559">
        <w:rPr>
          <w:lang w:val="en-US"/>
        </w:rPr>
        <w:t>, vol. 37 (1990), p. 207 à 232 ; M. Hayashi, « Sea-level rise and the law of the sea : future options », dans D. </w:t>
      </w:r>
      <w:proofErr w:type="spellStart"/>
      <w:r w:rsidRPr="000D3559">
        <w:rPr>
          <w:lang w:val="en-US"/>
        </w:rPr>
        <w:t>Vidas</w:t>
      </w:r>
      <w:proofErr w:type="spellEnd"/>
      <w:r w:rsidRPr="000D3559">
        <w:rPr>
          <w:lang w:val="en-US"/>
        </w:rPr>
        <w:t xml:space="preserve"> et P. J. </w:t>
      </w:r>
      <w:proofErr w:type="spellStart"/>
      <w:r w:rsidRPr="000D3559">
        <w:rPr>
          <w:lang w:val="en-US"/>
        </w:rPr>
        <w:t>Schei</w:t>
      </w:r>
      <w:proofErr w:type="spellEnd"/>
      <w:r w:rsidRPr="000D3559">
        <w:rPr>
          <w:lang w:val="en-US"/>
        </w:rPr>
        <w:t xml:space="preserve"> (dir. publ.), </w:t>
      </w:r>
      <w:r w:rsidRPr="000D3559">
        <w:rPr>
          <w:i/>
          <w:lang w:val="en-US"/>
        </w:rPr>
        <w:t xml:space="preserve">The World Ocean in </w:t>
      </w:r>
      <w:proofErr w:type="spellStart"/>
      <w:r w:rsidRPr="000D3559">
        <w:rPr>
          <w:i/>
          <w:lang w:val="en-US"/>
        </w:rPr>
        <w:t>Globalisation</w:t>
      </w:r>
      <w:proofErr w:type="spellEnd"/>
      <w:r w:rsidRPr="000D3559">
        <w:rPr>
          <w:i/>
          <w:lang w:val="en-US"/>
        </w:rPr>
        <w:t> : Climate Change, Sustainable Fisheries, Biodiversity, Shipping, Regional Issues</w:t>
      </w:r>
      <w:r w:rsidRPr="000D3559">
        <w:rPr>
          <w:lang w:val="en-US"/>
        </w:rPr>
        <w:t xml:space="preserve"> (</w:t>
      </w:r>
      <w:proofErr w:type="spellStart"/>
      <w:r w:rsidRPr="000D3559">
        <w:rPr>
          <w:lang w:val="en-US"/>
        </w:rPr>
        <w:t>Leyde</w:t>
      </w:r>
      <w:proofErr w:type="spellEnd"/>
      <w:r w:rsidRPr="000D3559">
        <w:rPr>
          <w:lang w:val="en-US"/>
        </w:rPr>
        <w:t>, Brill/</w:t>
      </w:r>
      <w:proofErr w:type="spellStart"/>
      <w:r w:rsidRPr="000D3559">
        <w:rPr>
          <w:lang w:val="en-US"/>
        </w:rPr>
        <w:t>Martinus</w:t>
      </w:r>
      <w:proofErr w:type="spellEnd"/>
      <w:r w:rsidRPr="000D3559">
        <w:rPr>
          <w:lang w:val="en-US"/>
        </w:rPr>
        <w:t xml:space="preserve"> </w:t>
      </w:r>
      <w:proofErr w:type="spellStart"/>
      <w:r w:rsidRPr="000D3559">
        <w:rPr>
          <w:lang w:val="en-US"/>
        </w:rPr>
        <w:t>Nijhoff</w:t>
      </w:r>
      <w:proofErr w:type="spellEnd"/>
      <w:r w:rsidRPr="000D3559">
        <w:rPr>
          <w:lang w:val="en-US"/>
        </w:rPr>
        <w:t xml:space="preserve">, 2011), p. 187 et </w:t>
      </w:r>
      <w:proofErr w:type="spellStart"/>
      <w:r w:rsidRPr="000D3559">
        <w:rPr>
          <w:lang w:val="en-US"/>
        </w:rPr>
        <w:t>suiv</w:t>
      </w:r>
      <w:proofErr w:type="spellEnd"/>
      <w:r w:rsidRPr="000D3559">
        <w:rPr>
          <w:lang w:val="en-US"/>
        </w:rPr>
        <w:t xml:space="preserve">. </w:t>
      </w:r>
      <w:proofErr w:type="spellStart"/>
      <w:r w:rsidRPr="000D3559">
        <w:rPr>
          <w:lang w:val="en-US"/>
        </w:rPr>
        <w:t>Voir</w:t>
      </w:r>
      <w:proofErr w:type="spellEnd"/>
      <w:r w:rsidRPr="000D3559">
        <w:rPr>
          <w:lang w:val="en-US"/>
        </w:rPr>
        <w:t xml:space="preserve"> </w:t>
      </w:r>
      <w:proofErr w:type="spellStart"/>
      <w:r w:rsidRPr="000D3559">
        <w:rPr>
          <w:lang w:val="en-US"/>
        </w:rPr>
        <w:t>aussi</w:t>
      </w:r>
      <w:proofErr w:type="spellEnd"/>
      <w:r w:rsidRPr="000D3559">
        <w:rPr>
          <w:lang w:val="en-US"/>
        </w:rPr>
        <w:t xml:space="preserve"> Association de droit international, </w:t>
      </w:r>
      <w:r w:rsidRPr="000D3559">
        <w:rPr>
          <w:i/>
          <w:lang w:val="en-US"/>
        </w:rPr>
        <w:t xml:space="preserve">Report of the Seventy-fifth Conference held in Sofia, August 2012 </w:t>
      </w:r>
      <w:r w:rsidRPr="000D3559">
        <w:rPr>
          <w:lang w:val="en-US"/>
        </w:rPr>
        <w:t>(</w:t>
      </w:r>
      <w:proofErr w:type="spellStart"/>
      <w:r w:rsidRPr="000D3559">
        <w:rPr>
          <w:lang w:val="en-US"/>
        </w:rPr>
        <w:t>Londres</w:t>
      </w:r>
      <w:proofErr w:type="spellEnd"/>
      <w:r w:rsidRPr="000D3559">
        <w:rPr>
          <w:lang w:val="en-US"/>
        </w:rPr>
        <w:t xml:space="preserve">, 2012), p. 385 à </w:t>
      </w:r>
      <w:proofErr w:type="gramStart"/>
      <w:r w:rsidRPr="000D3559">
        <w:rPr>
          <w:lang w:val="en-US"/>
        </w:rPr>
        <w:t>428 ;</w:t>
      </w:r>
      <w:proofErr w:type="gramEnd"/>
      <w:r w:rsidRPr="000D3559">
        <w:rPr>
          <w:lang w:val="en-US"/>
        </w:rPr>
        <w:t xml:space="preserve"> Association de droit international, </w:t>
      </w:r>
      <w:r w:rsidRPr="000D3559">
        <w:rPr>
          <w:i/>
          <w:lang w:val="en-US"/>
        </w:rPr>
        <w:t xml:space="preserve">Johannesburg Conference </w:t>
      </w:r>
      <w:r w:rsidRPr="000D3559">
        <w:rPr>
          <w:iCs/>
          <w:lang w:val="en-US"/>
        </w:rPr>
        <w:t>(2016),</w:t>
      </w:r>
      <w:r w:rsidRPr="000D3559">
        <w:rPr>
          <w:i/>
          <w:lang w:val="en-US"/>
        </w:rPr>
        <w:t xml:space="preserve"> International Law and Sea Level Rise </w:t>
      </w:r>
      <w:r w:rsidRPr="000D3559">
        <w:rPr>
          <w:lang w:val="en-US"/>
        </w:rPr>
        <w:t xml:space="preserve">(rapport </w:t>
      </w:r>
      <w:proofErr w:type="spellStart"/>
      <w:r w:rsidRPr="000D3559">
        <w:rPr>
          <w:lang w:val="en-US"/>
        </w:rPr>
        <w:t>d’étape</w:t>
      </w:r>
      <w:proofErr w:type="spellEnd"/>
      <w:r w:rsidRPr="000D3559">
        <w:rPr>
          <w:lang w:val="en-US"/>
        </w:rPr>
        <w:t xml:space="preserve">), p. 13 à 18 ; Association de droit international, </w:t>
      </w:r>
      <w:r w:rsidRPr="000D3559">
        <w:rPr>
          <w:i/>
          <w:iCs/>
          <w:lang w:val="en-US"/>
        </w:rPr>
        <w:t xml:space="preserve">Sydney Conference </w:t>
      </w:r>
      <w:r w:rsidRPr="000D3559">
        <w:rPr>
          <w:lang w:val="en-US"/>
        </w:rPr>
        <w:t>(2018),</w:t>
      </w:r>
      <w:r w:rsidRPr="000D3559">
        <w:rPr>
          <w:i/>
          <w:iCs/>
          <w:lang w:val="en-US"/>
        </w:rPr>
        <w:t xml:space="preserve"> International Law and Sea Level Rise</w:t>
      </w:r>
      <w:r w:rsidRPr="000D3559">
        <w:rPr>
          <w:lang w:val="en-US"/>
        </w:rPr>
        <w:t xml:space="preserve"> (rapport), 2</w:t>
      </w:r>
      <w:r w:rsidRPr="000D3559">
        <w:rPr>
          <w:vertAlign w:val="superscript"/>
          <w:lang w:val="en-US"/>
        </w:rPr>
        <w:t>e</w:t>
      </w:r>
      <w:r w:rsidRPr="000D3559">
        <w:rPr>
          <w:lang w:val="en-US"/>
        </w:rPr>
        <w:t xml:space="preserve"> </w:t>
      </w:r>
      <w:proofErr w:type="spellStart"/>
      <w:r w:rsidRPr="000D3559">
        <w:rPr>
          <w:lang w:val="en-US"/>
        </w:rPr>
        <w:t>partie</w:t>
      </w:r>
      <w:proofErr w:type="spellEnd"/>
      <w:r w:rsidRPr="000D3559">
        <w:rPr>
          <w:lang w:val="en-US"/>
        </w:rPr>
        <w:t>, p. 866.</w:t>
      </w:r>
    </w:p>
  </w:footnote>
  <w:footnote w:id="30">
    <w:p w14:paraId="5A8EB274" w14:textId="77777777" w:rsidR="00D01ECD" w:rsidRPr="00750617" w:rsidRDefault="00D01ECD" w:rsidP="00D01ECD">
      <w:pPr>
        <w:pStyle w:val="FootnoteText"/>
      </w:pPr>
      <w:r w:rsidRPr="000D3559">
        <w:rPr>
          <w:lang w:val="en-US"/>
        </w:rPr>
        <w:tab/>
      </w:r>
      <w:r w:rsidRPr="00750617">
        <w:rPr>
          <w:rStyle w:val="FootnoteReference"/>
        </w:rPr>
        <w:footnoteRef/>
      </w:r>
      <w:r w:rsidRPr="00750617">
        <w:tab/>
        <w:t xml:space="preserve">Voir </w:t>
      </w:r>
      <w:r w:rsidRPr="00750617">
        <w:rPr>
          <w:i/>
        </w:rPr>
        <w:t>infra</w:t>
      </w:r>
      <w:r w:rsidRPr="00750617">
        <w:t xml:space="preserve"> le commentaire du projet de directive 9, par</w:t>
      </w:r>
      <w:r w:rsidRPr="00F22925">
        <w:t>.</w:t>
      </w:r>
      <w:r w:rsidRPr="00750617">
        <w:t> 9</w:t>
      </w:r>
      <w:r w:rsidRPr="00F22925">
        <w:t>.</w:t>
      </w:r>
    </w:p>
  </w:footnote>
  <w:footnote w:id="31">
    <w:p w14:paraId="2F60EA07" w14:textId="77777777" w:rsidR="00D01ECD" w:rsidRPr="00750617" w:rsidRDefault="00D01ECD" w:rsidP="00D01ECD">
      <w:pPr>
        <w:pStyle w:val="FootnoteText"/>
      </w:pPr>
      <w:r w:rsidRPr="00750617">
        <w:tab/>
      </w:r>
      <w:r w:rsidRPr="00750617">
        <w:rPr>
          <w:rStyle w:val="FootnoteReference"/>
        </w:rPr>
        <w:footnoteRef/>
      </w:r>
      <w:r w:rsidRPr="00750617">
        <w:tab/>
        <w:t xml:space="preserve">Voir </w:t>
      </w:r>
      <w:r w:rsidRPr="00750617">
        <w:rPr>
          <w:i/>
        </w:rPr>
        <w:t>infra</w:t>
      </w:r>
      <w:r w:rsidRPr="00750617">
        <w:t xml:space="preserve"> le commentaire du projet de directive 9, par</w:t>
      </w:r>
      <w:r w:rsidRPr="00F22925">
        <w:t>.</w:t>
      </w:r>
      <w:r w:rsidRPr="00750617">
        <w:t> 16 à 18</w:t>
      </w:r>
      <w:r w:rsidRPr="00F22925">
        <w:t>.</w:t>
      </w:r>
    </w:p>
  </w:footnote>
  <w:footnote w:id="32">
    <w:p w14:paraId="33FED8DF" w14:textId="77777777" w:rsidR="00D01ECD" w:rsidRPr="00750617" w:rsidRDefault="00D01ECD" w:rsidP="00D01ECD">
      <w:pPr>
        <w:pStyle w:val="FootnoteText"/>
      </w:pPr>
      <w:r w:rsidRPr="00750617">
        <w:rPr>
          <w:vertAlign w:val="superscript"/>
        </w:rPr>
        <w:tab/>
      </w:r>
      <w:r w:rsidRPr="00750617">
        <w:rPr>
          <w:rStyle w:val="FootnoteReference"/>
        </w:rPr>
        <w:footnoteRef/>
      </w:r>
      <w:r w:rsidRPr="00750617">
        <w:rPr>
          <w:vertAlign w:val="superscript"/>
        </w:rPr>
        <w:tab/>
      </w:r>
      <w:r w:rsidRPr="00750617">
        <w:t>Au principe 1 est mentionné « le devoir solennel de protéger et d’améliorer l’environnement pour les générations présentes et futures »</w:t>
      </w:r>
      <w:r w:rsidRPr="00F22925">
        <w:t>.</w:t>
      </w:r>
    </w:p>
  </w:footnote>
  <w:footnote w:id="33">
    <w:p w14:paraId="52D2C40B" w14:textId="77777777" w:rsidR="00D01ECD" w:rsidRPr="00750617" w:rsidRDefault="00D01ECD" w:rsidP="00D01ECD">
      <w:pPr>
        <w:pStyle w:val="FootnoteText"/>
      </w:pPr>
      <w:r w:rsidRPr="00750617">
        <w:rPr>
          <w:vertAlign w:val="superscript"/>
        </w:rPr>
        <w:tab/>
      </w:r>
      <w:r w:rsidRPr="00750617">
        <w:rPr>
          <w:rStyle w:val="FootnoteReference"/>
        </w:rPr>
        <w:footnoteRef/>
      </w:r>
      <w:r w:rsidRPr="00750617">
        <w:rPr>
          <w:vertAlign w:val="superscript"/>
        </w:rPr>
        <w:tab/>
      </w:r>
      <w:r w:rsidRPr="00750617">
        <w:t xml:space="preserve">Rapport de la Commission mondiale de l’environnement et du développement, </w:t>
      </w:r>
      <w:r w:rsidRPr="00750617">
        <w:rPr>
          <w:i/>
        </w:rPr>
        <w:t xml:space="preserve">Notre avenir à tous </w:t>
      </w:r>
      <w:r w:rsidRPr="00750617">
        <w:t xml:space="preserve">(Oxford, Oxford </w:t>
      </w:r>
      <w:proofErr w:type="spellStart"/>
      <w:r w:rsidRPr="00750617">
        <w:t>University</w:t>
      </w:r>
      <w:proofErr w:type="spellEnd"/>
      <w:r w:rsidRPr="00750617">
        <w:t xml:space="preserve"> </w:t>
      </w:r>
      <w:proofErr w:type="spellStart"/>
      <w:r w:rsidRPr="00750617">
        <w:t>Press</w:t>
      </w:r>
      <w:proofErr w:type="spellEnd"/>
      <w:r w:rsidRPr="00750617">
        <w:t>, 1987), où est soulignée l’importance d’un développement qui « répond[e] aux besoins du présent sans compromettre la possibilité pour les générations à venir de satisfaire les leurs » (p</w:t>
      </w:r>
      <w:r w:rsidRPr="00F22925">
        <w:t>.</w:t>
      </w:r>
      <w:r w:rsidRPr="00750617">
        <w:t> 43)</w:t>
      </w:r>
      <w:r w:rsidRPr="00F22925">
        <w:t>.</w:t>
      </w:r>
    </w:p>
  </w:footnote>
  <w:footnote w:id="34">
    <w:p w14:paraId="7AB7BC73" w14:textId="77777777" w:rsidR="00D01ECD" w:rsidRPr="00750617" w:rsidRDefault="00D01ECD" w:rsidP="00D01ECD">
      <w:pPr>
        <w:pStyle w:val="FootnoteText"/>
      </w:pPr>
      <w:r w:rsidRPr="00750617">
        <w:tab/>
      </w:r>
      <w:r w:rsidRPr="00750617">
        <w:rPr>
          <w:rStyle w:val="FootnoteReference"/>
        </w:rPr>
        <w:footnoteRef/>
      </w:r>
      <w:r w:rsidRPr="00750617">
        <w:tab/>
        <w:t xml:space="preserve">Résolution </w:t>
      </w:r>
      <w:hyperlink r:id="rId19" w:history="1">
        <w:r w:rsidRPr="00F36B61">
          <w:rPr>
            <w:rStyle w:val="Hyperlink"/>
          </w:rPr>
          <w:t>70/1</w:t>
        </w:r>
      </w:hyperlink>
      <w:r w:rsidRPr="00750617">
        <w:t>, du 25 septembre 2015, dans laquelle l’Assemblée générale souligne la nécessité de protéger la planète de la dégradation afin qu’elle puisse « répondre aux besoins des générations actuelles et futures »</w:t>
      </w:r>
      <w:r w:rsidRPr="00F22925">
        <w:t>.</w:t>
      </w:r>
    </w:p>
  </w:footnote>
  <w:footnote w:id="35">
    <w:p w14:paraId="75C57B8A" w14:textId="77777777" w:rsidR="00D01ECD" w:rsidRPr="00750617" w:rsidRDefault="00D01ECD" w:rsidP="00D01ECD">
      <w:pPr>
        <w:pStyle w:val="FootnoteText"/>
      </w:pPr>
      <w:r w:rsidRPr="00750617">
        <w:tab/>
      </w:r>
      <w:r w:rsidRPr="00750617">
        <w:rPr>
          <w:rStyle w:val="FootnoteReference"/>
        </w:rPr>
        <w:footnoteRef/>
      </w:r>
      <w:r w:rsidRPr="00750617">
        <w:tab/>
        <w:t>Le préambule de la Convention dispose que les Parties contractantes sont déterminées à conserver et à utiliser durablement la diversité biologique « au profit des générations présentes et futures »</w:t>
      </w:r>
      <w:r w:rsidRPr="00F22925">
        <w:t>.</w:t>
      </w:r>
    </w:p>
  </w:footnote>
  <w:footnote w:id="36">
    <w:p w14:paraId="34214F66" w14:textId="77777777" w:rsidR="00D01ECD" w:rsidRPr="00750617" w:rsidRDefault="00D01ECD" w:rsidP="00D01ECD">
      <w:pPr>
        <w:pStyle w:val="FootnoteText"/>
      </w:pPr>
      <w:r w:rsidRPr="00750617">
        <w:tab/>
      </w:r>
      <w:r w:rsidRPr="00750617">
        <w:rPr>
          <w:rStyle w:val="FootnoteReference"/>
        </w:rPr>
        <w:footnoteRef/>
      </w:r>
      <w:r w:rsidRPr="00750617">
        <w:tab/>
        <w:t xml:space="preserve">Aux termes de l’article 4 vi) de la Convention commune sur la sûreté de la gestion du combustible usé et sur la sûreté de la gestion des déchets radioactifs (Vienne, 5 septembre 1997, Nations Unies, </w:t>
      </w:r>
      <w:r w:rsidRPr="00750617">
        <w:rPr>
          <w:i/>
        </w:rPr>
        <w:t>Recueil des Traités</w:t>
      </w:r>
      <w:r w:rsidRPr="00750617">
        <w:t>, vol</w:t>
      </w:r>
      <w:r w:rsidRPr="00F22925">
        <w:t>.</w:t>
      </w:r>
      <w:r w:rsidRPr="00750617">
        <w:t xml:space="preserve"> 2153, </w:t>
      </w:r>
      <w:r w:rsidRPr="00750617">
        <w:rPr>
          <w:rFonts w:eastAsia="MS Mincho"/>
        </w:rPr>
        <w:t>n</w:t>
      </w:r>
      <w:r w:rsidRPr="00750617">
        <w:rPr>
          <w:rFonts w:eastAsia="MS Mincho"/>
          <w:vertAlign w:val="superscript"/>
        </w:rPr>
        <w:t>o</w:t>
      </w:r>
      <w:r w:rsidRPr="00750617">
        <w:t> 37605, p</w:t>
      </w:r>
      <w:r w:rsidRPr="00F22925">
        <w:t>.</w:t>
      </w:r>
      <w:r w:rsidRPr="00750617">
        <w:t> 303), les parties « s’efforce[nt] d’éviter les actions dont les effets raisonnablement prévisibles sur les générations futures sont supérieurs à ceux qui sont admis pour la génération actuelle »</w:t>
      </w:r>
      <w:r w:rsidRPr="00F22925">
        <w:t>.</w:t>
      </w:r>
    </w:p>
  </w:footnote>
  <w:footnote w:id="37">
    <w:p w14:paraId="7CEFD60A" w14:textId="77777777" w:rsidR="00D01ECD" w:rsidRPr="00750617" w:rsidRDefault="00D01ECD" w:rsidP="00D01ECD">
      <w:pPr>
        <w:pStyle w:val="FootnoteText"/>
      </w:pPr>
      <w:r w:rsidRPr="00750617">
        <w:rPr>
          <w:vertAlign w:val="superscript"/>
        </w:rPr>
        <w:tab/>
      </w:r>
      <w:r w:rsidRPr="00750617">
        <w:rPr>
          <w:rStyle w:val="FootnoteReference"/>
        </w:rPr>
        <w:footnoteRef/>
      </w:r>
      <w:r w:rsidRPr="00750617">
        <w:rPr>
          <w:vertAlign w:val="superscript"/>
        </w:rPr>
        <w:tab/>
      </w:r>
      <w:r w:rsidRPr="00750617">
        <w:rPr>
          <w:i/>
        </w:rPr>
        <w:t>Licéité de la menace ou de l’emploi d’armes nucléaires, avis consultatif, C</w:t>
      </w:r>
      <w:r w:rsidRPr="00F22925">
        <w:rPr>
          <w:i/>
        </w:rPr>
        <w:t>.</w:t>
      </w:r>
      <w:r w:rsidRPr="00750617">
        <w:rPr>
          <w:i/>
        </w:rPr>
        <w:t>I</w:t>
      </w:r>
      <w:r w:rsidRPr="00F22925">
        <w:rPr>
          <w:i/>
        </w:rPr>
        <w:t>.</w:t>
      </w:r>
      <w:r w:rsidRPr="00750617">
        <w:rPr>
          <w:i/>
        </w:rPr>
        <w:t>J Recueil 1996</w:t>
      </w:r>
      <w:r w:rsidRPr="00750617">
        <w:t>, p</w:t>
      </w:r>
      <w:r w:rsidRPr="00F22925">
        <w:t>.</w:t>
      </w:r>
      <w:r w:rsidRPr="00750617">
        <w:t> 226, à la page 244, par</w:t>
      </w:r>
      <w:r w:rsidRPr="00F22925">
        <w:t>.</w:t>
      </w:r>
      <w:r w:rsidRPr="00750617">
        <w:t> 36</w:t>
      </w:r>
      <w:r w:rsidRPr="00F22925">
        <w:t>.</w:t>
      </w:r>
    </w:p>
  </w:footnote>
  <w:footnote w:id="38">
    <w:p w14:paraId="17F3439B" w14:textId="77777777" w:rsidR="00D01ECD" w:rsidRPr="00750617" w:rsidRDefault="00D01ECD" w:rsidP="00D01ECD">
      <w:pPr>
        <w:pStyle w:val="FootnoteText"/>
        <w:rPr>
          <w:spacing w:val="-1"/>
        </w:rPr>
      </w:pPr>
      <w:r w:rsidRPr="00750617">
        <w:rPr>
          <w:vertAlign w:val="superscript"/>
        </w:rPr>
        <w:tab/>
      </w:r>
      <w:r w:rsidRPr="00750617">
        <w:rPr>
          <w:rStyle w:val="FootnoteReference"/>
        </w:rPr>
        <w:footnoteRef/>
      </w:r>
      <w:r w:rsidRPr="00750617">
        <w:rPr>
          <w:vertAlign w:val="superscript"/>
        </w:rPr>
        <w:tab/>
      </w:r>
      <w:r w:rsidRPr="00750617">
        <w:rPr>
          <w:spacing w:val="-1"/>
        </w:rPr>
        <w:t>De nombreuses décisions rendues par des juridictions nationales consacrent le principe de l’équité entre les générations</w:t>
      </w:r>
      <w:r w:rsidRPr="00F22925">
        <w:rPr>
          <w:spacing w:val="-1"/>
        </w:rPr>
        <w:t>.</w:t>
      </w:r>
      <w:r w:rsidRPr="00750617">
        <w:rPr>
          <w:spacing w:val="-1"/>
        </w:rPr>
        <w:t xml:space="preserve"> </w:t>
      </w:r>
      <w:proofErr w:type="spellStart"/>
      <w:r w:rsidRPr="000D3559">
        <w:rPr>
          <w:spacing w:val="-1"/>
          <w:lang w:val="en-US"/>
        </w:rPr>
        <w:t>Voir</w:t>
      </w:r>
      <w:proofErr w:type="spellEnd"/>
      <w:r w:rsidRPr="000D3559">
        <w:rPr>
          <w:spacing w:val="-1"/>
          <w:lang w:val="en-US"/>
        </w:rPr>
        <w:t xml:space="preserve"> </w:t>
      </w:r>
      <w:proofErr w:type="spellStart"/>
      <w:r w:rsidRPr="000D3559">
        <w:rPr>
          <w:spacing w:val="-1"/>
          <w:lang w:val="en-US"/>
        </w:rPr>
        <w:t>Australie</w:t>
      </w:r>
      <w:proofErr w:type="spellEnd"/>
      <w:r w:rsidRPr="000D3559">
        <w:rPr>
          <w:spacing w:val="-1"/>
          <w:lang w:val="en-US"/>
        </w:rPr>
        <w:t xml:space="preserve">, </w:t>
      </w:r>
      <w:r w:rsidRPr="000D3559">
        <w:rPr>
          <w:i/>
          <w:iCs/>
          <w:spacing w:val="-1"/>
          <w:lang w:val="en-US"/>
        </w:rPr>
        <w:t xml:space="preserve">Gray v. Minister for Planning </w:t>
      </w:r>
      <w:r w:rsidRPr="000D3559">
        <w:rPr>
          <w:spacing w:val="-1"/>
          <w:lang w:val="en-US"/>
        </w:rPr>
        <w:t xml:space="preserve">[2006] NSWLEC 720 ; </w:t>
      </w:r>
      <w:proofErr w:type="spellStart"/>
      <w:r w:rsidRPr="000D3559">
        <w:rPr>
          <w:spacing w:val="-1"/>
          <w:lang w:val="en-US"/>
        </w:rPr>
        <w:t>Inde</w:t>
      </w:r>
      <w:proofErr w:type="spellEnd"/>
      <w:r w:rsidRPr="000D3559">
        <w:rPr>
          <w:spacing w:val="-1"/>
          <w:lang w:val="en-US"/>
        </w:rPr>
        <w:t xml:space="preserve"> : </w:t>
      </w:r>
      <w:r w:rsidRPr="000D3559">
        <w:rPr>
          <w:i/>
          <w:spacing w:val="-1"/>
          <w:lang w:val="en-US"/>
        </w:rPr>
        <w:t>V</w:t>
      </w:r>
      <w:r w:rsidRPr="000D3559">
        <w:rPr>
          <w:i/>
          <w:iCs/>
          <w:spacing w:val="-1"/>
          <w:lang w:val="en-US"/>
        </w:rPr>
        <w:t>ellore Citizens’ Welfare Forum and State of Tamil Nadu (joining) v. Union of India and others</w:t>
      </w:r>
      <w:r w:rsidRPr="000D3559">
        <w:rPr>
          <w:spacing w:val="-1"/>
          <w:lang w:val="en-US"/>
        </w:rPr>
        <w:t xml:space="preserve">, </w:t>
      </w:r>
      <w:r w:rsidRPr="000D3559">
        <w:rPr>
          <w:iCs/>
          <w:spacing w:val="-1"/>
          <w:lang w:val="en-US"/>
        </w:rPr>
        <w:t>original public interest writ petition</w:t>
      </w:r>
      <w:r w:rsidRPr="000D3559">
        <w:rPr>
          <w:spacing w:val="-1"/>
          <w:lang w:val="en-US"/>
        </w:rPr>
        <w:t xml:space="preserve">, 1996 5 SCR 241, ILDC 443 (IN 1996) ; Kenya, </w:t>
      </w:r>
      <w:r w:rsidRPr="000D3559">
        <w:rPr>
          <w:i/>
          <w:iCs/>
          <w:spacing w:val="-1"/>
          <w:lang w:val="en-US"/>
        </w:rPr>
        <w:t>Waweru, Mwangi (joining) and others (joining) v. Kenya</w:t>
      </w:r>
      <w:r w:rsidRPr="000D3559">
        <w:rPr>
          <w:spacing w:val="-1"/>
          <w:lang w:val="en-US"/>
        </w:rPr>
        <w:t xml:space="preserve">, </w:t>
      </w:r>
      <w:r w:rsidRPr="000D3559">
        <w:rPr>
          <w:iCs/>
          <w:spacing w:val="-1"/>
          <w:lang w:val="en-US"/>
        </w:rPr>
        <w:t>miscellaneous civil application</w:t>
      </w:r>
      <w:r w:rsidRPr="000D3559">
        <w:rPr>
          <w:spacing w:val="-1"/>
          <w:lang w:val="en-US"/>
        </w:rPr>
        <w:t xml:space="preserve">, affaire </w:t>
      </w:r>
      <w:r w:rsidRPr="000D3559">
        <w:rPr>
          <w:rFonts w:eastAsia="MS Mincho"/>
          <w:spacing w:val="-1"/>
          <w:lang w:val="en-US"/>
        </w:rPr>
        <w:t>n</w:t>
      </w:r>
      <w:r w:rsidRPr="000D3559">
        <w:rPr>
          <w:rFonts w:eastAsia="MS Mincho"/>
          <w:spacing w:val="-1"/>
          <w:vertAlign w:val="superscript"/>
          <w:lang w:val="en-US"/>
        </w:rPr>
        <w:t>o</w:t>
      </w:r>
      <w:r w:rsidRPr="000D3559">
        <w:rPr>
          <w:spacing w:val="-1"/>
          <w:lang w:val="en-US"/>
        </w:rPr>
        <w:t xml:space="preserve"> 118 de 2004, </w:t>
      </w:r>
      <w:proofErr w:type="spellStart"/>
      <w:r w:rsidRPr="000D3559">
        <w:rPr>
          <w:spacing w:val="-1"/>
          <w:lang w:val="en-US"/>
        </w:rPr>
        <w:t>requête</w:t>
      </w:r>
      <w:proofErr w:type="spellEnd"/>
      <w:r w:rsidRPr="000D3559">
        <w:rPr>
          <w:spacing w:val="-1"/>
          <w:lang w:val="en-US"/>
        </w:rPr>
        <w:t xml:space="preserve"> </w:t>
      </w:r>
      <w:r w:rsidRPr="000D3559">
        <w:rPr>
          <w:rFonts w:eastAsia="MS Mincho"/>
          <w:spacing w:val="-1"/>
          <w:lang w:val="en-US"/>
        </w:rPr>
        <w:t>n</w:t>
      </w:r>
      <w:r w:rsidRPr="000D3559">
        <w:rPr>
          <w:rFonts w:eastAsia="MS Mincho"/>
          <w:spacing w:val="-1"/>
          <w:vertAlign w:val="superscript"/>
          <w:lang w:val="en-US"/>
        </w:rPr>
        <w:t>o</w:t>
      </w:r>
      <w:r w:rsidRPr="000D3559">
        <w:rPr>
          <w:spacing w:val="-1"/>
          <w:lang w:val="en-US"/>
        </w:rPr>
        <w:t xml:space="preserve"> 118/04, ILDC 880 (KE 2006) ; Afrique du Sud, </w:t>
      </w:r>
      <w:r w:rsidRPr="000D3559">
        <w:rPr>
          <w:i/>
          <w:iCs/>
          <w:spacing w:val="-1"/>
          <w:lang w:val="en-US"/>
        </w:rPr>
        <w:t xml:space="preserve">Fuel Retailers Association of South Africa v. Director-General, Environmental Management, Department of Agriculture, Conservation and Environment, Mpumalanga Province, and others </w:t>
      </w:r>
      <w:r w:rsidRPr="000D3559">
        <w:rPr>
          <w:spacing w:val="-1"/>
          <w:lang w:val="en-US"/>
        </w:rPr>
        <w:t xml:space="preserve">[2007] ZACC 13, 10 BCLR 1059 ; Pakistan, </w:t>
      </w:r>
      <w:r w:rsidRPr="000D3559">
        <w:rPr>
          <w:i/>
          <w:spacing w:val="-1"/>
          <w:lang w:val="en-US"/>
        </w:rPr>
        <w:t>Rabab Ali v. Federation of Pakistan</w:t>
      </w:r>
      <w:r w:rsidRPr="000D3559">
        <w:rPr>
          <w:spacing w:val="-1"/>
          <w:lang w:val="en-US"/>
        </w:rPr>
        <w:t xml:space="preserve">, </w:t>
      </w:r>
      <w:proofErr w:type="spellStart"/>
      <w:r w:rsidRPr="000D3559">
        <w:rPr>
          <w:spacing w:val="-1"/>
          <w:lang w:val="en-US"/>
        </w:rPr>
        <w:t>requête</w:t>
      </w:r>
      <w:proofErr w:type="spellEnd"/>
      <w:r w:rsidRPr="000D3559">
        <w:rPr>
          <w:spacing w:val="-1"/>
          <w:lang w:val="en-US"/>
        </w:rPr>
        <w:t xml:space="preserve"> </w:t>
      </w:r>
      <w:proofErr w:type="spellStart"/>
      <w:r w:rsidRPr="000D3559">
        <w:rPr>
          <w:spacing w:val="-1"/>
          <w:lang w:val="en-US"/>
        </w:rPr>
        <w:t>déposée</w:t>
      </w:r>
      <w:proofErr w:type="spellEnd"/>
      <w:r w:rsidRPr="000D3559">
        <w:rPr>
          <w:spacing w:val="-1"/>
          <w:lang w:val="en-US"/>
        </w:rPr>
        <w:t xml:space="preserve"> le 6 </w:t>
      </w:r>
      <w:proofErr w:type="spellStart"/>
      <w:r w:rsidRPr="000D3559">
        <w:rPr>
          <w:spacing w:val="-1"/>
          <w:lang w:val="en-US"/>
        </w:rPr>
        <w:t>avril</w:t>
      </w:r>
      <w:proofErr w:type="spellEnd"/>
      <w:r w:rsidRPr="000D3559">
        <w:rPr>
          <w:spacing w:val="-1"/>
          <w:lang w:val="en-US"/>
        </w:rPr>
        <w:t xml:space="preserve"> 2016 (résumé disponible à </w:t>
      </w:r>
      <w:proofErr w:type="spellStart"/>
      <w:r w:rsidRPr="000D3559">
        <w:rPr>
          <w:spacing w:val="-1"/>
          <w:lang w:val="en-US"/>
        </w:rPr>
        <w:t>l’adresse</w:t>
      </w:r>
      <w:proofErr w:type="spellEnd"/>
      <w:r w:rsidRPr="000D3559">
        <w:rPr>
          <w:spacing w:val="-1"/>
          <w:lang w:val="en-US"/>
        </w:rPr>
        <w:t xml:space="preserve"> </w:t>
      </w:r>
      <w:proofErr w:type="spellStart"/>
      <w:r w:rsidRPr="000D3559">
        <w:rPr>
          <w:spacing w:val="-1"/>
          <w:lang w:val="en-US"/>
        </w:rPr>
        <w:t>suivante</w:t>
      </w:r>
      <w:proofErr w:type="spellEnd"/>
      <w:r w:rsidRPr="000D3559">
        <w:rPr>
          <w:spacing w:val="-1"/>
          <w:lang w:val="en-US"/>
        </w:rPr>
        <w:t xml:space="preserve"> : </w:t>
      </w:r>
      <w:hyperlink r:id="rId20" w:history="1">
        <w:r w:rsidRPr="000D3559">
          <w:rPr>
            <w:rStyle w:val="Hyperlink"/>
            <w:lang w:val="en-US"/>
          </w:rPr>
          <w:t>www.ourchildrenstrust.org/pakistan</w:t>
        </w:r>
      </w:hyperlink>
      <w:r w:rsidRPr="000D3559">
        <w:rPr>
          <w:spacing w:val="-1"/>
          <w:lang w:val="en-US"/>
        </w:rPr>
        <w:t xml:space="preserve">). Pour un </w:t>
      </w:r>
      <w:proofErr w:type="spellStart"/>
      <w:r w:rsidRPr="000D3559">
        <w:rPr>
          <w:spacing w:val="-1"/>
          <w:lang w:val="en-US"/>
        </w:rPr>
        <w:t>commentaire</w:t>
      </w:r>
      <w:proofErr w:type="spellEnd"/>
      <w:r w:rsidRPr="000D3559">
        <w:rPr>
          <w:spacing w:val="-1"/>
          <w:lang w:val="en-US"/>
        </w:rPr>
        <w:t xml:space="preserve">, </w:t>
      </w:r>
      <w:proofErr w:type="spellStart"/>
      <w:r w:rsidRPr="000D3559">
        <w:rPr>
          <w:spacing w:val="-1"/>
          <w:lang w:val="en-US"/>
        </w:rPr>
        <w:t>voir</w:t>
      </w:r>
      <w:proofErr w:type="spellEnd"/>
      <w:r w:rsidRPr="000D3559">
        <w:rPr>
          <w:spacing w:val="-1"/>
          <w:lang w:val="en-US"/>
        </w:rPr>
        <w:t xml:space="preserve"> C. </w:t>
      </w:r>
      <w:proofErr w:type="spellStart"/>
      <w:r w:rsidRPr="000D3559">
        <w:rPr>
          <w:spacing w:val="-1"/>
          <w:lang w:val="en-US"/>
        </w:rPr>
        <w:t>Redgwell</w:t>
      </w:r>
      <w:proofErr w:type="spellEnd"/>
      <w:r w:rsidRPr="000D3559">
        <w:rPr>
          <w:spacing w:val="-1"/>
          <w:lang w:val="en-US"/>
        </w:rPr>
        <w:t>, « Intra- and inter</w:t>
      </w:r>
      <w:r w:rsidRPr="000D3559">
        <w:rPr>
          <w:spacing w:val="-1"/>
          <w:lang w:val="en-US"/>
        </w:rPr>
        <w:noBreakHyphen/>
        <w:t xml:space="preserve">generational equity », dans </w:t>
      </w:r>
      <w:r w:rsidRPr="000D3559">
        <w:rPr>
          <w:i/>
          <w:spacing w:val="-1"/>
          <w:lang w:val="en-US"/>
        </w:rPr>
        <w:t>The Oxford Handbook of International Climate Change Law</w:t>
      </w:r>
      <w:r w:rsidRPr="000D3559">
        <w:rPr>
          <w:spacing w:val="-1"/>
          <w:lang w:val="en-US"/>
        </w:rPr>
        <w:t>, C. P. </w:t>
      </w:r>
      <w:proofErr w:type="spellStart"/>
      <w:r w:rsidRPr="000D3559">
        <w:rPr>
          <w:spacing w:val="-1"/>
          <w:lang w:val="en-US"/>
        </w:rPr>
        <w:t>Carlarne</w:t>
      </w:r>
      <w:proofErr w:type="spellEnd"/>
      <w:r w:rsidRPr="000D3559">
        <w:rPr>
          <w:spacing w:val="-1"/>
          <w:lang w:val="en-US"/>
        </w:rPr>
        <w:t>, K. R. Gray et R. G. </w:t>
      </w:r>
      <w:proofErr w:type="spellStart"/>
      <w:r w:rsidRPr="000D3559">
        <w:rPr>
          <w:spacing w:val="-1"/>
          <w:lang w:val="en-US"/>
        </w:rPr>
        <w:t>Tarasofsky</w:t>
      </w:r>
      <w:proofErr w:type="spellEnd"/>
      <w:r w:rsidRPr="000D3559">
        <w:rPr>
          <w:spacing w:val="-1"/>
          <w:lang w:val="en-US"/>
        </w:rPr>
        <w:t xml:space="preserve"> (dir. publ.) (Oxford, Oxford University Press, 2016), p. 185 à 201, à la page 198. </w:t>
      </w:r>
      <w:proofErr w:type="spellStart"/>
      <w:r w:rsidRPr="000D3559">
        <w:rPr>
          <w:spacing w:val="-1"/>
          <w:lang w:val="en-US"/>
        </w:rPr>
        <w:t>Voir</w:t>
      </w:r>
      <w:proofErr w:type="spellEnd"/>
      <w:r w:rsidRPr="000D3559">
        <w:rPr>
          <w:spacing w:val="-1"/>
          <w:lang w:val="en-US"/>
        </w:rPr>
        <w:t xml:space="preserve"> </w:t>
      </w:r>
      <w:proofErr w:type="spellStart"/>
      <w:r w:rsidRPr="000D3559">
        <w:rPr>
          <w:spacing w:val="-1"/>
          <w:lang w:val="en-US"/>
        </w:rPr>
        <w:t>aussi</w:t>
      </w:r>
      <w:proofErr w:type="spellEnd"/>
      <w:r w:rsidRPr="000D3559">
        <w:rPr>
          <w:spacing w:val="-1"/>
          <w:lang w:val="en-US"/>
        </w:rPr>
        <w:t xml:space="preserve"> E. Brown Weiss, </w:t>
      </w:r>
      <w:r w:rsidRPr="000D3559">
        <w:rPr>
          <w:i/>
          <w:spacing w:val="-1"/>
          <w:lang w:val="en-US"/>
        </w:rPr>
        <w:t>In Fairness to Future Generations : International Law, Common Patrimony, and Intergenerational Equity</w:t>
      </w:r>
      <w:r w:rsidRPr="000D3559">
        <w:rPr>
          <w:spacing w:val="-1"/>
          <w:lang w:val="en-US"/>
        </w:rPr>
        <w:t xml:space="preserve"> (Tokyo, Presses de </w:t>
      </w:r>
      <w:proofErr w:type="spellStart"/>
      <w:r w:rsidRPr="000D3559">
        <w:rPr>
          <w:spacing w:val="-1"/>
          <w:lang w:val="en-US"/>
        </w:rPr>
        <w:t>l’Université</w:t>
      </w:r>
      <w:proofErr w:type="spellEnd"/>
      <w:r w:rsidRPr="000D3559">
        <w:rPr>
          <w:spacing w:val="-1"/>
          <w:lang w:val="en-US"/>
        </w:rPr>
        <w:t xml:space="preserve"> des Nations </w:t>
      </w:r>
      <w:proofErr w:type="spellStart"/>
      <w:r w:rsidRPr="000D3559">
        <w:rPr>
          <w:spacing w:val="-1"/>
          <w:lang w:val="en-US"/>
        </w:rPr>
        <w:t>Unies</w:t>
      </w:r>
      <w:proofErr w:type="spellEnd"/>
      <w:r w:rsidRPr="000D3559">
        <w:rPr>
          <w:spacing w:val="-1"/>
          <w:lang w:val="en-US"/>
        </w:rPr>
        <w:t xml:space="preserve">, 1989), p. 96 ; M. Bruce, « Institutional aspects of a charter of the rights of future generations », dans S. Busuttil </w:t>
      </w:r>
      <w:r w:rsidRPr="000D3559">
        <w:rPr>
          <w:i/>
          <w:iCs/>
          <w:spacing w:val="-1"/>
          <w:lang w:val="en-US"/>
        </w:rPr>
        <w:t>et al</w:t>
      </w:r>
      <w:r w:rsidRPr="000D3559">
        <w:rPr>
          <w:spacing w:val="-1"/>
          <w:lang w:val="en-US"/>
        </w:rPr>
        <w:t xml:space="preserve"> (dir. publ.), </w:t>
      </w:r>
      <w:r w:rsidRPr="000D3559">
        <w:rPr>
          <w:i/>
          <w:spacing w:val="-1"/>
          <w:lang w:val="en-US"/>
        </w:rPr>
        <w:t xml:space="preserve">Our Responsibilities Towards Future Generations </w:t>
      </w:r>
      <w:r w:rsidRPr="000D3559">
        <w:rPr>
          <w:spacing w:val="-1"/>
          <w:lang w:val="en-US"/>
        </w:rPr>
        <w:t xml:space="preserve">(La Valette, UNESCO et </w:t>
      </w:r>
      <w:proofErr w:type="spellStart"/>
      <w:r w:rsidRPr="000D3559">
        <w:rPr>
          <w:spacing w:val="-1"/>
          <w:lang w:val="en-US"/>
        </w:rPr>
        <w:t>Fondation</w:t>
      </w:r>
      <w:proofErr w:type="spellEnd"/>
      <w:r w:rsidRPr="000D3559">
        <w:rPr>
          <w:spacing w:val="-1"/>
          <w:lang w:val="en-US"/>
        </w:rPr>
        <w:t xml:space="preserve"> pour les études </w:t>
      </w:r>
      <w:proofErr w:type="spellStart"/>
      <w:r w:rsidRPr="000D3559">
        <w:rPr>
          <w:spacing w:val="-1"/>
          <w:lang w:val="en-US"/>
        </w:rPr>
        <w:t>internationales</w:t>
      </w:r>
      <w:proofErr w:type="spellEnd"/>
      <w:r w:rsidRPr="000D3559">
        <w:rPr>
          <w:spacing w:val="-1"/>
          <w:lang w:val="en-US"/>
        </w:rPr>
        <w:t xml:space="preserve">, </w:t>
      </w:r>
      <w:proofErr w:type="spellStart"/>
      <w:r w:rsidRPr="000D3559">
        <w:rPr>
          <w:spacing w:val="-1"/>
          <w:lang w:val="en-US"/>
        </w:rPr>
        <w:t>Université</w:t>
      </w:r>
      <w:proofErr w:type="spellEnd"/>
      <w:r w:rsidRPr="000D3559">
        <w:rPr>
          <w:spacing w:val="-1"/>
          <w:lang w:val="en-US"/>
        </w:rPr>
        <w:t xml:space="preserve"> de Malte, 1990), p. 127 à 131 ; T. Allen, « The Philippine children’s case : recognizing legal standing for future generations », </w:t>
      </w:r>
      <w:r w:rsidRPr="000D3559">
        <w:rPr>
          <w:i/>
          <w:spacing w:val="-1"/>
          <w:lang w:val="en-US"/>
        </w:rPr>
        <w:t>Georgetown International Environmental Law Review</w:t>
      </w:r>
      <w:r w:rsidRPr="000D3559">
        <w:rPr>
          <w:spacing w:val="-1"/>
          <w:lang w:val="en-US"/>
        </w:rPr>
        <w:t xml:space="preserve">, vol. 6 (1994), p. 713 à 741, </w:t>
      </w:r>
      <w:proofErr w:type="spellStart"/>
      <w:r w:rsidRPr="000D3559">
        <w:rPr>
          <w:spacing w:val="-1"/>
          <w:lang w:val="en-US"/>
        </w:rPr>
        <w:t>renvoyant</w:t>
      </w:r>
      <w:proofErr w:type="spellEnd"/>
      <w:r w:rsidRPr="000D3559">
        <w:rPr>
          <w:spacing w:val="-1"/>
          <w:lang w:val="en-US"/>
        </w:rPr>
        <w:t xml:space="preserve"> à </w:t>
      </w:r>
      <w:proofErr w:type="spellStart"/>
      <w:r w:rsidRPr="000D3559">
        <w:rPr>
          <w:spacing w:val="-1"/>
          <w:lang w:val="en-US"/>
        </w:rPr>
        <w:t>l’arrêt</w:t>
      </w:r>
      <w:proofErr w:type="spellEnd"/>
      <w:r w:rsidRPr="000D3559">
        <w:rPr>
          <w:spacing w:val="-1"/>
          <w:lang w:val="en-US"/>
        </w:rPr>
        <w:t xml:space="preserve"> </w:t>
      </w:r>
      <w:proofErr w:type="spellStart"/>
      <w:r w:rsidRPr="000D3559">
        <w:rPr>
          <w:spacing w:val="-1"/>
          <w:lang w:val="en-US"/>
        </w:rPr>
        <w:t>rendu</w:t>
      </w:r>
      <w:proofErr w:type="spellEnd"/>
      <w:r w:rsidRPr="000D3559">
        <w:rPr>
          <w:spacing w:val="-1"/>
          <w:lang w:val="en-US"/>
        </w:rPr>
        <w:t xml:space="preserve"> </w:t>
      </w:r>
      <w:proofErr w:type="spellStart"/>
      <w:r w:rsidRPr="000D3559">
        <w:rPr>
          <w:spacing w:val="-1"/>
          <w:lang w:val="en-US"/>
        </w:rPr>
        <w:t>par</w:t>
      </w:r>
      <w:proofErr w:type="spellEnd"/>
      <w:r w:rsidRPr="000D3559">
        <w:rPr>
          <w:spacing w:val="-1"/>
          <w:lang w:val="en-US"/>
        </w:rPr>
        <w:t xml:space="preserve"> la </w:t>
      </w:r>
      <w:proofErr w:type="spellStart"/>
      <w:r w:rsidRPr="000D3559">
        <w:rPr>
          <w:spacing w:val="-1"/>
          <w:lang w:val="en-US"/>
        </w:rPr>
        <w:t>Cour</w:t>
      </w:r>
      <w:proofErr w:type="spellEnd"/>
      <w:r w:rsidRPr="000D3559">
        <w:rPr>
          <w:spacing w:val="-1"/>
          <w:lang w:val="en-US"/>
        </w:rPr>
        <w:t xml:space="preserve"> </w:t>
      </w:r>
      <w:proofErr w:type="spellStart"/>
      <w:r w:rsidRPr="000D3559">
        <w:rPr>
          <w:spacing w:val="-1"/>
          <w:lang w:val="en-US"/>
        </w:rPr>
        <w:t>suprême</w:t>
      </w:r>
      <w:proofErr w:type="spellEnd"/>
      <w:r w:rsidRPr="000D3559">
        <w:rPr>
          <w:spacing w:val="-1"/>
          <w:lang w:val="en-US"/>
        </w:rPr>
        <w:t xml:space="preserve"> des Philippines dans </w:t>
      </w:r>
      <w:proofErr w:type="spellStart"/>
      <w:r w:rsidRPr="000D3559">
        <w:rPr>
          <w:spacing w:val="-1"/>
          <w:lang w:val="en-US"/>
        </w:rPr>
        <w:t>l’affaire</w:t>
      </w:r>
      <w:proofErr w:type="spellEnd"/>
      <w:r w:rsidRPr="000D3559">
        <w:rPr>
          <w:spacing w:val="-1"/>
          <w:lang w:val="en-US"/>
        </w:rPr>
        <w:t xml:space="preserve"> </w:t>
      </w:r>
      <w:r w:rsidRPr="000D3559">
        <w:rPr>
          <w:i/>
          <w:spacing w:val="-1"/>
          <w:lang w:val="en-US"/>
        </w:rPr>
        <w:t xml:space="preserve">Minors </w:t>
      </w:r>
      <w:proofErr w:type="spellStart"/>
      <w:r w:rsidRPr="000D3559">
        <w:rPr>
          <w:i/>
          <w:spacing w:val="-1"/>
          <w:lang w:val="en-US"/>
        </w:rPr>
        <w:t>Oposa</w:t>
      </w:r>
      <w:proofErr w:type="spellEnd"/>
      <w:r w:rsidRPr="000D3559">
        <w:rPr>
          <w:i/>
          <w:spacing w:val="-1"/>
          <w:lang w:val="en-US"/>
        </w:rPr>
        <w:t xml:space="preserve"> et al. v. </w:t>
      </w:r>
      <w:proofErr w:type="spellStart"/>
      <w:r w:rsidRPr="000D3559">
        <w:rPr>
          <w:i/>
          <w:spacing w:val="-1"/>
          <w:lang w:val="en-US"/>
        </w:rPr>
        <w:t>Factoran</w:t>
      </w:r>
      <w:proofErr w:type="spellEnd"/>
      <w:r w:rsidRPr="000D3559">
        <w:rPr>
          <w:spacing w:val="-1"/>
          <w:lang w:val="en-US"/>
        </w:rPr>
        <w:t xml:space="preserve"> (30 </w:t>
      </w:r>
      <w:proofErr w:type="spellStart"/>
      <w:r w:rsidRPr="000D3559">
        <w:rPr>
          <w:spacing w:val="-1"/>
          <w:lang w:val="en-US"/>
        </w:rPr>
        <w:t>juillet</w:t>
      </w:r>
      <w:proofErr w:type="spellEnd"/>
      <w:r w:rsidRPr="000D3559">
        <w:rPr>
          <w:spacing w:val="-1"/>
          <w:lang w:val="en-US"/>
        </w:rPr>
        <w:t xml:space="preserve"> 1993), </w:t>
      </w:r>
      <w:r w:rsidRPr="000D3559">
        <w:rPr>
          <w:i/>
          <w:iCs/>
          <w:spacing w:val="-1"/>
          <w:lang w:val="en-US"/>
        </w:rPr>
        <w:t>International Legal Materials</w:t>
      </w:r>
      <w:r w:rsidRPr="000D3559">
        <w:rPr>
          <w:spacing w:val="-1"/>
          <w:lang w:val="en-US"/>
        </w:rPr>
        <w:t xml:space="preserve">, vol. 33 (1994), p. 168. </w:t>
      </w:r>
      <w:r w:rsidRPr="00750617">
        <w:rPr>
          <w:spacing w:val="-1"/>
        </w:rPr>
        <w:t>Dans certaines affaires, la qualité d’agir en justice a été reconnue sur la base de la « doctrine de la fiducie publique », selon laquelle les gouvernements sont fiduciaires des ressources environnementales communes</w:t>
      </w:r>
      <w:r w:rsidRPr="00F22925">
        <w:rPr>
          <w:spacing w:val="-1"/>
        </w:rPr>
        <w:t>.</w:t>
      </w:r>
      <w:r w:rsidRPr="00750617">
        <w:rPr>
          <w:spacing w:val="-1"/>
        </w:rPr>
        <w:t xml:space="preserve"> </w:t>
      </w:r>
      <w:proofErr w:type="spellStart"/>
      <w:r w:rsidRPr="000D3559">
        <w:rPr>
          <w:spacing w:val="-1"/>
          <w:lang w:val="en-US"/>
        </w:rPr>
        <w:t>Voir</w:t>
      </w:r>
      <w:proofErr w:type="spellEnd"/>
      <w:r w:rsidRPr="000D3559">
        <w:rPr>
          <w:spacing w:val="-1"/>
          <w:lang w:val="en-US"/>
        </w:rPr>
        <w:t xml:space="preserve"> M. C. Wood et C. W. Woodward IV, « Atmospheric trust litigation and the constitutional right to a healthy climate system : judicial recognition at last », </w:t>
      </w:r>
      <w:r w:rsidRPr="000D3559">
        <w:rPr>
          <w:i/>
          <w:spacing w:val="-1"/>
          <w:lang w:val="en-US"/>
        </w:rPr>
        <w:t>Washington Journal of Environmental Law and Policy</w:t>
      </w:r>
      <w:r w:rsidRPr="000D3559">
        <w:rPr>
          <w:spacing w:val="-1"/>
          <w:lang w:val="en-US"/>
        </w:rPr>
        <w:t>, vol. 6 (2016), p. 634 à 684 ; C. </w:t>
      </w:r>
      <w:proofErr w:type="spellStart"/>
      <w:r w:rsidRPr="000D3559">
        <w:rPr>
          <w:spacing w:val="-1"/>
          <w:lang w:val="en-US"/>
        </w:rPr>
        <w:t>Redgwell</w:t>
      </w:r>
      <w:proofErr w:type="spellEnd"/>
      <w:r w:rsidRPr="000D3559">
        <w:rPr>
          <w:spacing w:val="-1"/>
          <w:lang w:val="en-US"/>
        </w:rPr>
        <w:t xml:space="preserve">, </w:t>
      </w:r>
      <w:r w:rsidRPr="000D3559">
        <w:rPr>
          <w:i/>
          <w:spacing w:val="-1"/>
          <w:lang w:val="en-US"/>
        </w:rPr>
        <w:t>Intergenerational Trusts and Environmental Protection</w:t>
      </w:r>
      <w:r w:rsidRPr="000D3559">
        <w:rPr>
          <w:spacing w:val="-1"/>
          <w:lang w:val="en-US"/>
        </w:rPr>
        <w:t xml:space="preserve"> (Manchester, Manchester University Press, 1999) ; K. Coghill, C. </w:t>
      </w:r>
      <w:proofErr w:type="spellStart"/>
      <w:r w:rsidRPr="000D3559">
        <w:rPr>
          <w:spacing w:val="-1"/>
          <w:lang w:val="en-US"/>
        </w:rPr>
        <w:t>Sampford</w:t>
      </w:r>
      <w:proofErr w:type="spellEnd"/>
      <w:r w:rsidRPr="000D3559">
        <w:rPr>
          <w:spacing w:val="-1"/>
          <w:lang w:val="en-US"/>
        </w:rPr>
        <w:t xml:space="preserve"> et T. Smith (dir. publ.), </w:t>
      </w:r>
      <w:r w:rsidRPr="000D3559">
        <w:rPr>
          <w:i/>
          <w:spacing w:val="-1"/>
          <w:lang w:val="en-US"/>
        </w:rPr>
        <w:t>Fiduciary Duty and the Atmospheric Trust</w:t>
      </w:r>
      <w:r w:rsidRPr="000D3559">
        <w:rPr>
          <w:spacing w:val="-1"/>
          <w:lang w:val="en-US"/>
        </w:rPr>
        <w:t xml:space="preserve"> (</w:t>
      </w:r>
      <w:proofErr w:type="spellStart"/>
      <w:r w:rsidRPr="000D3559">
        <w:rPr>
          <w:spacing w:val="-1"/>
          <w:lang w:val="en-US"/>
        </w:rPr>
        <w:t>Londres</w:t>
      </w:r>
      <w:proofErr w:type="spellEnd"/>
      <w:r w:rsidRPr="000D3559">
        <w:rPr>
          <w:spacing w:val="-1"/>
          <w:lang w:val="en-US"/>
        </w:rPr>
        <w:t>, Routledge, 2012) ; M. C. </w:t>
      </w:r>
      <w:proofErr w:type="spellStart"/>
      <w:r w:rsidRPr="000D3559">
        <w:rPr>
          <w:spacing w:val="-1"/>
          <w:lang w:val="en-US"/>
        </w:rPr>
        <w:t>Blumm</w:t>
      </w:r>
      <w:proofErr w:type="spellEnd"/>
      <w:r w:rsidRPr="000D3559">
        <w:rPr>
          <w:spacing w:val="-1"/>
          <w:lang w:val="en-US"/>
        </w:rPr>
        <w:t xml:space="preserve"> et M. C. Wood, </w:t>
      </w:r>
      <w:r w:rsidRPr="000D3559">
        <w:rPr>
          <w:i/>
          <w:spacing w:val="-1"/>
          <w:lang w:val="en-US"/>
        </w:rPr>
        <w:t>The Public Trust Doctrine in Environmental and</w:t>
      </w:r>
      <w:r w:rsidRPr="000D3559">
        <w:rPr>
          <w:spacing w:val="-1"/>
          <w:lang w:val="en-US"/>
        </w:rPr>
        <w:t xml:space="preserve"> </w:t>
      </w:r>
      <w:r w:rsidRPr="000D3559">
        <w:rPr>
          <w:i/>
          <w:spacing w:val="-1"/>
          <w:lang w:val="en-US"/>
        </w:rPr>
        <w:t>Natural Resources Law</w:t>
      </w:r>
      <w:r w:rsidRPr="000D3559">
        <w:rPr>
          <w:spacing w:val="-1"/>
          <w:lang w:val="en-US"/>
        </w:rPr>
        <w:t>, 2</w:t>
      </w:r>
      <w:r w:rsidRPr="000D3559">
        <w:rPr>
          <w:spacing w:val="-1"/>
          <w:vertAlign w:val="superscript"/>
          <w:lang w:val="en-US"/>
        </w:rPr>
        <w:t>e</w:t>
      </w:r>
      <w:r w:rsidRPr="000D3559">
        <w:rPr>
          <w:spacing w:val="-1"/>
          <w:lang w:val="en-US"/>
        </w:rPr>
        <w:t> </w:t>
      </w:r>
      <w:proofErr w:type="spellStart"/>
      <w:r w:rsidRPr="000D3559">
        <w:rPr>
          <w:spacing w:val="-1"/>
          <w:lang w:val="en-US"/>
        </w:rPr>
        <w:t>éd</w:t>
      </w:r>
      <w:proofErr w:type="spellEnd"/>
      <w:r w:rsidRPr="000D3559">
        <w:rPr>
          <w:spacing w:val="-1"/>
          <w:lang w:val="en-US"/>
        </w:rPr>
        <w:t>. (Durham, Caroline du Nord, Carolina Academic Press, 2015</w:t>
      </w:r>
      <w:proofErr w:type="gramStart"/>
      <w:r w:rsidRPr="000D3559">
        <w:rPr>
          <w:spacing w:val="-1"/>
          <w:lang w:val="en-US"/>
        </w:rPr>
        <w:t>) ;</w:t>
      </w:r>
      <w:proofErr w:type="gramEnd"/>
      <w:r w:rsidRPr="000D3559">
        <w:rPr>
          <w:spacing w:val="-1"/>
          <w:lang w:val="en-US"/>
        </w:rPr>
        <w:t xml:space="preserve"> et K. </w:t>
      </w:r>
      <w:proofErr w:type="spellStart"/>
      <w:r w:rsidRPr="000D3559">
        <w:rPr>
          <w:spacing w:val="-1"/>
          <w:lang w:val="en-US"/>
        </w:rPr>
        <w:t>Bosselmann</w:t>
      </w:r>
      <w:proofErr w:type="spellEnd"/>
      <w:r w:rsidRPr="000D3559">
        <w:rPr>
          <w:spacing w:val="-1"/>
          <w:lang w:val="en-US"/>
        </w:rPr>
        <w:t xml:space="preserve">, </w:t>
      </w:r>
      <w:r w:rsidRPr="000D3559">
        <w:rPr>
          <w:i/>
          <w:spacing w:val="-1"/>
          <w:lang w:val="en-US"/>
        </w:rPr>
        <w:t>Earth Governance : Trusteeship of the Global Commons</w:t>
      </w:r>
      <w:r w:rsidRPr="000D3559">
        <w:rPr>
          <w:spacing w:val="-1"/>
          <w:lang w:val="en-US"/>
        </w:rPr>
        <w:t xml:space="preserve"> (Cheltenham, Edward Elgar Publishing, 2015). </w:t>
      </w:r>
      <w:r w:rsidRPr="00750617">
        <w:rPr>
          <w:spacing w:val="-1"/>
        </w:rPr>
        <w:t xml:space="preserve">Dans un arrêt du 13 décembre 1996, la Cour suprême de l’Inde a dit que la doctrine de la fiducie publique participait du droit interne ; </w:t>
      </w:r>
      <w:r w:rsidRPr="00750617">
        <w:rPr>
          <w:i/>
          <w:spacing w:val="-1"/>
        </w:rPr>
        <w:t>M</w:t>
      </w:r>
      <w:r w:rsidRPr="00F22925">
        <w:rPr>
          <w:i/>
          <w:spacing w:val="-1"/>
        </w:rPr>
        <w:t>.</w:t>
      </w:r>
      <w:r w:rsidRPr="00750617">
        <w:rPr>
          <w:i/>
          <w:spacing w:val="-1"/>
        </w:rPr>
        <w:t> C</w:t>
      </w:r>
      <w:r w:rsidRPr="00F22925">
        <w:rPr>
          <w:i/>
          <w:spacing w:val="-1"/>
        </w:rPr>
        <w:t>.</w:t>
      </w:r>
      <w:r w:rsidRPr="00750617">
        <w:rPr>
          <w:i/>
          <w:spacing w:val="-1"/>
        </w:rPr>
        <w:t> </w:t>
      </w:r>
      <w:proofErr w:type="spellStart"/>
      <w:r w:rsidRPr="00750617">
        <w:rPr>
          <w:i/>
          <w:spacing w:val="-1"/>
        </w:rPr>
        <w:t>Mehta</w:t>
      </w:r>
      <w:proofErr w:type="spellEnd"/>
      <w:r w:rsidRPr="00750617">
        <w:rPr>
          <w:i/>
          <w:spacing w:val="-1"/>
        </w:rPr>
        <w:t xml:space="preserve"> v</w:t>
      </w:r>
      <w:r w:rsidRPr="00F22925">
        <w:rPr>
          <w:i/>
          <w:spacing w:val="-1"/>
        </w:rPr>
        <w:t>.</w:t>
      </w:r>
      <w:r w:rsidRPr="00750617">
        <w:rPr>
          <w:i/>
          <w:spacing w:val="-1"/>
        </w:rPr>
        <w:t xml:space="preserve"> Kamal </w:t>
      </w:r>
      <w:proofErr w:type="spellStart"/>
      <w:r w:rsidRPr="00750617">
        <w:rPr>
          <w:i/>
          <w:spacing w:val="-1"/>
        </w:rPr>
        <w:t>Nath</w:t>
      </w:r>
      <w:proofErr w:type="spellEnd"/>
      <w:r w:rsidRPr="00750617">
        <w:rPr>
          <w:i/>
          <w:spacing w:val="-1"/>
        </w:rPr>
        <w:t xml:space="preserve"> and </w:t>
      </w:r>
      <w:proofErr w:type="spellStart"/>
      <w:r w:rsidRPr="00750617">
        <w:rPr>
          <w:i/>
          <w:spacing w:val="-1"/>
        </w:rPr>
        <w:t>Others</w:t>
      </w:r>
      <w:proofErr w:type="spellEnd"/>
      <w:r w:rsidRPr="00750617">
        <w:rPr>
          <w:i/>
          <w:spacing w:val="-1"/>
        </w:rPr>
        <w:t xml:space="preserve"> </w:t>
      </w:r>
      <w:r w:rsidRPr="00750617">
        <w:rPr>
          <w:spacing w:val="-1"/>
        </w:rPr>
        <w:t xml:space="preserve">(1997) 1 </w:t>
      </w:r>
      <w:proofErr w:type="spellStart"/>
      <w:r w:rsidRPr="00750617">
        <w:rPr>
          <w:spacing w:val="-1"/>
        </w:rPr>
        <w:t>Supreme</w:t>
      </w:r>
      <w:proofErr w:type="spellEnd"/>
      <w:r w:rsidRPr="00750617">
        <w:rPr>
          <w:spacing w:val="-1"/>
        </w:rPr>
        <w:t xml:space="preserve"> Court Cases 388, réimprimé dans C</w:t>
      </w:r>
      <w:r w:rsidRPr="00F22925">
        <w:rPr>
          <w:spacing w:val="-1"/>
        </w:rPr>
        <w:t>.</w:t>
      </w:r>
      <w:r w:rsidRPr="00750617">
        <w:rPr>
          <w:spacing w:val="-1"/>
        </w:rPr>
        <w:t> O</w:t>
      </w:r>
      <w:r w:rsidRPr="00F22925">
        <w:rPr>
          <w:spacing w:val="-1"/>
        </w:rPr>
        <w:t>.</w:t>
      </w:r>
      <w:r w:rsidRPr="00750617">
        <w:rPr>
          <w:spacing w:val="-1"/>
        </w:rPr>
        <w:t> </w:t>
      </w:r>
      <w:proofErr w:type="spellStart"/>
      <w:r w:rsidRPr="00750617">
        <w:rPr>
          <w:spacing w:val="-1"/>
        </w:rPr>
        <w:t>Okidi</w:t>
      </w:r>
      <w:proofErr w:type="spellEnd"/>
      <w:r w:rsidRPr="00750617">
        <w:rPr>
          <w:spacing w:val="-1"/>
        </w:rPr>
        <w:t xml:space="preserve"> (</w:t>
      </w:r>
      <w:proofErr w:type="spellStart"/>
      <w:r w:rsidRPr="00750617">
        <w:rPr>
          <w:spacing w:val="-1"/>
        </w:rPr>
        <w:t>dir</w:t>
      </w:r>
      <w:proofErr w:type="spellEnd"/>
      <w:r w:rsidRPr="00F22925">
        <w:rPr>
          <w:spacing w:val="-1"/>
        </w:rPr>
        <w:t>.</w:t>
      </w:r>
      <w:r w:rsidRPr="00750617">
        <w:rPr>
          <w:spacing w:val="-1"/>
        </w:rPr>
        <w:t> </w:t>
      </w:r>
      <w:proofErr w:type="spellStart"/>
      <w:r w:rsidRPr="00750617">
        <w:rPr>
          <w:spacing w:val="-1"/>
        </w:rPr>
        <w:t>publ</w:t>
      </w:r>
      <w:proofErr w:type="spellEnd"/>
      <w:r w:rsidRPr="00F22925">
        <w:rPr>
          <w:spacing w:val="-1"/>
        </w:rPr>
        <w:t>.</w:t>
      </w:r>
      <w:r w:rsidRPr="00750617">
        <w:rPr>
          <w:spacing w:val="-1"/>
        </w:rPr>
        <w:t xml:space="preserve">), </w:t>
      </w:r>
      <w:r w:rsidRPr="00750617">
        <w:rPr>
          <w:i/>
          <w:spacing w:val="-1"/>
        </w:rPr>
        <w:t xml:space="preserve">Compendium of </w:t>
      </w:r>
      <w:proofErr w:type="spellStart"/>
      <w:r w:rsidRPr="00750617">
        <w:rPr>
          <w:i/>
          <w:spacing w:val="-1"/>
        </w:rPr>
        <w:t>Judicial</w:t>
      </w:r>
      <w:proofErr w:type="spellEnd"/>
      <w:r w:rsidRPr="00750617">
        <w:rPr>
          <w:i/>
          <w:spacing w:val="-1"/>
        </w:rPr>
        <w:t xml:space="preserve"> </w:t>
      </w:r>
      <w:proofErr w:type="spellStart"/>
      <w:r w:rsidRPr="00750617">
        <w:rPr>
          <w:i/>
          <w:spacing w:val="-1"/>
        </w:rPr>
        <w:t>Decisions</w:t>
      </w:r>
      <w:proofErr w:type="spellEnd"/>
      <w:r w:rsidRPr="00750617">
        <w:rPr>
          <w:i/>
          <w:spacing w:val="-1"/>
        </w:rPr>
        <w:t xml:space="preserve"> in </w:t>
      </w:r>
      <w:proofErr w:type="spellStart"/>
      <w:r w:rsidRPr="00750617">
        <w:rPr>
          <w:i/>
          <w:spacing w:val="-1"/>
        </w:rPr>
        <w:t>Matters</w:t>
      </w:r>
      <w:proofErr w:type="spellEnd"/>
      <w:r w:rsidRPr="00750617">
        <w:rPr>
          <w:i/>
          <w:spacing w:val="-1"/>
        </w:rPr>
        <w:t xml:space="preserve"> </w:t>
      </w:r>
      <w:proofErr w:type="spellStart"/>
      <w:r w:rsidRPr="00750617">
        <w:rPr>
          <w:i/>
          <w:spacing w:val="-1"/>
        </w:rPr>
        <w:t>Related</w:t>
      </w:r>
      <w:proofErr w:type="spellEnd"/>
      <w:r w:rsidRPr="00750617">
        <w:rPr>
          <w:i/>
          <w:spacing w:val="-1"/>
        </w:rPr>
        <w:t xml:space="preserve"> to the </w:t>
      </w:r>
      <w:proofErr w:type="spellStart"/>
      <w:r w:rsidRPr="00750617">
        <w:rPr>
          <w:i/>
          <w:spacing w:val="-1"/>
        </w:rPr>
        <w:t>Environment</w:t>
      </w:r>
      <w:proofErr w:type="spellEnd"/>
      <w:r w:rsidRPr="00750617">
        <w:rPr>
          <w:i/>
          <w:spacing w:val="-1"/>
        </w:rPr>
        <w:t xml:space="preserve"> : National </w:t>
      </w:r>
      <w:proofErr w:type="spellStart"/>
      <w:r w:rsidRPr="00750617">
        <w:rPr>
          <w:i/>
          <w:spacing w:val="-1"/>
        </w:rPr>
        <w:t>Decisions</w:t>
      </w:r>
      <w:proofErr w:type="spellEnd"/>
      <w:r w:rsidRPr="00750617">
        <w:rPr>
          <w:spacing w:val="-1"/>
        </w:rPr>
        <w:t>, vol</w:t>
      </w:r>
      <w:r w:rsidRPr="00F22925">
        <w:rPr>
          <w:spacing w:val="-1"/>
        </w:rPr>
        <w:t>.</w:t>
      </w:r>
      <w:r w:rsidRPr="00750617">
        <w:rPr>
          <w:spacing w:val="-1"/>
        </w:rPr>
        <w:t> I (Nairobi, Programme des Nations Unies pour l’environnement/Programme des Nations Unies pour le développement, 1998), p</w:t>
      </w:r>
      <w:r w:rsidRPr="00F22925">
        <w:rPr>
          <w:spacing w:val="-1"/>
        </w:rPr>
        <w:t>.</w:t>
      </w:r>
      <w:r w:rsidRPr="00750617">
        <w:rPr>
          <w:spacing w:val="-1"/>
        </w:rPr>
        <w:t> 259</w:t>
      </w:r>
      <w:r w:rsidRPr="00F22925">
        <w:rPr>
          <w:spacing w:val="-1"/>
        </w:rPr>
        <w:t>.</w:t>
      </w:r>
      <w:r w:rsidRPr="00750617">
        <w:rPr>
          <w:spacing w:val="-1"/>
        </w:rPr>
        <w:t xml:space="preserve"> Voir J</w:t>
      </w:r>
      <w:r w:rsidRPr="00F22925">
        <w:rPr>
          <w:spacing w:val="-1"/>
        </w:rPr>
        <w:t>.</w:t>
      </w:r>
      <w:r w:rsidRPr="00750617">
        <w:rPr>
          <w:spacing w:val="-1"/>
        </w:rPr>
        <w:t> </w:t>
      </w:r>
      <w:proofErr w:type="spellStart"/>
      <w:r w:rsidRPr="00750617">
        <w:rPr>
          <w:spacing w:val="-1"/>
        </w:rPr>
        <w:t>Razzaque</w:t>
      </w:r>
      <w:proofErr w:type="spellEnd"/>
      <w:r w:rsidRPr="00750617">
        <w:rPr>
          <w:spacing w:val="-1"/>
        </w:rPr>
        <w:t xml:space="preserve">, « Application of public trust doctrine in </w:t>
      </w:r>
      <w:proofErr w:type="spellStart"/>
      <w:r w:rsidRPr="00750617">
        <w:rPr>
          <w:spacing w:val="-1"/>
        </w:rPr>
        <w:t>Indian</w:t>
      </w:r>
      <w:proofErr w:type="spellEnd"/>
      <w:r w:rsidRPr="00750617">
        <w:rPr>
          <w:spacing w:val="-1"/>
        </w:rPr>
        <w:t xml:space="preserve"> </w:t>
      </w:r>
      <w:proofErr w:type="spellStart"/>
      <w:r w:rsidRPr="00750617">
        <w:rPr>
          <w:spacing w:val="-1"/>
        </w:rPr>
        <w:t>environmental</w:t>
      </w:r>
      <w:proofErr w:type="spellEnd"/>
      <w:r w:rsidRPr="00750617">
        <w:rPr>
          <w:spacing w:val="-1"/>
        </w:rPr>
        <w:t xml:space="preserve"> cases », </w:t>
      </w:r>
      <w:r w:rsidRPr="00750617">
        <w:rPr>
          <w:i/>
          <w:spacing w:val="-1"/>
        </w:rPr>
        <w:t xml:space="preserve">Journal of </w:t>
      </w:r>
      <w:proofErr w:type="spellStart"/>
      <w:r w:rsidRPr="00750617">
        <w:rPr>
          <w:i/>
          <w:spacing w:val="-1"/>
        </w:rPr>
        <w:t>Environmental</w:t>
      </w:r>
      <w:proofErr w:type="spellEnd"/>
      <w:r w:rsidRPr="00750617">
        <w:rPr>
          <w:i/>
          <w:spacing w:val="-1"/>
        </w:rPr>
        <w:t xml:space="preserve"> Law</w:t>
      </w:r>
      <w:r w:rsidRPr="00750617">
        <w:rPr>
          <w:spacing w:val="-1"/>
        </w:rPr>
        <w:t>, vol</w:t>
      </w:r>
      <w:r w:rsidRPr="00F22925">
        <w:rPr>
          <w:spacing w:val="-1"/>
        </w:rPr>
        <w:t>.</w:t>
      </w:r>
      <w:r w:rsidRPr="00750617">
        <w:rPr>
          <w:spacing w:val="-1"/>
        </w:rPr>
        <w:t> 13 (2001), p</w:t>
      </w:r>
      <w:r w:rsidRPr="00F22925">
        <w:rPr>
          <w:spacing w:val="-1"/>
        </w:rPr>
        <w:t>.</w:t>
      </w:r>
      <w:r w:rsidRPr="00750617">
        <w:rPr>
          <w:spacing w:val="-1"/>
        </w:rPr>
        <w:t> 221 à 234</w:t>
      </w:r>
      <w:r w:rsidRPr="00F22925">
        <w:rPr>
          <w:spacing w:val="-1"/>
        </w:rPr>
        <w:t>.</w:t>
      </w:r>
    </w:p>
  </w:footnote>
  <w:footnote w:id="39">
    <w:p w14:paraId="6A756274"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iCs/>
        </w:rPr>
        <w:t>Annuaire … 2013</w:t>
      </w:r>
      <w:r w:rsidRPr="00750617">
        <w:t>, vol</w:t>
      </w:r>
      <w:r w:rsidRPr="00F22925">
        <w:t>.</w:t>
      </w:r>
      <w:r w:rsidRPr="00750617">
        <w:t xml:space="preserve"> II (2</w:t>
      </w:r>
      <w:r w:rsidRPr="00750617">
        <w:rPr>
          <w:vertAlign w:val="superscript"/>
        </w:rPr>
        <w:t>e</w:t>
      </w:r>
      <w:r w:rsidRPr="00750617">
        <w:t xml:space="preserve"> partie), par</w:t>
      </w:r>
      <w:r w:rsidRPr="00F22925">
        <w:t>.</w:t>
      </w:r>
      <w:r w:rsidRPr="00750617">
        <w:t xml:space="preserve"> 168</w:t>
      </w:r>
      <w:r w:rsidRPr="00F22925">
        <w:t>.</w:t>
      </w:r>
    </w:p>
  </w:footnote>
  <w:footnote w:id="40">
    <w:p w14:paraId="344EF17B" w14:textId="77777777" w:rsidR="00D01ECD" w:rsidRPr="00750617" w:rsidRDefault="00D01ECD" w:rsidP="00D01ECD">
      <w:pPr>
        <w:pStyle w:val="FootnoteText"/>
      </w:pPr>
      <w:r w:rsidRPr="00750617">
        <w:rPr>
          <w:spacing w:val="-1"/>
        </w:rPr>
        <w:tab/>
      </w:r>
      <w:r w:rsidRPr="00750617">
        <w:rPr>
          <w:rStyle w:val="FootnoteReference"/>
        </w:rPr>
        <w:footnoteRef/>
      </w:r>
      <w:r w:rsidRPr="00750617">
        <w:rPr>
          <w:spacing w:val="-1"/>
        </w:rPr>
        <w:tab/>
        <w:t>Cinquième rapport d’évaluation, Groupe de travail III, annexe I</w:t>
      </w:r>
      <w:r w:rsidRPr="00F22925">
        <w:rPr>
          <w:spacing w:val="-1"/>
        </w:rPr>
        <w:t>.</w:t>
      </w:r>
      <w:r w:rsidRPr="00750617">
        <w:rPr>
          <w:spacing w:val="-1"/>
        </w:rPr>
        <w:t xml:space="preserve"> GIEC</w:t>
      </w:r>
      <w:r w:rsidRPr="00750617">
        <w:t xml:space="preserve">, </w:t>
      </w:r>
      <w:proofErr w:type="spellStart"/>
      <w:r w:rsidRPr="00750617">
        <w:rPr>
          <w:i/>
          <w:iCs/>
        </w:rPr>
        <w:t>Climate</w:t>
      </w:r>
      <w:proofErr w:type="spellEnd"/>
      <w:r w:rsidRPr="00750617">
        <w:rPr>
          <w:i/>
          <w:iCs/>
        </w:rPr>
        <w:t xml:space="preserve"> Change 2014 :</w:t>
      </w:r>
      <w:r w:rsidRPr="00750617">
        <w:rPr>
          <w:i/>
        </w:rPr>
        <w:t xml:space="preserve"> Mitigation of </w:t>
      </w:r>
      <w:proofErr w:type="spellStart"/>
      <w:r w:rsidRPr="00750617">
        <w:rPr>
          <w:i/>
        </w:rPr>
        <w:t>Climate</w:t>
      </w:r>
      <w:proofErr w:type="spellEnd"/>
      <w:r w:rsidRPr="00750617">
        <w:rPr>
          <w:i/>
        </w:rPr>
        <w:t xml:space="preserve"> Change</w:t>
      </w:r>
      <w:r w:rsidRPr="00750617">
        <w:rPr>
          <w:iCs/>
        </w:rPr>
        <w:t>, O</w:t>
      </w:r>
      <w:r w:rsidRPr="00F22925">
        <w:rPr>
          <w:iCs/>
        </w:rPr>
        <w:t>.</w:t>
      </w:r>
      <w:r w:rsidRPr="00750617">
        <w:rPr>
          <w:iCs/>
        </w:rPr>
        <w:t> </w:t>
      </w:r>
      <w:proofErr w:type="spellStart"/>
      <w:r w:rsidRPr="00750617">
        <w:rPr>
          <w:iCs/>
        </w:rPr>
        <w:t>Edenhofer</w:t>
      </w:r>
      <w:proofErr w:type="spellEnd"/>
      <w:r w:rsidRPr="00750617">
        <w:rPr>
          <w:iCs/>
        </w:rPr>
        <w:t xml:space="preserve"> </w:t>
      </w:r>
      <w:r w:rsidRPr="00750617">
        <w:rPr>
          <w:i/>
          <w:iCs/>
        </w:rPr>
        <w:t>et al</w:t>
      </w:r>
      <w:r w:rsidRPr="00F22925">
        <w:rPr>
          <w:i/>
          <w:iCs/>
        </w:rPr>
        <w:t>.</w:t>
      </w:r>
      <w:r w:rsidRPr="00750617">
        <w:rPr>
          <w:iCs/>
        </w:rPr>
        <w:t xml:space="preserve"> (</w:t>
      </w:r>
      <w:proofErr w:type="spellStart"/>
      <w:proofErr w:type="gramStart"/>
      <w:r w:rsidRPr="00750617">
        <w:rPr>
          <w:iCs/>
        </w:rPr>
        <w:t>dir</w:t>
      </w:r>
      <w:proofErr w:type="spellEnd"/>
      <w:r w:rsidRPr="00F22925">
        <w:rPr>
          <w:iCs/>
        </w:rPr>
        <w:t>.</w:t>
      </w:r>
      <w:proofErr w:type="gramEnd"/>
      <w:r w:rsidRPr="00750617">
        <w:rPr>
          <w:iCs/>
        </w:rPr>
        <w:t xml:space="preserve"> </w:t>
      </w:r>
      <w:proofErr w:type="spellStart"/>
      <w:r w:rsidRPr="00750617">
        <w:rPr>
          <w:iCs/>
        </w:rPr>
        <w:t>publ</w:t>
      </w:r>
      <w:proofErr w:type="spellEnd"/>
      <w:r w:rsidRPr="00F22925">
        <w:rPr>
          <w:iCs/>
        </w:rPr>
        <w:t>.</w:t>
      </w:r>
      <w:r w:rsidRPr="00750617">
        <w:rPr>
          <w:iCs/>
        </w:rPr>
        <w:t xml:space="preserve">) (Cambridge, Cambridge </w:t>
      </w:r>
      <w:proofErr w:type="spellStart"/>
      <w:r w:rsidRPr="00750617">
        <w:rPr>
          <w:iCs/>
        </w:rPr>
        <w:t>University</w:t>
      </w:r>
      <w:proofErr w:type="spellEnd"/>
      <w:r w:rsidRPr="00750617">
        <w:rPr>
          <w:iCs/>
        </w:rPr>
        <w:t xml:space="preserve"> </w:t>
      </w:r>
      <w:proofErr w:type="spellStart"/>
      <w:r w:rsidRPr="00750617">
        <w:rPr>
          <w:iCs/>
        </w:rPr>
        <w:t>Press</w:t>
      </w:r>
      <w:proofErr w:type="spellEnd"/>
      <w:r w:rsidRPr="00750617">
        <w:rPr>
          <w:iCs/>
        </w:rPr>
        <w:t>, 2014), p</w:t>
      </w:r>
      <w:r w:rsidRPr="00F22925">
        <w:rPr>
          <w:iCs/>
        </w:rPr>
        <w:t>.</w:t>
      </w:r>
      <w:r w:rsidRPr="00750617">
        <w:rPr>
          <w:iCs/>
        </w:rPr>
        <w:t> 1252</w:t>
      </w:r>
      <w:r w:rsidRPr="00750617">
        <w:t xml:space="preserve">, disponible à l’adresse suivante : </w:t>
      </w:r>
      <w:hyperlink r:id="rId21" w:history="1">
        <w:r w:rsidRPr="00750617">
          <w:rPr>
            <w:rStyle w:val="Hyperlink"/>
          </w:rPr>
          <w:t>http://www</w:t>
        </w:r>
        <w:r w:rsidRPr="00F22925">
          <w:rPr>
            <w:rStyle w:val="Hyperlink"/>
          </w:rPr>
          <w:t>.</w:t>
        </w:r>
        <w:r w:rsidRPr="00750617">
          <w:rPr>
            <w:rStyle w:val="Hyperlink"/>
          </w:rPr>
          <w:t>ipcc</w:t>
        </w:r>
        <w:r w:rsidRPr="00F22925">
          <w:rPr>
            <w:rStyle w:val="Hyperlink"/>
          </w:rPr>
          <w:t>.</w:t>
        </w:r>
        <w:r w:rsidRPr="00750617">
          <w:rPr>
            <w:rStyle w:val="Hyperlink"/>
          </w:rPr>
          <w:t>ch/report/ar5/wg3</w:t>
        </w:r>
      </w:hyperlink>
      <w:r w:rsidRPr="00F22925">
        <w:t>.</w:t>
      </w:r>
    </w:p>
  </w:footnote>
  <w:footnote w:id="41">
    <w:p w14:paraId="5392C064" w14:textId="77777777" w:rsidR="00D01ECD" w:rsidRPr="00750617" w:rsidRDefault="00D01ECD" w:rsidP="00D01ECD">
      <w:pPr>
        <w:pStyle w:val="FootnoteText"/>
      </w:pPr>
      <w:r w:rsidRPr="00750617">
        <w:tab/>
      </w:r>
      <w:r w:rsidRPr="00750617">
        <w:rPr>
          <w:rStyle w:val="FootnoteReference"/>
        </w:rPr>
        <w:footnoteRef/>
      </w:r>
      <w:r w:rsidRPr="00750617">
        <w:tab/>
        <w:t xml:space="preserve">Selon la définition de la Société météorologique américaine (American </w:t>
      </w:r>
      <w:proofErr w:type="spellStart"/>
      <w:r w:rsidRPr="00750617">
        <w:t>Meteorology</w:t>
      </w:r>
      <w:proofErr w:type="spellEnd"/>
      <w:r w:rsidRPr="00750617">
        <w:t xml:space="preserve"> Society), les </w:t>
      </w:r>
      <w:proofErr w:type="gramStart"/>
      <w:r w:rsidRPr="00750617">
        <w:t>termes«</w:t>
      </w:r>
      <w:proofErr w:type="gramEnd"/>
      <w:r w:rsidRPr="00750617">
        <w:t> </w:t>
      </w:r>
      <w:proofErr w:type="spellStart"/>
      <w:r w:rsidRPr="00750617">
        <w:t>atmospheric</w:t>
      </w:r>
      <w:proofErr w:type="spellEnd"/>
      <w:r w:rsidRPr="00750617">
        <w:t xml:space="preserve"> </w:t>
      </w:r>
      <w:proofErr w:type="spellStart"/>
      <w:r w:rsidRPr="00750617">
        <w:t>shell</w:t>
      </w:r>
      <w:proofErr w:type="spellEnd"/>
      <w:r w:rsidRPr="00750617">
        <w:t> » (ou « </w:t>
      </w:r>
      <w:proofErr w:type="spellStart"/>
      <w:r w:rsidRPr="00750617">
        <w:t>atmospheric</w:t>
      </w:r>
      <w:proofErr w:type="spellEnd"/>
      <w:r w:rsidRPr="00750617">
        <w:t xml:space="preserve"> layer », ou « </w:t>
      </w:r>
      <w:proofErr w:type="spellStart"/>
      <w:r w:rsidRPr="00750617">
        <w:t>atmospheric</w:t>
      </w:r>
      <w:proofErr w:type="spellEnd"/>
      <w:r w:rsidRPr="00750617">
        <w:t xml:space="preserve"> </w:t>
      </w:r>
      <w:proofErr w:type="spellStart"/>
      <w:r w:rsidRPr="00750617">
        <w:t>region</w:t>
      </w:r>
      <w:proofErr w:type="spellEnd"/>
      <w:r w:rsidRPr="00750617">
        <w:t xml:space="preserve"> ») désignent une des couches ou strates de l’atmosphère terrestre (disponible à l’adresse suivante : </w:t>
      </w:r>
      <w:hyperlink r:id="rId22" w:history="1">
        <w:r w:rsidRPr="00750617">
          <w:rPr>
            <w:rStyle w:val="Hyperlink"/>
          </w:rPr>
          <w:t>http://glossary</w:t>
        </w:r>
        <w:r w:rsidRPr="00F22925">
          <w:rPr>
            <w:rStyle w:val="Hyperlink"/>
          </w:rPr>
          <w:t>.</w:t>
        </w:r>
        <w:r w:rsidRPr="00750617">
          <w:rPr>
            <w:rStyle w:val="Hyperlink"/>
          </w:rPr>
          <w:t xml:space="preserve"> ametsoc</w:t>
        </w:r>
        <w:r w:rsidRPr="00F22925">
          <w:rPr>
            <w:rStyle w:val="Hyperlink"/>
          </w:rPr>
          <w:t>.</w:t>
        </w:r>
        <w:r w:rsidRPr="00750617">
          <w:rPr>
            <w:rStyle w:val="Hyperlink"/>
          </w:rPr>
          <w:t>org/wiki/</w:t>
        </w:r>
        <w:proofErr w:type="spellStart"/>
        <w:r w:rsidRPr="00750617">
          <w:rPr>
            <w:rStyle w:val="Hyperlink"/>
          </w:rPr>
          <w:t>Atmospheric_shell</w:t>
        </w:r>
        <w:proofErr w:type="spellEnd"/>
      </w:hyperlink>
      <w:r w:rsidRPr="00750617">
        <w:t>)</w:t>
      </w:r>
      <w:r w:rsidRPr="00F22925">
        <w:t>.</w:t>
      </w:r>
    </w:p>
  </w:footnote>
  <w:footnote w:id="42">
    <w:p w14:paraId="3FEBABD2" w14:textId="77777777" w:rsidR="00D01ECD" w:rsidRPr="000D3559" w:rsidRDefault="00D01ECD" w:rsidP="00D01ECD">
      <w:pPr>
        <w:pStyle w:val="FootnoteText"/>
        <w:rPr>
          <w:lang w:val="en-US"/>
        </w:rPr>
      </w:pPr>
      <w:r w:rsidRPr="00750617">
        <w:tab/>
      </w:r>
      <w:r w:rsidRPr="00750617">
        <w:rPr>
          <w:rStyle w:val="FootnoteReference"/>
        </w:rPr>
        <w:footnoteRef/>
      </w:r>
      <w:r w:rsidRPr="00750617">
        <w:tab/>
        <w:t>La vapeur d’eau, qui représente environ 0,25 % de la masse de l’atmosphère, est présente dans l’air à des concentrations extrêmement variables</w:t>
      </w:r>
      <w:r w:rsidRPr="00F22925">
        <w:t>.</w:t>
      </w:r>
      <w:r w:rsidRPr="00750617">
        <w:t xml:space="preserve"> Dans les sciences atmosphériques, en raison de ce caractère très variable de la concentration de vapeur d’eau dans l’air, il est de coutume d’énumérer les pourcentages des différents composants par rapport à l’air sec</w:t>
      </w:r>
      <w:r w:rsidRPr="00F22925">
        <w:t>.</w:t>
      </w:r>
      <w:r w:rsidRPr="00750617">
        <w:t xml:space="preserve"> La concentration d’ozone est, elle aussi, extrêmement variable</w:t>
      </w:r>
      <w:r w:rsidRPr="00F22925">
        <w:t>.</w:t>
      </w:r>
      <w:r w:rsidRPr="00750617">
        <w:t xml:space="preserve"> On considère qu’une concentration supérieure à 0,1 ppm (partie par million) est dangereuse pour l’homme</w:t>
      </w:r>
      <w:r w:rsidRPr="00F22925">
        <w:t>.</w:t>
      </w:r>
      <w:r w:rsidRPr="00750617">
        <w:t xml:space="preserve"> </w:t>
      </w:r>
      <w:proofErr w:type="spellStart"/>
      <w:r w:rsidRPr="000D3559">
        <w:rPr>
          <w:lang w:val="en-US"/>
        </w:rPr>
        <w:t>Voir</w:t>
      </w:r>
      <w:proofErr w:type="spellEnd"/>
      <w:r w:rsidRPr="000D3559">
        <w:rPr>
          <w:lang w:val="en-US"/>
        </w:rPr>
        <w:t xml:space="preserve"> J. M. Wallace et P. V. Hobbs, </w:t>
      </w:r>
      <w:r w:rsidRPr="000D3559">
        <w:rPr>
          <w:i/>
          <w:lang w:val="en-US"/>
        </w:rPr>
        <w:t xml:space="preserve">Atmospheric </w:t>
      </w:r>
      <w:proofErr w:type="gramStart"/>
      <w:r w:rsidRPr="000D3559">
        <w:rPr>
          <w:i/>
          <w:lang w:val="en-US"/>
        </w:rPr>
        <w:t>Science :</w:t>
      </w:r>
      <w:proofErr w:type="gramEnd"/>
      <w:r w:rsidRPr="000D3559">
        <w:rPr>
          <w:i/>
          <w:lang w:val="en-US"/>
        </w:rPr>
        <w:t xml:space="preserve"> An Introductory Survey</w:t>
      </w:r>
      <w:r w:rsidRPr="000D3559">
        <w:rPr>
          <w:lang w:val="en-US"/>
        </w:rPr>
        <w:t>, 2</w:t>
      </w:r>
      <w:r w:rsidRPr="000D3559">
        <w:rPr>
          <w:vertAlign w:val="superscript"/>
          <w:lang w:val="en-US"/>
        </w:rPr>
        <w:t>e</w:t>
      </w:r>
      <w:r w:rsidRPr="000D3559">
        <w:rPr>
          <w:lang w:val="en-US"/>
        </w:rPr>
        <w:t> </w:t>
      </w:r>
      <w:proofErr w:type="spellStart"/>
      <w:r w:rsidRPr="000D3559">
        <w:rPr>
          <w:lang w:val="en-US"/>
        </w:rPr>
        <w:t>éd</w:t>
      </w:r>
      <w:proofErr w:type="spellEnd"/>
      <w:r w:rsidRPr="000D3559">
        <w:rPr>
          <w:lang w:val="en-US"/>
        </w:rPr>
        <w:t>. (Boston, Elsevier Academic Press, 2006), p. 8.</w:t>
      </w:r>
    </w:p>
  </w:footnote>
  <w:footnote w:id="43">
    <w:p w14:paraId="4F2B7BEB" w14:textId="77777777" w:rsidR="00D01ECD" w:rsidRPr="00750617" w:rsidRDefault="00D01ECD" w:rsidP="00D01ECD">
      <w:pPr>
        <w:pStyle w:val="FootnoteText"/>
      </w:pPr>
      <w:r w:rsidRPr="000D3559">
        <w:rPr>
          <w:lang w:val="en-US"/>
        </w:rPr>
        <w:tab/>
      </w:r>
      <w:r w:rsidRPr="00750617">
        <w:rPr>
          <w:rStyle w:val="FootnoteReference"/>
        </w:rPr>
        <w:footnoteRef/>
      </w:r>
      <w:r w:rsidRPr="00750617">
        <w:tab/>
        <w:t>Ibid</w:t>
      </w:r>
      <w:r w:rsidRPr="00F22925">
        <w:rPr>
          <w:i/>
          <w:iCs/>
        </w:rPr>
        <w:t>.</w:t>
      </w:r>
    </w:p>
  </w:footnote>
  <w:footnote w:id="44">
    <w:p w14:paraId="523DBE09" w14:textId="77777777" w:rsidR="00D01ECD" w:rsidRPr="00750617" w:rsidRDefault="00D01ECD" w:rsidP="00D01ECD">
      <w:pPr>
        <w:pStyle w:val="FootnoteText"/>
      </w:pPr>
      <w:r w:rsidRPr="00750617">
        <w:tab/>
      </w:r>
      <w:r w:rsidRPr="00750617">
        <w:rPr>
          <w:rStyle w:val="FootnoteReference"/>
        </w:rPr>
        <w:footnoteRef/>
      </w:r>
      <w:r w:rsidRPr="00750617">
        <w:tab/>
        <w:t>La Société météorologique américaine définit l’atmosphère inférieure comme étant, de manière très vague, la partie de l’atmosphère où la plupart des phénomènes météorologiques se produisent (c’est</w:t>
      </w:r>
      <w:r w:rsidRPr="00750617">
        <w:noBreakHyphen/>
        <w:t>à</w:t>
      </w:r>
      <w:r w:rsidRPr="00750617">
        <w:noBreakHyphen/>
        <w:t>dire la troposphère et la stratosphère inférieure) ; on l’oppose à l’atmosphère supérieure (voir </w:t>
      </w:r>
      <w:hyperlink r:id="rId23" w:history="1">
        <w:r w:rsidRPr="00750617">
          <w:rPr>
            <w:rStyle w:val="Hyperlink"/>
          </w:rPr>
          <w:t>http://glossary</w:t>
        </w:r>
        <w:r w:rsidRPr="00F22925">
          <w:rPr>
            <w:rStyle w:val="Hyperlink"/>
          </w:rPr>
          <w:t>.</w:t>
        </w:r>
        <w:r w:rsidRPr="00750617">
          <w:rPr>
            <w:rStyle w:val="Hyperlink"/>
          </w:rPr>
          <w:t>ametsoc</w:t>
        </w:r>
        <w:r w:rsidRPr="00F22925">
          <w:rPr>
            <w:rStyle w:val="Hyperlink"/>
          </w:rPr>
          <w:t>.</w:t>
        </w:r>
        <w:r w:rsidRPr="00750617">
          <w:rPr>
            <w:rStyle w:val="Hyperlink"/>
          </w:rPr>
          <w:t>org/wiki/Lower_atmosphere</w:t>
        </w:r>
      </w:hyperlink>
      <w:r w:rsidRPr="00750617">
        <w:t>)</w:t>
      </w:r>
      <w:r w:rsidRPr="00F22925">
        <w:t>.</w:t>
      </w:r>
      <w:r w:rsidRPr="00750617">
        <w:t xml:space="preserve"> L’atmosphère supérieure est définie comme une catégorie résiduelle, à savoir la partie de l’atmosphère qui se trouve au-dessus de la troposphère (voir </w:t>
      </w:r>
      <w:hyperlink r:id="rId24" w:history="1">
        <w:r w:rsidRPr="00750617">
          <w:rPr>
            <w:rStyle w:val="Hyperlink"/>
          </w:rPr>
          <w:t>http://glossary</w:t>
        </w:r>
        <w:r w:rsidRPr="00F22925">
          <w:rPr>
            <w:rStyle w:val="Hyperlink"/>
          </w:rPr>
          <w:t>.</w:t>
        </w:r>
        <w:r w:rsidRPr="00750617">
          <w:rPr>
            <w:rStyle w:val="Hyperlink"/>
          </w:rPr>
          <w:t>ametsoc</w:t>
        </w:r>
        <w:r w:rsidRPr="00F22925">
          <w:rPr>
            <w:rStyle w:val="Hyperlink"/>
          </w:rPr>
          <w:t>.</w:t>
        </w:r>
        <w:r w:rsidRPr="00750617">
          <w:rPr>
            <w:rStyle w:val="Hyperlink"/>
          </w:rPr>
          <w:t>org/wiki/Upper_atmosphere</w:t>
        </w:r>
      </w:hyperlink>
      <w:r w:rsidRPr="00750617">
        <w:t>)</w:t>
      </w:r>
      <w:r w:rsidRPr="00F22925">
        <w:t>.</w:t>
      </w:r>
    </w:p>
  </w:footnote>
  <w:footnote w:id="45">
    <w:p w14:paraId="25B04D0B" w14:textId="77777777" w:rsidR="00D01ECD" w:rsidRPr="00750617" w:rsidRDefault="00D01ECD" w:rsidP="00D01ECD">
      <w:pPr>
        <w:pStyle w:val="FootnoteText"/>
        <w:rPr>
          <w:spacing w:val="-2"/>
        </w:rPr>
      </w:pPr>
      <w:r w:rsidRPr="00750617">
        <w:rPr>
          <w:spacing w:val="-2"/>
        </w:rPr>
        <w:tab/>
      </w:r>
      <w:r w:rsidRPr="00750617">
        <w:rPr>
          <w:rStyle w:val="FootnoteReference"/>
        </w:rPr>
        <w:footnoteRef/>
      </w:r>
      <w:r w:rsidRPr="00750617">
        <w:rPr>
          <w:spacing w:val="-2"/>
        </w:rPr>
        <w:tab/>
        <w:t>La troposphère est d’épaisseur variable en fonction de la latitude et des saisons</w:t>
      </w:r>
      <w:r w:rsidRPr="00F22925">
        <w:rPr>
          <w:spacing w:val="-2"/>
        </w:rPr>
        <w:t>.</w:t>
      </w:r>
      <w:r w:rsidRPr="00750617">
        <w:rPr>
          <w:spacing w:val="-2"/>
        </w:rPr>
        <w:t xml:space="preserve"> Sa limite supérieure est à environ 17 km à l’équateur et plus basse aux pôles, pour une épaisseur moyenne d’environ 12 km</w:t>
      </w:r>
      <w:r w:rsidRPr="00F22925">
        <w:rPr>
          <w:spacing w:val="-2"/>
        </w:rPr>
        <w:t>.</w:t>
      </w:r>
      <w:r w:rsidRPr="00750617">
        <w:rPr>
          <w:spacing w:val="-2"/>
        </w:rPr>
        <w:t xml:space="preserve"> Voir E</w:t>
      </w:r>
      <w:r w:rsidRPr="00F22925">
        <w:rPr>
          <w:spacing w:val="-2"/>
        </w:rPr>
        <w:t>.</w:t>
      </w:r>
      <w:r w:rsidRPr="00750617">
        <w:rPr>
          <w:spacing w:val="-2"/>
        </w:rPr>
        <w:t> J</w:t>
      </w:r>
      <w:r w:rsidRPr="00F22925">
        <w:rPr>
          <w:spacing w:val="-2"/>
        </w:rPr>
        <w:t>.</w:t>
      </w:r>
      <w:r w:rsidRPr="00750617">
        <w:rPr>
          <w:spacing w:val="-2"/>
        </w:rPr>
        <w:t> </w:t>
      </w:r>
      <w:proofErr w:type="spellStart"/>
      <w:r w:rsidRPr="00750617">
        <w:rPr>
          <w:spacing w:val="-2"/>
        </w:rPr>
        <w:t>Tarbuck</w:t>
      </w:r>
      <w:proofErr w:type="spellEnd"/>
      <w:r w:rsidRPr="00750617">
        <w:rPr>
          <w:spacing w:val="-2"/>
        </w:rPr>
        <w:t>, F</w:t>
      </w:r>
      <w:r w:rsidRPr="00F22925">
        <w:rPr>
          <w:spacing w:val="-2"/>
        </w:rPr>
        <w:t>.</w:t>
      </w:r>
      <w:r w:rsidRPr="00750617">
        <w:rPr>
          <w:spacing w:val="-2"/>
        </w:rPr>
        <w:t> K</w:t>
      </w:r>
      <w:r w:rsidRPr="00F22925">
        <w:rPr>
          <w:spacing w:val="-2"/>
        </w:rPr>
        <w:t>.</w:t>
      </w:r>
      <w:r w:rsidRPr="00750617">
        <w:rPr>
          <w:spacing w:val="-2"/>
        </w:rPr>
        <w:t> </w:t>
      </w:r>
      <w:proofErr w:type="spellStart"/>
      <w:r w:rsidRPr="00750617">
        <w:rPr>
          <w:spacing w:val="-2"/>
        </w:rPr>
        <w:t>Lutgens</w:t>
      </w:r>
      <w:proofErr w:type="spellEnd"/>
      <w:r w:rsidRPr="00750617">
        <w:rPr>
          <w:spacing w:val="-2"/>
        </w:rPr>
        <w:t xml:space="preserve"> et D</w:t>
      </w:r>
      <w:r w:rsidRPr="00F22925">
        <w:rPr>
          <w:spacing w:val="-2"/>
        </w:rPr>
        <w:t>.</w:t>
      </w:r>
      <w:r w:rsidRPr="00750617">
        <w:rPr>
          <w:spacing w:val="-2"/>
        </w:rPr>
        <w:t> </w:t>
      </w:r>
      <w:proofErr w:type="spellStart"/>
      <w:r w:rsidRPr="00750617">
        <w:rPr>
          <w:spacing w:val="-2"/>
        </w:rPr>
        <w:t>Tasa</w:t>
      </w:r>
      <w:proofErr w:type="spellEnd"/>
      <w:r w:rsidRPr="00750617">
        <w:rPr>
          <w:spacing w:val="-2"/>
        </w:rPr>
        <w:t xml:space="preserve">, </w:t>
      </w:r>
      <w:proofErr w:type="spellStart"/>
      <w:r w:rsidRPr="00750617">
        <w:rPr>
          <w:i/>
          <w:spacing w:val="-2"/>
        </w:rPr>
        <w:t>Earth</w:t>
      </w:r>
      <w:proofErr w:type="spellEnd"/>
      <w:r w:rsidRPr="00750617">
        <w:rPr>
          <w:i/>
          <w:spacing w:val="-2"/>
        </w:rPr>
        <w:t xml:space="preserve"> Science</w:t>
      </w:r>
      <w:r w:rsidRPr="00750617">
        <w:rPr>
          <w:spacing w:val="-2"/>
        </w:rPr>
        <w:t>, 13</w:t>
      </w:r>
      <w:r w:rsidRPr="00750617">
        <w:rPr>
          <w:spacing w:val="-2"/>
          <w:vertAlign w:val="superscript"/>
        </w:rPr>
        <w:t>e</w:t>
      </w:r>
      <w:r w:rsidRPr="00750617">
        <w:rPr>
          <w:spacing w:val="-2"/>
        </w:rPr>
        <w:t> éd</w:t>
      </w:r>
      <w:r w:rsidRPr="00F22925">
        <w:rPr>
          <w:spacing w:val="-2"/>
        </w:rPr>
        <w:t>.</w:t>
      </w:r>
      <w:r w:rsidRPr="00750617">
        <w:rPr>
          <w:spacing w:val="-2"/>
        </w:rPr>
        <w:t xml:space="preserve"> (New Jersey, Pearson, 2011), p</w:t>
      </w:r>
      <w:r w:rsidRPr="00F22925">
        <w:rPr>
          <w:spacing w:val="-2"/>
        </w:rPr>
        <w:t>.</w:t>
      </w:r>
      <w:r w:rsidRPr="00750617">
        <w:rPr>
          <w:spacing w:val="-2"/>
        </w:rPr>
        <w:t> 466</w:t>
      </w:r>
      <w:r w:rsidRPr="00F22925">
        <w:rPr>
          <w:spacing w:val="-2"/>
        </w:rPr>
        <w:t>.</w:t>
      </w:r>
    </w:p>
  </w:footnote>
  <w:footnote w:id="46">
    <w:p w14:paraId="77885671" w14:textId="77777777" w:rsidR="00D01ECD" w:rsidRPr="00750617" w:rsidRDefault="00D01ECD" w:rsidP="00D01ECD">
      <w:pPr>
        <w:pStyle w:val="FootnoteText"/>
      </w:pPr>
      <w:r w:rsidRPr="00750617">
        <w:tab/>
      </w:r>
      <w:r w:rsidRPr="00750617">
        <w:rPr>
          <w:rStyle w:val="FootnoteReference"/>
        </w:rPr>
        <w:footnoteRef/>
      </w:r>
      <w:r w:rsidRPr="00750617">
        <w:tab/>
        <w:t>Plus précisément, la température dans la stratosphère reste constante jusqu’à une altitude d’environ 20 à 35 km avant de baisser graduellement</w:t>
      </w:r>
      <w:r w:rsidRPr="00F22925">
        <w:t>.</w:t>
      </w:r>
    </w:p>
  </w:footnote>
  <w:footnote w:id="47">
    <w:p w14:paraId="446916C6" w14:textId="77777777" w:rsidR="00D01ECD" w:rsidRPr="00750617" w:rsidRDefault="00D01ECD" w:rsidP="00D01ECD">
      <w:pPr>
        <w:pStyle w:val="FootnoteText"/>
      </w:pPr>
      <w:r w:rsidRPr="00750617">
        <w:tab/>
      </w:r>
      <w:r w:rsidRPr="00750617">
        <w:rPr>
          <w:rStyle w:val="FootnoteReference"/>
        </w:rPr>
        <w:footnoteRef/>
      </w:r>
      <w:r w:rsidRPr="00750617">
        <w:tab/>
        <w:t xml:space="preserve">Voir </w:t>
      </w:r>
      <w:proofErr w:type="spellStart"/>
      <w:r w:rsidRPr="00750617">
        <w:t>Tarbuck</w:t>
      </w:r>
      <w:proofErr w:type="spellEnd"/>
      <w:r w:rsidRPr="00750617">
        <w:t xml:space="preserve">, </w:t>
      </w:r>
      <w:proofErr w:type="spellStart"/>
      <w:r w:rsidRPr="00750617">
        <w:t>Lutgens</w:t>
      </w:r>
      <w:proofErr w:type="spellEnd"/>
      <w:r w:rsidRPr="00750617">
        <w:t xml:space="preserve"> et </w:t>
      </w:r>
      <w:proofErr w:type="spellStart"/>
      <w:r w:rsidRPr="00750617">
        <w:t>Tasa</w:t>
      </w:r>
      <w:proofErr w:type="spellEnd"/>
      <w:r w:rsidRPr="00750617">
        <w:t xml:space="preserve">, </w:t>
      </w:r>
      <w:proofErr w:type="spellStart"/>
      <w:r w:rsidRPr="00750617">
        <w:rPr>
          <w:i/>
        </w:rPr>
        <w:t>Earth</w:t>
      </w:r>
      <w:proofErr w:type="spellEnd"/>
      <w:r w:rsidRPr="00750617">
        <w:rPr>
          <w:i/>
        </w:rPr>
        <w:t xml:space="preserve"> Science</w:t>
      </w:r>
      <w:r w:rsidRPr="00750617">
        <w:t xml:space="preserve"> (note </w:t>
      </w:r>
      <w:r w:rsidRPr="00750617">
        <w:fldChar w:fldCharType="begin"/>
      </w:r>
      <w:r w:rsidRPr="00750617">
        <w:instrText xml:space="preserve"> NOTEREF _Ref520278734 \h </w:instrText>
      </w:r>
      <w:r>
        <w:instrText xml:space="preserve"> \* MERGEFORMAT </w:instrText>
      </w:r>
      <w:r w:rsidRPr="00750617">
        <w:fldChar w:fldCharType="separate"/>
      </w:r>
      <w:r>
        <w:t>53</w:t>
      </w:r>
      <w:r w:rsidRPr="00750617">
        <w:fldChar w:fldCharType="end"/>
      </w:r>
      <w:r w:rsidRPr="00750617">
        <w:t xml:space="preserve"> </w:t>
      </w:r>
      <w:r w:rsidRPr="00750617">
        <w:rPr>
          <w:i/>
          <w:iCs/>
        </w:rPr>
        <w:t>supra</w:t>
      </w:r>
      <w:r w:rsidRPr="00750617">
        <w:t>), p</w:t>
      </w:r>
      <w:r w:rsidRPr="00F22925">
        <w:t>.</w:t>
      </w:r>
      <w:r w:rsidRPr="00750617">
        <w:t> 467</w:t>
      </w:r>
      <w:r w:rsidRPr="00F22925">
        <w:t>.</w:t>
      </w:r>
    </w:p>
  </w:footnote>
  <w:footnote w:id="48">
    <w:p w14:paraId="0E9B8F29" w14:textId="77777777" w:rsidR="00D01ECD" w:rsidRPr="00750617" w:rsidRDefault="00D01ECD" w:rsidP="00D01ECD">
      <w:pPr>
        <w:pStyle w:val="FootnoteText"/>
      </w:pPr>
      <w:r w:rsidRPr="00750617">
        <w:tab/>
      </w:r>
      <w:r w:rsidRPr="00750617">
        <w:rPr>
          <w:rStyle w:val="FootnoteReference"/>
        </w:rPr>
        <w:footnoteRef/>
      </w:r>
      <w:r w:rsidRPr="00750617">
        <w:tab/>
        <w:t xml:space="preserve">Par exemple, aux termes du paragraphe 1 de l’article premier de la résolution du Caire de 1987 de l’Institut de Droit international sur la pollution transfrontière de l’air : « Aux fins de la présente résolution, on entend par “pollution transfrontière de l’air” toute </w:t>
      </w:r>
      <w:r w:rsidRPr="00750617">
        <w:rPr>
          <w:i/>
        </w:rPr>
        <w:t>altération</w:t>
      </w:r>
      <w:r w:rsidRPr="00750617">
        <w:t xml:space="preserve"> physique, chimique ou biologique </w:t>
      </w:r>
      <w:r w:rsidRPr="00750617">
        <w:rPr>
          <w:i/>
        </w:rPr>
        <w:t>de la composition</w:t>
      </w:r>
      <w:r w:rsidRPr="00750617">
        <w:t xml:space="preserve"> ou de la qualité de l’atmosphère résultant directement ou indirectement d’un acte ou d’une omission de l’homme et produisant des effets dommageables ou nocifs dans l’environnement d’autres États ou de zones situées au-delà des limites de la juridiction nationale</w:t>
      </w:r>
      <w:r w:rsidRPr="00F22925">
        <w:t>.</w:t>
      </w:r>
      <w:r w:rsidRPr="00750617">
        <w:t> » (</w:t>
      </w:r>
      <w:proofErr w:type="gramStart"/>
      <w:r w:rsidRPr="00750617">
        <w:t>non</w:t>
      </w:r>
      <w:proofErr w:type="gramEnd"/>
      <w:r w:rsidRPr="00750617">
        <w:t xml:space="preserve"> souligné dans l’original)</w:t>
      </w:r>
      <w:r w:rsidRPr="00F22925">
        <w:t>.</w:t>
      </w:r>
      <w:r w:rsidRPr="00750617">
        <w:t xml:space="preserve"> Disponible à l’adresse suivante : </w:t>
      </w:r>
      <w:hyperlink r:id="rId25" w:history="1">
        <w:r w:rsidRPr="00750617">
          <w:rPr>
            <w:rStyle w:val="Hyperlink"/>
          </w:rPr>
          <w:t>http://www</w:t>
        </w:r>
        <w:r w:rsidRPr="00F22925">
          <w:rPr>
            <w:rStyle w:val="Hyperlink"/>
          </w:rPr>
          <w:t>.</w:t>
        </w:r>
        <w:r w:rsidRPr="00750617">
          <w:rPr>
            <w:rStyle w:val="Hyperlink"/>
          </w:rPr>
          <w:t>idi-iil</w:t>
        </w:r>
        <w:r w:rsidRPr="00F22925">
          <w:rPr>
            <w:rStyle w:val="Hyperlink"/>
          </w:rPr>
          <w:t>.</w:t>
        </w:r>
        <w:r w:rsidRPr="00750617">
          <w:rPr>
            <w:rStyle w:val="Hyperlink"/>
          </w:rPr>
          <w:t>org</w:t>
        </w:r>
      </w:hyperlink>
      <w:r w:rsidRPr="00750617">
        <w:t xml:space="preserve">, </w:t>
      </w:r>
      <w:proofErr w:type="spellStart"/>
      <w:r w:rsidRPr="00750617">
        <w:rPr>
          <w:i/>
          <w:iCs/>
        </w:rPr>
        <w:t>Resolutions</w:t>
      </w:r>
      <w:proofErr w:type="spellEnd"/>
      <w:r w:rsidRPr="00F22925">
        <w:rPr>
          <w:rFonts w:eastAsia="Times New Roman"/>
          <w:lang w:eastAsia="fr-FR"/>
        </w:rPr>
        <w:t>.</w:t>
      </w:r>
    </w:p>
  </w:footnote>
  <w:footnote w:id="49">
    <w:p w14:paraId="00CFDA96" w14:textId="77777777" w:rsidR="00D01ECD" w:rsidRPr="00750617" w:rsidRDefault="00D01ECD" w:rsidP="00D01ECD">
      <w:pPr>
        <w:pStyle w:val="FootnoteText"/>
      </w:pPr>
      <w:r w:rsidRPr="00750617">
        <w:tab/>
      </w:r>
      <w:r w:rsidRPr="00750617">
        <w:rPr>
          <w:rStyle w:val="FootnoteReference"/>
        </w:rPr>
        <w:footnoteRef/>
      </w:r>
      <w:r w:rsidRPr="00750617">
        <w:tab/>
        <w:t xml:space="preserve">Convention sur la pollution atmosphérique transfrontière à longue distance (Genève, 13 novembre 1979), Nations Unies, </w:t>
      </w:r>
      <w:r w:rsidRPr="00750617">
        <w:rPr>
          <w:i/>
        </w:rPr>
        <w:t>Recueil des Traités</w:t>
      </w:r>
      <w:r w:rsidRPr="00750617">
        <w:t>, vol</w:t>
      </w:r>
      <w:r w:rsidRPr="00F22925">
        <w:t>.</w:t>
      </w:r>
      <w:r w:rsidRPr="00750617">
        <w:t> 1302, n</w:t>
      </w:r>
      <w:r w:rsidRPr="00750617">
        <w:rPr>
          <w:vertAlign w:val="superscript"/>
        </w:rPr>
        <w:t>o</w:t>
      </w:r>
      <w:r w:rsidRPr="00750617">
        <w:t> 21623, p</w:t>
      </w:r>
      <w:r w:rsidRPr="00F22925">
        <w:t>.</w:t>
      </w:r>
      <w:r w:rsidRPr="00750617">
        <w:t> 217</w:t>
      </w:r>
      <w:r w:rsidRPr="00F22925">
        <w:t>.</w:t>
      </w:r>
      <w:r w:rsidRPr="00750617">
        <w:t xml:space="preserve"> La formulation de l’article 1 a) de la Convention sur la pollution atmosphérique transfrontière à longue distance s’inspire de la définition de la pollution donnée par le Conseil de l’Organisation de coopération et de développement économiques (OCDE) dans sa recommandation C(74)224 du 14 novembre 1974 (</w:t>
      </w:r>
      <w:r w:rsidRPr="00750617">
        <w:rPr>
          <w:i/>
        </w:rPr>
        <w:t xml:space="preserve">International </w:t>
      </w:r>
      <w:proofErr w:type="spellStart"/>
      <w:r w:rsidRPr="00750617">
        <w:rPr>
          <w:i/>
        </w:rPr>
        <w:t>Legal</w:t>
      </w:r>
      <w:proofErr w:type="spellEnd"/>
      <w:r w:rsidRPr="00750617">
        <w:rPr>
          <w:i/>
        </w:rPr>
        <w:t xml:space="preserve"> </w:t>
      </w:r>
      <w:proofErr w:type="spellStart"/>
      <w:r w:rsidRPr="00750617">
        <w:rPr>
          <w:i/>
        </w:rPr>
        <w:t>Materials</w:t>
      </w:r>
      <w:proofErr w:type="spellEnd"/>
      <w:r w:rsidRPr="00750617">
        <w:rPr>
          <w:iCs/>
        </w:rPr>
        <w:t>, vol</w:t>
      </w:r>
      <w:r w:rsidRPr="00F22925">
        <w:rPr>
          <w:iCs/>
        </w:rPr>
        <w:t>.</w:t>
      </w:r>
      <w:r w:rsidRPr="00750617">
        <w:rPr>
          <w:iCs/>
        </w:rPr>
        <w:t> 14 (1975), p</w:t>
      </w:r>
      <w:r w:rsidRPr="00F22925">
        <w:rPr>
          <w:iCs/>
        </w:rPr>
        <w:t>.</w:t>
      </w:r>
      <w:r w:rsidRPr="00750617">
        <w:rPr>
          <w:iCs/>
        </w:rPr>
        <w:t xml:space="preserve"> 243) </w:t>
      </w:r>
      <w:r w:rsidRPr="00750617">
        <w:t>intitulée « Principes relatifs à la pollution transfrontière », qui se lit ainsi : « Aux fins de ces principes, on entend, par pollution, l’introduction par l’homme, directement ou indirectement, de substances ou d’énergie dans l’environnement, qui entraîne des conséquences préjudiciables de nature à mettre en danger la santé humaine, à nuire aux ressources biologiques et aux systèmes écologiques, à porter atteinte aux agréments ou à gêner les autres utilisations légitimes de l’environnement</w:t>
      </w:r>
      <w:r w:rsidRPr="00F22925">
        <w:t>.</w:t>
      </w:r>
      <w:r w:rsidRPr="00750617">
        <w:t> »</w:t>
      </w:r>
      <w:r w:rsidRPr="00F22925">
        <w:t>.</w:t>
      </w:r>
      <w:r w:rsidRPr="00750617">
        <w:t xml:space="preserve"> Voir H</w:t>
      </w:r>
      <w:r w:rsidRPr="00F22925">
        <w:t>.</w:t>
      </w:r>
      <w:r w:rsidRPr="00750617">
        <w:t> van </w:t>
      </w:r>
      <w:proofErr w:type="spellStart"/>
      <w:r w:rsidRPr="00750617">
        <w:t>Edig</w:t>
      </w:r>
      <w:proofErr w:type="spellEnd"/>
      <w:r w:rsidRPr="00750617">
        <w:t xml:space="preserve"> (</w:t>
      </w:r>
      <w:proofErr w:type="spellStart"/>
      <w:r w:rsidRPr="00750617">
        <w:t>dir</w:t>
      </w:r>
      <w:proofErr w:type="spellEnd"/>
      <w:r w:rsidRPr="00F22925">
        <w:t>.</w:t>
      </w:r>
      <w:r w:rsidRPr="00750617">
        <w:t> </w:t>
      </w:r>
      <w:proofErr w:type="spellStart"/>
      <w:r w:rsidRPr="00750617">
        <w:t>publ</w:t>
      </w:r>
      <w:proofErr w:type="spellEnd"/>
      <w:r w:rsidRPr="00F22925">
        <w:t>.</w:t>
      </w:r>
      <w:r w:rsidRPr="00750617">
        <w:t xml:space="preserve">), </w:t>
      </w:r>
      <w:r w:rsidRPr="00750617">
        <w:rPr>
          <w:i/>
          <w:iCs/>
        </w:rPr>
        <w:t>Aspects juridiques de la pollution transfrontière</w:t>
      </w:r>
      <w:r w:rsidRPr="00750617">
        <w:t xml:space="preserve"> (Paris : OCDE, 1977), p</w:t>
      </w:r>
      <w:r w:rsidRPr="00F22925">
        <w:t>.</w:t>
      </w:r>
      <w:r w:rsidRPr="00750617">
        <w:t xml:space="preserve"> 13 ; voir aussi Boyle et </w:t>
      </w:r>
      <w:proofErr w:type="spellStart"/>
      <w:r w:rsidRPr="00750617">
        <w:t>Redgwell</w:t>
      </w:r>
      <w:proofErr w:type="spellEnd"/>
      <w:r w:rsidRPr="00750617">
        <w:t xml:space="preserve">, </w:t>
      </w:r>
      <w:r w:rsidRPr="00750617">
        <w:rPr>
          <w:i/>
        </w:rPr>
        <w:t xml:space="preserve">International Law and the </w:t>
      </w:r>
      <w:proofErr w:type="spellStart"/>
      <w:r w:rsidRPr="00750617">
        <w:rPr>
          <w:i/>
        </w:rPr>
        <w:t>Environment</w:t>
      </w:r>
      <w:proofErr w:type="spellEnd"/>
      <w:r w:rsidRPr="00750617">
        <w:t xml:space="preserve"> (note </w:t>
      </w:r>
      <w:r w:rsidRPr="00750617">
        <w:fldChar w:fldCharType="begin"/>
      </w:r>
      <w:r w:rsidRPr="00750617">
        <w:instrText xml:space="preserve"> NOTEREF _Ref81559757 \h </w:instrText>
      </w:r>
      <w:r>
        <w:instrText xml:space="preserve"> \* MERGEFORMAT </w:instrText>
      </w:r>
      <w:r w:rsidRPr="00750617">
        <w:fldChar w:fldCharType="separate"/>
      </w:r>
      <w:r>
        <w:t>21</w:t>
      </w:r>
      <w:r w:rsidRPr="00750617">
        <w:fldChar w:fldCharType="end"/>
      </w:r>
      <w:r w:rsidRPr="00750617">
        <w:t xml:space="preserve"> </w:t>
      </w:r>
      <w:r w:rsidRPr="00750617">
        <w:rPr>
          <w:i/>
          <w:iCs/>
        </w:rPr>
        <w:t>supra</w:t>
      </w:r>
      <w:r w:rsidRPr="00750617">
        <w:t>), p</w:t>
      </w:r>
      <w:r w:rsidRPr="00F22925">
        <w:t>.</w:t>
      </w:r>
      <w:r w:rsidRPr="00750617">
        <w:t> 364 à 371 ; A</w:t>
      </w:r>
      <w:r w:rsidRPr="00F22925">
        <w:t>.</w:t>
      </w:r>
      <w:r w:rsidRPr="00750617">
        <w:t> </w:t>
      </w:r>
      <w:proofErr w:type="spellStart"/>
      <w:r w:rsidRPr="00750617">
        <w:t>Kiss</w:t>
      </w:r>
      <w:proofErr w:type="spellEnd"/>
      <w:r w:rsidRPr="00750617">
        <w:t xml:space="preserve"> et D</w:t>
      </w:r>
      <w:r w:rsidRPr="00F22925">
        <w:t>.</w:t>
      </w:r>
      <w:r w:rsidRPr="00750617">
        <w:t xml:space="preserve"> Shelton, </w:t>
      </w:r>
      <w:r w:rsidRPr="00750617">
        <w:rPr>
          <w:i/>
        </w:rPr>
        <w:t xml:space="preserve">International </w:t>
      </w:r>
      <w:proofErr w:type="spellStart"/>
      <w:r w:rsidRPr="00750617">
        <w:rPr>
          <w:i/>
        </w:rPr>
        <w:t>Environmental</w:t>
      </w:r>
      <w:proofErr w:type="spellEnd"/>
      <w:r w:rsidRPr="00750617">
        <w:rPr>
          <w:i/>
        </w:rPr>
        <w:t xml:space="preserve"> Law</w:t>
      </w:r>
      <w:r>
        <w:t>,</w:t>
      </w:r>
      <w:r w:rsidRPr="00750617">
        <w:t xml:space="preserve"> 3</w:t>
      </w:r>
      <w:r w:rsidRPr="00750617">
        <w:rPr>
          <w:vertAlign w:val="superscript"/>
        </w:rPr>
        <w:t>e</w:t>
      </w:r>
      <w:r w:rsidRPr="00750617">
        <w:t> éd</w:t>
      </w:r>
      <w:r w:rsidRPr="00F22925">
        <w:t>.</w:t>
      </w:r>
      <w:r w:rsidRPr="00750617">
        <w:t xml:space="preserve"> (New York, Transnational </w:t>
      </w:r>
      <w:proofErr w:type="spellStart"/>
      <w:r w:rsidRPr="00750617">
        <w:t>Publishers</w:t>
      </w:r>
      <w:proofErr w:type="spellEnd"/>
      <w:r w:rsidRPr="00750617">
        <w:t>, 2004), p</w:t>
      </w:r>
      <w:r w:rsidRPr="00F22925">
        <w:t>.</w:t>
      </w:r>
      <w:r w:rsidRPr="00750617">
        <w:t> 99 (où sont inclues dans la définition de la pollution des formes d’énergie comme le bruit, les vibrations, la chaleur et les radiations)</w:t>
      </w:r>
      <w:r w:rsidRPr="00F22925">
        <w:t>.</w:t>
      </w:r>
    </w:p>
  </w:footnote>
  <w:footnote w:id="50">
    <w:p w14:paraId="410152EE" w14:textId="77777777" w:rsidR="00D01ECD" w:rsidRPr="00750617" w:rsidRDefault="00D01ECD" w:rsidP="00D01ECD">
      <w:pPr>
        <w:pStyle w:val="FootnoteText"/>
      </w:pPr>
      <w:r w:rsidRPr="00750617">
        <w:tab/>
      </w:r>
      <w:r w:rsidRPr="00750617">
        <w:rPr>
          <w:rStyle w:val="FootnoteReference"/>
        </w:rPr>
        <w:footnoteRef/>
      </w:r>
      <w:r w:rsidRPr="00750617">
        <w:tab/>
        <w:t xml:space="preserve">Voir, par exemple, l’article 7 de la Convention sur le droit relatif aux utilisations des cours d’eau internationaux à des fins autres que la navigation (1997) (résolution </w:t>
      </w:r>
      <w:hyperlink r:id="rId26" w:history="1">
        <w:r w:rsidRPr="00750617">
          <w:t>51/229</w:t>
        </w:r>
      </w:hyperlink>
      <w:r w:rsidRPr="00750617">
        <w:t xml:space="preserve"> de l’Assemblée générale, en date du 21 mai 1997, annexe), l’article premier des articles sur la prévention des dommages transfrontières résultant d’activités dangereuses (2001) (résolution </w:t>
      </w:r>
      <w:hyperlink r:id="rId27" w:history="1">
        <w:r w:rsidRPr="00750617">
          <w:t>62/68</w:t>
        </w:r>
      </w:hyperlink>
      <w:r w:rsidRPr="00750617">
        <w:t xml:space="preserve"> de l’Assemblée générale, en date du 6 décembre 2007, annexe), le principe 2 du Projet de principes sur la répartition des pertes en cas de dommage transfrontière découlant d’activités dangereuses (2006) (résolution </w:t>
      </w:r>
      <w:hyperlink r:id="rId28" w:history="1">
        <w:r w:rsidRPr="00750617">
          <w:t>61/36</w:t>
        </w:r>
      </w:hyperlink>
      <w:r w:rsidRPr="00750617">
        <w:t xml:space="preserve"> de l’Assemblée générale, en date du 4 décembre 2006, annexe), et l’article 6 des articles sur le droit des aquifères transfrontières (2008) (résolution </w:t>
      </w:r>
      <w:hyperlink r:id="rId29" w:history="1">
        <w:r w:rsidRPr="00750617">
          <w:t>63/124</w:t>
        </w:r>
      </w:hyperlink>
      <w:r w:rsidRPr="00750617">
        <w:t xml:space="preserve"> de l’Assemblée générale, en date du 11 décembre 2008, annexe)</w:t>
      </w:r>
      <w:r w:rsidRPr="00F22925">
        <w:t>.</w:t>
      </w:r>
      <w:r w:rsidRPr="00750617">
        <w:t xml:space="preserve"> De surcroît, il a été souligné que le mot « </w:t>
      </w:r>
      <w:proofErr w:type="spellStart"/>
      <w:r w:rsidRPr="00750617">
        <w:rPr>
          <w:i/>
          <w:iCs/>
        </w:rPr>
        <w:t>significant</w:t>
      </w:r>
      <w:proofErr w:type="spellEnd"/>
      <w:r w:rsidRPr="00750617">
        <w:t xml:space="preserve"> » est employé dans des décisions de la Cour internationale de Justice, notamment dans l’arrêt rendu en 2015 dans les affaires relatives à </w:t>
      </w:r>
      <w:r w:rsidRPr="00750617">
        <w:rPr>
          <w:i/>
          <w:iCs/>
        </w:rPr>
        <w:t>Certaines activités menées par le Nicaragua dans la région frontalière (Costa Rica c</w:t>
      </w:r>
      <w:r w:rsidRPr="00F22925">
        <w:rPr>
          <w:i/>
          <w:iCs/>
        </w:rPr>
        <w:t>.</w:t>
      </w:r>
      <w:r w:rsidRPr="00750617">
        <w:rPr>
          <w:i/>
          <w:iCs/>
        </w:rPr>
        <w:t xml:space="preserve"> Nicaragua) </w:t>
      </w:r>
      <w:r w:rsidRPr="00750617">
        <w:t xml:space="preserve">et à la </w:t>
      </w:r>
      <w:r w:rsidRPr="00750617">
        <w:rPr>
          <w:i/>
          <w:iCs/>
        </w:rPr>
        <w:t>Construction d’une route au Costa Rica le long du fleuve San Juan (Nicaragua c</w:t>
      </w:r>
      <w:r w:rsidRPr="00F22925">
        <w:rPr>
          <w:i/>
          <w:iCs/>
        </w:rPr>
        <w:t>.</w:t>
      </w:r>
      <w:r w:rsidRPr="00750617">
        <w:rPr>
          <w:i/>
          <w:iCs/>
        </w:rPr>
        <w:t xml:space="preserve"> Costa Rica) (arrêt</w:t>
      </w:r>
      <w:r w:rsidRPr="00750617">
        <w:t xml:space="preserve">, </w:t>
      </w:r>
      <w:r w:rsidRPr="00750617">
        <w:rPr>
          <w:i/>
          <w:iCs/>
        </w:rPr>
        <w:t>C</w:t>
      </w:r>
      <w:r w:rsidRPr="00F22925">
        <w:rPr>
          <w:i/>
          <w:iCs/>
        </w:rPr>
        <w:t>.</w:t>
      </w:r>
      <w:r w:rsidRPr="00750617">
        <w:rPr>
          <w:i/>
          <w:iCs/>
        </w:rPr>
        <w:t>I</w:t>
      </w:r>
      <w:r w:rsidRPr="00F22925">
        <w:rPr>
          <w:i/>
          <w:iCs/>
        </w:rPr>
        <w:t>.</w:t>
      </w:r>
      <w:r w:rsidRPr="00750617">
        <w:rPr>
          <w:i/>
          <w:iCs/>
        </w:rPr>
        <w:t>J</w:t>
      </w:r>
      <w:r w:rsidRPr="00F22925">
        <w:rPr>
          <w:i/>
          <w:iCs/>
        </w:rPr>
        <w:t>.</w:t>
      </w:r>
      <w:r w:rsidRPr="00750617">
        <w:rPr>
          <w:i/>
          <w:iCs/>
        </w:rPr>
        <w:t xml:space="preserve"> Recueil 2015</w:t>
      </w:r>
      <w:r w:rsidRPr="00750617">
        <w:t>, p</w:t>
      </w:r>
      <w:r w:rsidRPr="00F22925">
        <w:t>.</w:t>
      </w:r>
      <w:r w:rsidRPr="00750617">
        <w:t xml:space="preserve"> 665, aux paragraphes 104, 105 et 108 ; voir aussi les paragraphes 153, 155, 156, 159, 161, 168, 173, 196 et 217)</w:t>
      </w:r>
      <w:r w:rsidRPr="00F22925">
        <w:t>.</w:t>
      </w:r>
    </w:p>
  </w:footnote>
  <w:footnote w:id="51">
    <w:p w14:paraId="6AD75544" w14:textId="77777777" w:rsidR="00D01ECD" w:rsidRPr="00750617" w:rsidRDefault="00D01ECD" w:rsidP="00D01ECD">
      <w:pPr>
        <w:pStyle w:val="FootnoteText"/>
      </w:pPr>
      <w:r w:rsidRPr="00750617">
        <w:tab/>
      </w:r>
      <w:r w:rsidRPr="00750617">
        <w:rPr>
          <w:rStyle w:val="FootnoteReference"/>
        </w:rPr>
        <w:footnoteRef/>
      </w:r>
      <w:r w:rsidRPr="00750617">
        <w:tab/>
        <w:t>Par</w:t>
      </w:r>
      <w:r w:rsidRPr="00F22925">
        <w:t>.</w:t>
      </w:r>
      <w:r w:rsidRPr="00750617">
        <w:t xml:space="preserve"> 4 du commentaire de l’article 2 des articles sur la prévention des dommages transfrontières résultant d’activités dangereuses, 2001, </w:t>
      </w:r>
      <w:r w:rsidRPr="00750617">
        <w:rPr>
          <w:i/>
        </w:rPr>
        <w:t>Annuaire … 2001</w:t>
      </w:r>
      <w:r w:rsidRPr="00750617">
        <w:t>, vol</w:t>
      </w:r>
      <w:r w:rsidRPr="00F22925">
        <w:t>.</w:t>
      </w:r>
      <w:r w:rsidRPr="00750617">
        <w:t> II (2</w:t>
      </w:r>
      <w:r w:rsidRPr="00750617">
        <w:rPr>
          <w:vertAlign w:val="superscript"/>
        </w:rPr>
        <w:t>e</w:t>
      </w:r>
      <w:r w:rsidRPr="00750617">
        <w:t> partie) et rectificatif, p</w:t>
      </w:r>
      <w:r w:rsidRPr="00F22925">
        <w:t>.</w:t>
      </w:r>
      <w:r w:rsidRPr="00750617">
        <w:t> 152, par</w:t>
      </w:r>
      <w:r w:rsidRPr="00F22925">
        <w:t>.</w:t>
      </w:r>
      <w:r w:rsidRPr="00750617">
        <w:t> 98</w:t>
      </w:r>
      <w:r w:rsidRPr="00F22925">
        <w:t>.</w:t>
      </w:r>
    </w:p>
  </w:footnote>
  <w:footnote w:id="52">
    <w:p w14:paraId="61EF1114" w14:textId="77777777" w:rsidR="00D01ECD" w:rsidRPr="00750617" w:rsidRDefault="00D01ECD" w:rsidP="00D01ECD">
      <w:pPr>
        <w:pStyle w:val="FootnoteText"/>
      </w:pPr>
      <w:r w:rsidRPr="00750617">
        <w:tab/>
      </w:r>
      <w:r w:rsidRPr="00750617">
        <w:rPr>
          <w:rStyle w:val="FootnoteReference"/>
        </w:rPr>
        <w:footnoteRef/>
      </w:r>
      <w:r w:rsidRPr="00750617">
        <w:tab/>
        <w:t>Voir, par exemple, les commentaires des articles sur la prévention des dommages transfrontières résultant d’activités dangereuses (par</w:t>
      </w:r>
      <w:r w:rsidRPr="00F22925">
        <w:t>.</w:t>
      </w:r>
      <w:r w:rsidRPr="00750617">
        <w:t> 4 et 7 du commentaire de l’article 2), ibid</w:t>
      </w:r>
      <w:r w:rsidRPr="00F22925">
        <w:t>.</w:t>
      </w:r>
      <w:r w:rsidRPr="00750617">
        <w:t xml:space="preserve"> </w:t>
      </w:r>
      <w:proofErr w:type="gramStart"/>
      <w:r w:rsidRPr="00750617">
        <w:t>Voir</w:t>
      </w:r>
      <w:proofErr w:type="gramEnd"/>
      <w:r w:rsidRPr="00750617">
        <w:t xml:space="preserve"> aussi les commentaires des principes sur la répartition des pertes en cas de dommage transfrontière découlant d’activités dangereuses (par</w:t>
      </w:r>
      <w:r w:rsidRPr="00F22925">
        <w:t>.</w:t>
      </w:r>
      <w:r w:rsidRPr="00750617">
        <w:t xml:space="preserve"> 1 à 3 du commentaire du principe 2), </w:t>
      </w:r>
      <w:r w:rsidRPr="00750617">
        <w:rPr>
          <w:i/>
        </w:rPr>
        <w:t>Annuaire … 2006</w:t>
      </w:r>
      <w:r w:rsidRPr="00750617">
        <w:t>, vol</w:t>
      </w:r>
      <w:r w:rsidRPr="00F22925">
        <w:t>.</w:t>
      </w:r>
      <w:r w:rsidRPr="00750617">
        <w:t> II (2</w:t>
      </w:r>
      <w:r w:rsidRPr="00750617">
        <w:rPr>
          <w:vertAlign w:val="superscript"/>
        </w:rPr>
        <w:t>e</w:t>
      </w:r>
      <w:r w:rsidRPr="00750617">
        <w:t> partie), par</w:t>
      </w:r>
      <w:r w:rsidRPr="00F22925">
        <w:t>.</w:t>
      </w:r>
      <w:r w:rsidRPr="00750617">
        <w:t> 67</w:t>
      </w:r>
      <w:r w:rsidRPr="00F22925">
        <w:t>.</w:t>
      </w:r>
    </w:p>
  </w:footnote>
  <w:footnote w:id="53">
    <w:p w14:paraId="2B6F2461" w14:textId="77777777" w:rsidR="00D01ECD" w:rsidRPr="00750617" w:rsidRDefault="00D01ECD" w:rsidP="00D01ECD">
      <w:pPr>
        <w:pStyle w:val="FootnoteText"/>
        <w:rPr>
          <w:szCs w:val="18"/>
        </w:rPr>
      </w:pPr>
      <w:r w:rsidRPr="00750617">
        <w:tab/>
      </w:r>
      <w:r w:rsidRPr="00750617">
        <w:rPr>
          <w:rStyle w:val="FootnoteReference"/>
        </w:rPr>
        <w:footnoteRef/>
      </w:r>
      <w:r w:rsidRPr="00750617">
        <w:tab/>
      </w:r>
      <w:r w:rsidRPr="00750617">
        <w:rPr>
          <w:szCs w:val="18"/>
        </w:rPr>
        <w:t>Voir aussi le Protocole relatif à la pollution due à des sources et activités terrestres à la Convention pour la protection et la mise en valeur du milieu marin dans la région des caraïbes</w:t>
      </w:r>
      <w:r w:rsidRPr="00750617" w:rsidDel="00F017FE">
        <w:rPr>
          <w:szCs w:val="18"/>
        </w:rPr>
        <w:t xml:space="preserve"> </w:t>
      </w:r>
      <w:r w:rsidRPr="00750617">
        <w:rPr>
          <w:szCs w:val="18"/>
        </w:rPr>
        <w:t xml:space="preserve">(Oranjestad, 6 octobre 1999), </w:t>
      </w:r>
      <w:proofErr w:type="spellStart"/>
      <w:r w:rsidRPr="00750617">
        <w:rPr>
          <w:i/>
          <w:iCs/>
          <w:szCs w:val="18"/>
        </w:rPr>
        <w:t>Treaties</w:t>
      </w:r>
      <w:proofErr w:type="spellEnd"/>
      <w:r w:rsidRPr="00750617">
        <w:rPr>
          <w:i/>
          <w:iCs/>
          <w:szCs w:val="18"/>
        </w:rPr>
        <w:t xml:space="preserve"> and </w:t>
      </w:r>
      <w:proofErr w:type="spellStart"/>
      <w:r w:rsidRPr="00750617">
        <w:rPr>
          <w:i/>
          <w:iCs/>
          <w:szCs w:val="18"/>
        </w:rPr>
        <w:t>Other</w:t>
      </w:r>
      <w:proofErr w:type="spellEnd"/>
      <w:r w:rsidRPr="00750617">
        <w:rPr>
          <w:i/>
          <w:iCs/>
          <w:szCs w:val="18"/>
        </w:rPr>
        <w:t xml:space="preserve"> International </w:t>
      </w:r>
      <w:proofErr w:type="spellStart"/>
      <w:r w:rsidRPr="00750617">
        <w:rPr>
          <w:i/>
          <w:iCs/>
          <w:szCs w:val="18"/>
        </w:rPr>
        <w:t>Acts</w:t>
      </w:r>
      <w:proofErr w:type="spellEnd"/>
      <w:r w:rsidRPr="00750617">
        <w:rPr>
          <w:i/>
          <w:iCs/>
          <w:szCs w:val="18"/>
        </w:rPr>
        <w:t xml:space="preserve"> </w:t>
      </w:r>
      <w:proofErr w:type="spellStart"/>
      <w:r w:rsidRPr="00750617">
        <w:rPr>
          <w:i/>
          <w:iCs/>
          <w:szCs w:val="18"/>
        </w:rPr>
        <w:t>Series</w:t>
      </w:r>
      <w:proofErr w:type="spellEnd"/>
      <w:r w:rsidRPr="00750617">
        <w:rPr>
          <w:szCs w:val="18"/>
        </w:rPr>
        <w:t>,</w:t>
      </w:r>
      <w:r w:rsidRPr="00750617">
        <w:rPr>
          <w:sz w:val="22"/>
          <w:szCs w:val="22"/>
        </w:rPr>
        <w:t xml:space="preserve"> </w:t>
      </w:r>
      <w:r w:rsidRPr="00750617">
        <w:rPr>
          <w:szCs w:val="18"/>
        </w:rPr>
        <w:t>10-813, art</w:t>
      </w:r>
      <w:r w:rsidRPr="00F22925">
        <w:rPr>
          <w:szCs w:val="18"/>
        </w:rPr>
        <w:t>.</w:t>
      </w:r>
      <w:r w:rsidRPr="00750617">
        <w:rPr>
          <w:szCs w:val="18"/>
        </w:rPr>
        <w:t xml:space="preserve"> 1</w:t>
      </w:r>
      <w:r w:rsidRPr="00750617">
        <w:rPr>
          <w:szCs w:val="18"/>
          <w:vertAlign w:val="superscript"/>
        </w:rPr>
        <w:t>er</w:t>
      </w:r>
      <w:r w:rsidRPr="00750617">
        <w:rPr>
          <w:szCs w:val="18"/>
        </w:rPr>
        <w:t> c)</w:t>
      </w:r>
      <w:r w:rsidRPr="00F22925">
        <w:rPr>
          <w:szCs w:val="18"/>
        </w:rPr>
        <w:t>.</w:t>
      </w:r>
    </w:p>
  </w:footnote>
  <w:footnote w:id="54">
    <w:p w14:paraId="61D3573B" w14:textId="77777777" w:rsidR="00D01ECD" w:rsidRPr="000D3559" w:rsidRDefault="00D01ECD" w:rsidP="00D01ECD">
      <w:pPr>
        <w:pStyle w:val="FootnoteText"/>
        <w:rPr>
          <w:i/>
          <w:lang w:val="en-US"/>
        </w:rPr>
      </w:pPr>
      <w:r w:rsidRPr="00750617">
        <w:tab/>
      </w:r>
      <w:r w:rsidRPr="00750617">
        <w:rPr>
          <w:rStyle w:val="FootnoteReference"/>
        </w:rPr>
        <w:footnoteRef/>
      </w:r>
      <w:r w:rsidRPr="00750617">
        <w:tab/>
        <w:t xml:space="preserve">S’agissant de la chaleur, voir le rapport de l’Organisation météorologique mondiale et du Projet international d’étude de la chimie de l’atmosphère du Globe, « Impact of </w:t>
      </w:r>
      <w:proofErr w:type="spellStart"/>
      <w:r w:rsidRPr="00750617">
        <w:t>Megacities</w:t>
      </w:r>
      <w:proofErr w:type="spellEnd"/>
      <w:r w:rsidRPr="00750617">
        <w:t xml:space="preserve"> on Air Pollution and </w:t>
      </w:r>
      <w:proofErr w:type="spellStart"/>
      <w:r w:rsidRPr="00750617">
        <w:t>Climate</w:t>
      </w:r>
      <w:proofErr w:type="spellEnd"/>
      <w:r w:rsidRPr="00750617">
        <w:t> », Veille de l’atmosphère globale, rapport n</w:t>
      </w:r>
      <w:r w:rsidRPr="00750617">
        <w:rPr>
          <w:vertAlign w:val="superscript"/>
        </w:rPr>
        <w:t>o</w:t>
      </w:r>
      <w:r w:rsidRPr="00750617">
        <w:t> 205 (Genève, Organisation météorologique mondiale, 2012) ; D</w:t>
      </w:r>
      <w:r w:rsidRPr="00F22925">
        <w:t>.</w:t>
      </w:r>
      <w:r w:rsidRPr="00750617">
        <w:t> Simon et H</w:t>
      </w:r>
      <w:r w:rsidRPr="00F22925">
        <w:t>.</w:t>
      </w:r>
      <w:r w:rsidRPr="00750617">
        <w:t> </w:t>
      </w:r>
      <w:proofErr w:type="spellStart"/>
      <w:r w:rsidRPr="00750617">
        <w:t>Leck</w:t>
      </w:r>
      <w:proofErr w:type="spellEnd"/>
      <w:r w:rsidRPr="00750617">
        <w:t>, « </w:t>
      </w:r>
      <w:proofErr w:type="spellStart"/>
      <w:r w:rsidRPr="00750617">
        <w:t>Urban</w:t>
      </w:r>
      <w:proofErr w:type="spellEnd"/>
      <w:r w:rsidRPr="00750617">
        <w:t xml:space="preserve"> Adaptation to </w:t>
      </w:r>
      <w:proofErr w:type="spellStart"/>
      <w:r w:rsidRPr="00750617">
        <w:t>Climate</w:t>
      </w:r>
      <w:proofErr w:type="spellEnd"/>
      <w:r w:rsidRPr="00750617">
        <w:t>/</w:t>
      </w:r>
      <w:proofErr w:type="spellStart"/>
      <w:r w:rsidRPr="00750617">
        <w:t>Environmental</w:t>
      </w:r>
      <w:proofErr w:type="spellEnd"/>
      <w:r w:rsidRPr="00750617">
        <w:t xml:space="preserve"> Change : </w:t>
      </w:r>
      <w:proofErr w:type="spellStart"/>
      <w:r w:rsidRPr="00750617">
        <w:t>Governance</w:t>
      </w:r>
      <w:proofErr w:type="spellEnd"/>
      <w:r w:rsidRPr="00750617">
        <w:t xml:space="preserve">, Policy and Planning », numéro spécial, </w:t>
      </w:r>
      <w:proofErr w:type="spellStart"/>
      <w:r w:rsidRPr="00750617">
        <w:rPr>
          <w:i/>
        </w:rPr>
        <w:t>Urban</w:t>
      </w:r>
      <w:proofErr w:type="spellEnd"/>
      <w:r w:rsidRPr="00750617">
        <w:rPr>
          <w:i/>
        </w:rPr>
        <w:t xml:space="preserve"> </w:t>
      </w:r>
      <w:proofErr w:type="spellStart"/>
      <w:r w:rsidRPr="00750617">
        <w:rPr>
          <w:i/>
        </w:rPr>
        <w:t>Climate</w:t>
      </w:r>
      <w:proofErr w:type="spellEnd"/>
      <w:r w:rsidRPr="00750617">
        <w:t>, vol</w:t>
      </w:r>
      <w:r w:rsidRPr="00F22925">
        <w:t>.</w:t>
      </w:r>
      <w:r w:rsidRPr="00750617">
        <w:t> 7 (2014), p</w:t>
      </w:r>
      <w:r w:rsidRPr="00F22925">
        <w:t>.</w:t>
      </w:r>
      <w:r w:rsidRPr="00750617">
        <w:t> 1 à 134 ; J</w:t>
      </w:r>
      <w:r w:rsidRPr="00F22925">
        <w:t>.</w:t>
      </w:r>
      <w:r w:rsidRPr="00750617">
        <w:t> A</w:t>
      </w:r>
      <w:r w:rsidRPr="00F22925">
        <w:t>.</w:t>
      </w:r>
      <w:r w:rsidRPr="00750617">
        <w:t> </w:t>
      </w:r>
      <w:proofErr w:type="spellStart"/>
      <w:r w:rsidRPr="00750617">
        <w:t>Arnfield</w:t>
      </w:r>
      <w:proofErr w:type="spellEnd"/>
      <w:r w:rsidRPr="00750617">
        <w:t>, « </w:t>
      </w:r>
      <w:proofErr w:type="spellStart"/>
      <w:r w:rsidRPr="00750617">
        <w:t>Two</w:t>
      </w:r>
      <w:proofErr w:type="spellEnd"/>
      <w:r w:rsidRPr="00750617">
        <w:t xml:space="preserve"> </w:t>
      </w:r>
      <w:proofErr w:type="spellStart"/>
      <w:r w:rsidRPr="00750617">
        <w:t>decades</w:t>
      </w:r>
      <w:proofErr w:type="spellEnd"/>
      <w:r w:rsidRPr="00750617">
        <w:t xml:space="preserve"> of </w:t>
      </w:r>
      <w:proofErr w:type="spellStart"/>
      <w:r w:rsidRPr="00750617">
        <w:t>urban</w:t>
      </w:r>
      <w:proofErr w:type="spellEnd"/>
      <w:r w:rsidRPr="00750617">
        <w:t xml:space="preserve"> </w:t>
      </w:r>
      <w:proofErr w:type="spellStart"/>
      <w:r w:rsidRPr="00750617">
        <w:t>climate</w:t>
      </w:r>
      <w:proofErr w:type="spellEnd"/>
      <w:r w:rsidRPr="00750617">
        <w:t xml:space="preserve"> </w:t>
      </w:r>
      <w:proofErr w:type="spellStart"/>
      <w:r w:rsidRPr="00750617">
        <w:t>research</w:t>
      </w:r>
      <w:proofErr w:type="spellEnd"/>
      <w:r w:rsidRPr="00750617">
        <w:t xml:space="preserve"> : </w:t>
      </w:r>
      <w:proofErr w:type="spellStart"/>
      <w:r w:rsidRPr="00750617">
        <w:t>a</w:t>
      </w:r>
      <w:proofErr w:type="spellEnd"/>
      <w:r w:rsidRPr="00750617">
        <w:t xml:space="preserve"> </w:t>
      </w:r>
      <w:proofErr w:type="spellStart"/>
      <w:r w:rsidRPr="00750617">
        <w:t>review</w:t>
      </w:r>
      <w:proofErr w:type="spellEnd"/>
      <w:r w:rsidRPr="00750617">
        <w:t xml:space="preserve"> of turbulence, exchanges of </w:t>
      </w:r>
      <w:proofErr w:type="spellStart"/>
      <w:r w:rsidRPr="00750617">
        <w:t>energy</w:t>
      </w:r>
      <w:proofErr w:type="spellEnd"/>
      <w:r w:rsidRPr="00750617">
        <w:t xml:space="preserve"> and water, and the </w:t>
      </w:r>
      <w:proofErr w:type="spellStart"/>
      <w:r w:rsidRPr="00750617">
        <w:t>urban</w:t>
      </w:r>
      <w:proofErr w:type="spellEnd"/>
      <w:r w:rsidRPr="00750617">
        <w:t xml:space="preserve"> </w:t>
      </w:r>
      <w:proofErr w:type="spellStart"/>
      <w:r w:rsidRPr="00750617">
        <w:t>heat</w:t>
      </w:r>
      <w:proofErr w:type="spellEnd"/>
      <w:r w:rsidRPr="00750617">
        <w:t xml:space="preserve"> </w:t>
      </w:r>
      <w:proofErr w:type="spellStart"/>
      <w:r w:rsidRPr="00750617">
        <w:t>island</w:t>
      </w:r>
      <w:proofErr w:type="spellEnd"/>
      <w:r w:rsidRPr="00750617">
        <w:t xml:space="preserve"> », </w:t>
      </w:r>
      <w:r w:rsidRPr="00750617">
        <w:rPr>
          <w:i/>
        </w:rPr>
        <w:t xml:space="preserve">International Journal of </w:t>
      </w:r>
      <w:proofErr w:type="spellStart"/>
      <w:r w:rsidRPr="00750617">
        <w:rPr>
          <w:i/>
        </w:rPr>
        <w:t>Climatology</w:t>
      </w:r>
      <w:proofErr w:type="spellEnd"/>
      <w:r w:rsidRPr="00750617">
        <w:t>, vol</w:t>
      </w:r>
      <w:r w:rsidRPr="00F22925">
        <w:t>.</w:t>
      </w:r>
      <w:r w:rsidRPr="00750617">
        <w:t> 23 (2003), p</w:t>
      </w:r>
      <w:r w:rsidRPr="00F22925">
        <w:t>.</w:t>
      </w:r>
      <w:r w:rsidRPr="00750617">
        <w:t> 1 à 26 ; L</w:t>
      </w:r>
      <w:r w:rsidRPr="00F22925">
        <w:t>.</w:t>
      </w:r>
      <w:r w:rsidRPr="00750617">
        <w:t> </w:t>
      </w:r>
      <w:proofErr w:type="spellStart"/>
      <w:r w:rsidRPr="00750617">
        <w:t>Gartland</w:t>
      </w:r>
      <w:proofErr w:type="spellEnd"/>
      <w:r w:rsidRPr="00750617">
        <w:t xml:space="preserve">, </w:t>
      </w:r>
      <w:proofErr w:type="spellStart"/>
      <w:r w:rsidRPr="00750617">
        <w:rPr>
          <w:i/>
        </w:rPr>
        <w:t>Heat</w:t>
      </w:r>
      <w:proofErr w:type="spellEnd"/>
      <w:r w:rsidRPr="00750617">
        <w:rPr>
          <w:i/>
        </w:rPr>
        <w:t xml:space="preserve"> </w:t>
      </w:r>
      <w:proofErr w:type="spellStart"/>
      <w:r w:rsidRPr="00750617">
        <w:rPr>
          <w:i/>
        </w:rPr>
        <w:t>Islands</w:t>
      </w:r>
      <w:proofErr w:type="spellEnd"/>
      <w:r w:rsidRPr="00750617">
        <w:rPr>
          <w:i/>
        </w:rPr>
        <w:t xml:space="preserve"> : </w:t>
      </w:r>
      <w:proofErr w:type="spellStart"/>
      <w:r w:rsidRPr="00750617">
        <w:rPr>
          <w:i/>
        </w:rPr>
        <w:t>Understanding</w:t>
      </w:r>
      <w:proofErr w:type="spellEnd"/>
      <w:r w:rsidRPr="00750617">
        <w:rPr>
          <w:i/>
        </w:rPr>
        <w:t xml:space="preserve"> and </w:t>
      </w:r>
      <w:proofErr w:type="spellStart"/>
      <w:r w:rsidRPr="00750617">
        <w:rPr>
          <w:i/>
        </w:rPr>
        <w:t>Mitigating</w:t>
      </w:r>
      <w:proofErr w:type="spellEnd"/>
      <w:r w:rsidRPr="00750617">
        <w:rPr>
          <w:i/>
        </w:rPr>
        <w:t xml:space="preserve"> </w:t>
      </w:r>
      <w:proofErr w:type="spellStart"/>
      <w:r w:rsidRPr="00750617">
        <w:rPr>
          <w:i/>
        </w:rPr>
        <w:t>Heat</w:t>
      </w:r>
      <w:proofErr w:type="spellEnd"/>
      <w:r w:rsidRPr="00750617">
        <w:rPr>
          <w:i/>
        </w:rPr>
        <w:t xml:space="preserve"> in </w:t>
      </w:r>
      <w:proofErr w:type="spellStart"/>
      <w:r w:rsidRPr="00750617">
        <w:rPr>
          <w:i/>
        </w:rPr>
        <w:t>Urban</w:t>
      </w:r>
      <w:proofErr w:type="spellEnd"/>
      <w:r w:rsidRPr="00750617">
        <w:rPr>
          <w:i/>
        </w:rPr>
        <w:t xml:space="preserve"> Areas</w:t>
      </w:r>
      <w:r w:rsidRPr="00750617">
        <w:t xml:space="preserve"> (Londres, </w:t>
      </w:r>
      <w:proofErr w:type="spellStart"/>
      <w:r w:rsidRPr="00750617">
        <w:t>Earthscan</w:t>
      </w:r>
      <w:proofErr w:type="spellEnd"/>
      <w:r w:rsidRPr="00750617">
        <w:t>, 2008) ; voir, en général, B</w:t>
      </w:r>
      <w:r w:rsidRPr="00F22925">
        <w:t>.</w:t>
      </w:r>
      <w:r w:rsidRPr="00750617">
        <w:t> Stone Jr</w:t>
      </w:r>
      <w:r w:rsidRPr="00F22925">
        <w:t>.</w:t>
      </w:r>
      <w:r w:rsidRPr="00750617">
        <w:t xml:space="preserve">, </w:t>
      </w:r>
      <w:r w:rsidRPr="00750617">
        <w:rPr>
          <w:i/>
        </w:rPr>
        <w:t xml:space="preserve">The City and the </w:t>
      </w:r>
      <w:proofErr w:type="spellStart"/>
      <w:r w:rsidRPr="00750617">
        <w:rPr>
          <w:i/>
        </w:rPr>
        <w:t>Coming</w:t>
      </w:r>
      <w:proofErr w:type="spellEnd"/>
      <w:r w:rsidRPr="00750617">
        <w:rPr>
          <w:i/>
        </w:rPr>
        <w:t xml:space="preserve"> </w:t>
      </w:r>
      <w:proofErr w:type="spellStart"/>
      <w:r w:rsidRPr="00750617">
        <w:rPr>
          <w:i/>
        </w:rPr>
        <w:t>Climate</w:t>
      </w:r>
      <w:proofErr w:type="spellEnd"/>
      <w:r w:rsidRPr="00750617">
        <w:rPr>
          <w:i/>
        </w:rPr>
        <w:t xml:space="preserve"> : </w:t>
      </w:r>
      <w:proofErr w:type="spellStart"/>
      <w:r w:rsidRPr="00750617">
        <w:rPr>
          <w:i/>
        </w:rPr>
        <w:t>Climate</w:t>
      </w:r>
      <w:proofErr w:type="spellEnd"/>
      <w:r w:rsidRPr="00750617">
        <w:rPr>
          <w:i/>
        </w:rPr>
        <w:t xml:space="preserve"> Change in the Places </w:t>
      </w:r>
      <w:proofErr w:type="spellStart"/>
      <w:r w:rsidRPr="00750617">
        <w:rPr>
          <w:i/>
        </w:rPr>
        <w:t>We</w:t>
      </w:r>
      <w:proofErr w:type="spellEnd"/>
      <w:r w:rsidRPr="00750617">
        <w:rPr>
          <w:i/>
        </w:rPr>
        <w:t xml:space="preserve"> Live</w:t>
      </w:r>
      <w:r w:rsidRPr="00750617">
        <w:t xml:space="preserve"> (Cambridge, Massachusetts, Cambridge </w:t>
      </w:r>
      <w:proofErr w:type="spellStart"/>
      <w:r w:rsidRPr="00750617">
        <w:t>University</w:t>
      </w:r>
      <w:proofErr w:type="spellEnd"/>
      <w:r w:rsidRPr="00750617">
        <w:t xml:space="preserve"> </w:t>
      </w:r>
      <w:proofErr w:type="spellStart"/>
      <w:r w:rsidRPr="00750617">
        <w:t>Press</w:t>
      </w:r>
      <w:proofErr w:type="spellEnd"/>
      <w:r w:rsidRPr="00750617">
        <w:t>, 2012)</w:t>
      </w:r>
      <w:r w:rsidRPr="00F22925">
        <w:t>.</w:t>
      </w:r>
      <w:r w:rsidRPr="00750617">
        <w:t xml:space="preserve"> À propos de la pollution lumineuse, voir C</w:t>
      </w:r>
      <w:r w:rsidRPr="00F22925">
        <w:t>.</w:t>
      </w:r>
      <w:r w:rsidRPr="00750617">
        <w:t> Rich et T</w:t>
      </w:r>
      <w:r w:rsidRPr="00F22925">
        <w:t>.</w:t>
      </w:r>
      <w:r w:rsidRPr="00750617">
        <w:t> </w:t>
      </w:r>
      <w:proofErr w:type="spellStart"/>
      <w:r w:rsidRPr="00750617">
        <w:t>Longcore</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proofErr w:type="spellStart"/>
      <w:r w:rsidRPr="00750617">
        <w:rPr>
          <w:i/>
        </w:rPr>
        <w:t>Ecological</w:t>
      </w:r>
      <w:proofErr w:type="spellEnd"/>
      <w:r w:rsidRPr="00750617">
        <w:rPr>
          <w:i/>
        </w:rPr>
        <w:t xml:space="preserve"> </w:t>
      </w:r>
      <w:proofErr w:type="spellStart"/>
      <w:r w:rsidRPr="00750617">
        <w:rPr>
          <w:i/>
        </w:rPr>
        <w:t>Consequences</w:t>
      </w:r>
      <w:proofErr w:type="spellEnd"/>
      <w:r w:rsidRPr="00750617">
        <w:rPr>
          <w:i/>
        </w:rPr>
        <w:t xml:space="preserve"> of </w:t>
      </w:r>
      <w:proofErr w:type="spellStart"/>
      <w:r w:rsidRPr="00750617">
        <w:rPr>
          <w:i/>
        </w:rPr>
        <w:t>Artificial</w:t>
      </w:r>
      <w:proofErr w:type="spellEnd"/>
      <w:r w:rsidRPr="00750617">
        <w:rPr>
          <w:i/>
        </w:rPr>
        <w:t xml:space="preserve"> Night </w:t>
      </w:r>
      <w:proofErr w:type="spellStart"/>
      <w:r w:rsidRPr="00750617">
        <w:rPr>
          <w:i/>
        </w:rPr>
        <w:t>Lighting</w:t>
      </w:r>
      <w:proofErr w:type="spellEnd"/>
      <w:r w:rsidRPr="00750617">
        <w:t xml:space="preserve"> (Washington, Island </w:t>
      </w:r>
      <w:proofErr w:type="spellStart"/>
      <w:r w:rsidRPr="00750617">
        <w:t>Press</w:t>
      </w:r>
      <w:proofErr w:type="spellEnd"/>
      <w:r w:rsidRPr="00750617">
        <w:t>, 2006) ; P</w:t>
      </w:r>
      <w:r w:rsidRPr="00F22925">
        <w:t>.</w:t>
      </w:r>
      <w:r w:rsidRPr="00750617">
        <w:t> Cinzano et F</w:t>
      </w:r>
      <w:r w:rsidRPr="00F22925">
        <w:t>.</w:t>
      </w:r>
      <w:r w:rsidRPr="00750617">
        <w:t> </w:t>
      </w:r>
      <w:proofErr w:type="spellStart"/>
      <w:r w:rsidRPr="00750617">
        <w:t>Falchi</w:t>
      </w:r>
      <w:proofErr w:type="spellEnd"/>
      <w:r w:rsidRPr="00750617">
        <w:t xml:space="preserve">, « The propagation of light pollution in the </w:t>
      </w:r>
      <w:proofErr w:type="spellStart"/>
      <w:r w:rsidRPr="00750617">
        <w:t>atmosphere</w:t>
      </w:r>
      <w:proofErr w:type="spellEnd"/>
      <w:r w:rsidRPr="00750617">
        <w:t xml:space="preserve"> », </w:t>
      </w:r>
      <w:proofErr w:type="spellStart"/>
      <w:r w:rsidRPr="00750617">
        <w:rPr>
          <w:i/>
        </w:rPr>
        <w:t>Monthly</w:t>
      </w:r>
      <w:proofErr w:type="spellEnd"/>
      <w:r w:rsidRPr="00750617">
        <w:rPr>
          <w:i/>
        </w:rPr>
        <w:t xml:space="preserve"> Notices of the Royal </w:t>
      </w:r>
      <w:proofErr w:type="spellStart"/>
      <w:r w:rsidRPr="00750617">
        <w:rPr>
          <w:i/>
        </w:rPr>
        <w:t>Astronomic</w:t>
      </w:r>
      <w:proofErr w:type="spellEnd"/>
      <w:r w:rsidRPr="00750617">
        <w:rPr>
          <w:i/>
        </w:rPr>
        <w:t xml:space="preserve"> Society</w:t>
      </w:r>
      <w:r w:rsidRPr="00750617">
        <w:t>, vol</w:t>
      </w:r>
      <w:r w:rsidRPr="00F22925">
        <w:t>.</w:t>
      </w:r>
      <w:r w:rsidRPr="00750617">
        <w:t> 427 (2012), p</w:t>
      </w:r>
      <w:r w:rsidRPr="00F22925">
        <w:t>.</w:t>
      </w:r>
      <w:r w:rsidRPr="00750617">
        <w:t> 3337 à 3357 ; F</w:t>
      </w:r>
      <w:r w:rsidRPr="00F22925">
        <w:t>.</w:t>
      </w:r>
      <w:r w:rsidRPr="00750617">
        <w:t> </w:t>
      </w:r>
      <w:proofErr w:type="spellStart"/>
      <w:r w:rsidRPr="00750617">
        <w:t>Bashiri</w:t>
      </w:r>
      <w:proofErr w:type="spellEnd"/>
      <w:r w:rsidRPr="00750617">
        <w:t xml:space="preserve"> et C</w:t>
      </w:r>
      <w:r w:rsidRPr="00F22925">
        <w:t>.</w:t>
      </w:r>
      <w:r w:rsidRPr="00750617">
        <w:t> </w:t>
      </w:r>
      <w:proofErr w:type="spellStart"/>
      <w:r w:rsidRPr="00750617">
        <w:t>Rosmani</w:t>
      </w:r>
      <w:proofErr w:type="spellEnd"/>
      <w:r w:rsidRPr="00750617">
        <w:t xml:space="preserve"> Che Hassan, « Light pollution and </w:t>
      </w:r>
      <w:proofErr w:type="spellStart"/>
      <w:r w:rsidRPr="00750617">
        <w:t>its</w:t>
      </w:r>
      <w:proofErr w:type="spellEnd"/>
      <w:r w:rsidRPr="00750617">
        <w:t xml:space="preserve"> </w:t>
      </w:r>
      <w:proofErr w:type="spellStart"/>
      <w:r w:rsidRPr="00750617">
        <w:t>effects</w:t>
      </w:r>
      <w:proofErr w:type="spellEnd"/>
      <w:r w:rsidRPr="00750617">
        <w:t xml:space="preserve"> on the </w:t>
      </w:r>
      <w:proofErr w:type="spellStart"/>
      <w:r w:rsidRPr="00750617">
        <w:t>environment</w:t>
      </w:r>
      <w:proofErr w:type="spellEnd"/>
      <w:r w:rsidRPr="00750617">
        <w:t xml:space="preserve"> », </w:t>
      </w:r>
      <w:r w:rsidRPr="00750617">
        <w:rPr>
          <w:i/>
        </w:rPr>
        <w:t xml:space="preserve">International Journal of </w:t>
      </w:r>
      <w:proofErr w:type="spellStart"/>
      <w:r w:rsidRPr="00750617">
        <w:rPr>
          <w:i/>
        </w:rPr>
        <w:t>Fundamental</w:t>
      </w:r>
      <w:proofErr w:type="spellEnd"/>
      <w:r w:rsidRPr="00750617">
        <w:rPr>
          <w:i/>
        </w:rPr>
        <w:t xml:space="preserve"> Physical Sciences</w:t>
      </w:r>
      <w:r w:rsidRPr="00750617">
        <w:t>, vol</w:t>
      </w:r>
      <w:r w:rsidRPr="00F22925">
        <w:t>.</w:t>
      </w:r>
      <w:r w:rsidRPr="00750617">
        <w:t> 4 (2014), p</w:t>
      </w:r>
      <w:r w:rsidRPr="00F22925">
        <w:t>.</w:t>
      </w:r>
      <w:r w:rsidRPr="00750617">
        <w:t> 8 à 12</w:t>
      </w:r>
      <w:r w:rsidRPr="00F22925">
        <w:t>.</w:t>
      </w:r>
      <w:r w:rsidRPr="00750617">
        <w:t xml:space="preserve"> En ce qui concerne la pollution acoustique/par le bruit, voir par exemple l’annexe 16 de la Convention de 1944 sur l’aviation civile internationale (Chicago, 7 décembre 1944, Nations Unies, </w:t>
      </w:r>
      <w:r w:rsidRPr="00750617">
        <w:rPr>
          <w:i/>
        </w:rPr>
        <w:t>Recueil des Traités</w:t>
      </w:r>
      <w:r w:rsidRPr="00750617">
        <w:t>, vol</w:t>
      </w:r>
      <w:r w:rsidRPr="00F22925">
        <w:t>.</w:t>
      </w:r>
      <w:r w:rsidRPr="00750617">
        <w:t> 15, n</w:t>
      </w:r>
      <w:r w:rsidRPr="00750617">
        <w:rPr>
          <w:vertAlign w:val="superscript"/>
        </w:rPr>
        <w:t>o</w:t>
      </w:r>
      <w:r w:rsidRPr="00750617">
        <w:t> 295, p</w:t>
      </w:r>
      <w:r w:rsidRPr="00F22925">
        <w:t>.</w:t>
      </w:r>
      <w:r w:rsidRPr="00750617">
        <w:t> 295), vol</w:t>
      </w:r>
      <w:r w:rsidRPr="00F22925">
        <w:t>.</w:t>
      </w:r>
      <w:r w:rsidRPr="00750617">
        <w:t> I : Bruit des aéronefs, 5</w:t>
      </w:r>
      <w:r w:rsidRPr="00750617">
        <w:rPr>
          <w:vertAlign w:val="superscript"/>
        </w:rPr>
        <w:t>e</w:t>
      </w:r>
      <w:r w:rsidRPr="00750617">
        <w:t> éd</w:t>
      </w:r>
      <w:r w:rsidRPr="00F22925">
        <w:t>.</w:t>
      </w:r>
      <w:r w:rsidRPr="00750617">
        <w:t>, 2008 ; voir P</w:t>
      </w:r>
      <w:r w:rsidRPr="00F22925">
        <w:t>.</w:t>
      </w:r>
      <w:r w:rsidRPr="00750617">
        <w:t> Davies et J</w:t>
      </w:r>
      <w:r w:rsidRPr="00F22925">
        <w:t>.</w:t>
      </w:r>
      <w:r w:rsidRPr="00750617">
        <w:t xml:space="preserve"> Goh, « Air Transport and the </w:t>
      </w:r>
      <w:proofErr w:type="spellStart"/>
      <w:r w:rsidRPr="00750617">
        <w:t>Environment</w:t>
      </w:r>
      <w:proofErr w:type="spellEnd"/>
      <w:r w:rsidRPr="00750617">
        <w:t xml:space="preserve"> : </w:t>
      </w:r>
      <w:proofErr w:type="spellStart"/>
      <w:r w:rsidRPr="00750617">
        <w:t>Regulating</w:t>
      </w:r>
      <w:proofErr w:type="spellEnd"/>
      <w:r w:rsidRPr="00750617">
        <w:t xml:space="preserve"> Aircraft Noise », </w:t>
      </w:r>
      <w:r w:rsidRPr="00750617">
        <w:rPr>
          <w:i/>
        </w:rPr>
        <w:t xml:space="preserve">Air and </w:t>
      </w:r>
      <w:proofErr w:type="spellStart"/>
      <w:r w:rsidRPr="00750617">
        <w:rPr>
          <w:i/>
        </w:rPr>
        <w:t>Space</w:t>
      </w:r>
      <w:proofErr w:type="spellEnd"/>
      <w:r w:rsidRPr="00750617">
        <w:rPr>
          <w:i/>
        </w:rPr>
        <w:t xml:space="preserve"> Law</w:t>
      </w:r>
      <w:r w:rsidRPr="00750617">
        <w:t>, vol</w:t>
      </w:r>
      <w:r w:rsidRPr="00F22925">
        <w:t>.</w:t>
      </w:r>
      <w:r w:rsidRPr="00750617">
        <w:t> 18 (1993), p</w:t>
      </w:r>
      <w:r w:rsidRPr="00F22925">
        <w:t>.</w:t>
      </w:r>
      <w:r w:rsidRPr="00750617">
        <w:t> 123 à 135</w:t>
      </w:r>
      <w:r w:rsidRPr="00F22925">
        <w:t>.</w:t>
      </w:r>
      <w:r w:rsidRPr="00750617">
        <w:t xml:space="preserve"> </w:t>
      </w:r>
      <w:proofErr w:type="spellStart"/>
      <w:r w:rsidRPr="000D3559">
        <w:rPr>
          <w:lang w:val="en-US"/>
        </w:rPr>
        <w:t>Concernant</w:t>
      </w:r>
      <w:proofErr w:type="spellEnd"/>
      <w:r w:rsidRPr="000D3559">
        <w:rPr>
          <w:lang w:val="en-US"/>
        </w:rPr>
        <w:t xml:space="preserve"> les </w:t>
      </w:r>
      <w:proofErr w:type="spellStart"/>
      <w:r w:rsidRPr="000D3559">
        <w:rPr>
          <w:lang w:val="en-US"/>
        </w:rPr>
        <w:t>émissions</w:t>
      </w:r>
      <w:proofErr w:type="spellEnd"/>
      <w:r w:rsidRPr="000D3559">
        <w:rPr>
          <w:lang w:val="en-US"/>
        </w:rPr>
        <w:t xml:space="preserve"> </w:t>
      </w:r>
      <w:proofErr w:type="spellStart"/>
      <w:r w:rsidRPr="000D3559">
        <w:rPr>
          <w:lang w:val="en-US"/>
        </w:rPr>
        <w:t>radioactives</w:t>
      </w:r>
      <w:proofErr w:type="spellEnd"/>
      <w:r w:rsidRPr="000D3559">
        <w:rPr>
          <w:lang w:val="en-US"/>
        </w:rPr>
        <w:t xml:space="preserve">, </w:t>
      </w:r>
      <w:proofErr w:type="spellStart"/>
      <w:r w:rsidRPr="000D3559">
        <w:rPr>
          <w:lang w:val="en-US"/>
        </w:rPr>
        <w:t>voir</w:t>
      </w:r>
      <w:proofErr w:type="spellEnd"/>
      <w:r w:rsidRPr="000D3559">
        <w:rPr>
          <w:lang w:val="en-US"/>
        </w:rPr>
        <w:t xml:space="preserve"> D. </w:t>
      </w:r>
      <w:proofErr w:type="spellStart"/>
      <w:r w:rsidRPr="000D3559">
        <w:rPr>
          <w:lang w:val="en-US"/>
        </w:rPr>
        <w:t>Rauschning</w:t>
      </w:r>
      <w:proofErr w:type="spellEnd"/>
      <w:r w:rsidRPr="000D3559">
        <w:rPr>
          <w:lang w:val="en-US"/>
        </w:rPr>
        <w:t xml:space="preserve">, « Legal Problems of Continuous and Instantaneous Long-Distance Air Pollution : Interim Report », </w:t>
      </w:r>
      <w:r w:rsidRPr="000D3559">
        <w:rPr>
          <w:i/>
          <w:lang w:val="en-US"/>
        </w:rPr>
        <w:t xml:space="preserve">Report of the Sixty-Second Conference of the International Law Association </w:t>
      </w:r>
      <w:r w:rsidRPr="000D3559">
        <w:rPr>
          <w:lang w:val="en-US"/>
        </w:rPr>
        <w:t>(</w:t>
      </w:r>
      <w:proofErr w:type="spellStart"/>
      <w:r w:rsidRPr="000D3559">
        <w:rPr>
          <w:lang w:val="en-US"/>
        </w:rPr>
        <w:t>Séoul</w:t>
      </w:r>
      <w:proofErr w:type="spellEnd"/>
      <w:r w:rsidRPr="000D3559">
        <w:rPr>
          <w:lang w:val="en-US"/>
        </w:rPr>
        <w:t xml:space="preserve">, 1986), p. 198 à 223, à la page 219 ; et </w:t>
      </w:r>
      <w:proofErr w:type="spellStart"/>
      <w:r w:rsidRPr="000D3559">
        <w:rPr>
          <w:lang w:val="en-US"/>
        </w:rPr>
        <w:t>Agence</w:t>
      </w:r>
      <w:proofErr w:type="spellEnd"/>
      <w:r w:rsidRPr="000D3559">
        <w:rPr>
          <w:lang w:val="en-US"/>
        </w:rPr>
        <w:t xml:space="preserve"> </w:t>
      </w:r>
      <w:proofErr w:type="spellStart"/>
      <w:r w:rsidRPr="000D3559">
        <w:rPr>
          <w:lang w:val="en-US"/>
        </w:rPr>
        <w:t>internationale</w:t>
      </w:r>
      <w:proofErr w:type="spellEnd"/>
      <w:r w:rsidRPr="000D3559">
        <w:rPr>
          <w:lang w:val="en-US"/>
        </w:rPr>
        <w:t xml:space="preserve"> de </w:t>
      </w:r>
      <w:proofErr w:type="spellStart"/>
      <w:r w:rsidRPr="000D3559">
        <w:rPr>
          <w:lang w:val="en-US"/>
        </w:rPr>
        <w:t>l’énergie</w:t>
      </w:r>
      <w:proofErr w:type="spellEnd"/>
      <w:r w:rsidRPr="000D3559">
        <w:rPr>
          <w:lang w:val="en-US"/>
        </w:rPr>
        <w:t xml:space="preserve"> </w:t>
      </w:r>
      <w:proofErr w:type="spellStart"/>
      <w:r w:rsidRPr="000D3559">
        <w:rPr>
          <w:lang w:val="en-US"/>
        </w:rPr>
        <w:t>atomique</w:t>
      </w:r>
      <w:proofErr w:type="spellEnd"/>
      <w:r w:rsidRPr="000D3559">
        <w:rPr>
          <w:lang w:val="en-US"/>
        </w:rPr>
        <w:t xml:space="preserve">, </w:t>
      </w:r>
      <w:r w:rsidRPr="000D3559">
        <w:rPr>
          <w:i/>
          <w:lang w:val="en-US"/>
        </w:rPr>
        <w:t xml:space="preserve">Environmental Consequences of the Chernobyl Accident and their Remediation : Twenty Years of Experience − Report of the Chernobyl Forum Expert Group </w:t>
      </w:r>
      <w:r w:rsidRPr="000D3559">
        <w:rPr>
          <w:lang w:val="en-US"/>
        </w:rPr>
        <w:t xml:space="preserve">« Environment », Radiological Assessment Report Series (2006), STI/PUB/1239. </w:t>
      </w:r>
      <w:proofErr w:type="spellStart"/>
      <w:r w:rsidRPr="000D3559">
        <w:rPr>
          <w:lang w:val="en-US"/>
        </w:rPr>
        <w:t>Voir</w:t>
      </w:r>
      <w:proofErr w:type="spellEnd"/>
      <w:r w:rsidRPr="000D3559">
        <w:rPr>
          <w:lang w:val="en-US"/>
        </w:rPr>
        <w:t xml:space="preserve"> </w:t>
      </w:r>
      <w:proofErr w:type="spellStart"/>
      <w:r w:rsidRPr="000D3559">
        <w:rPr>
          <w:lang w:val="en-US"/>
        </w:rPr>
        <w:t>aussi</w:t>
      </w:r>
      <w:proofErr w:type="spellEnd"/>
      <w:r w:rsidRPr="000D3559">
        <w:rPr>
          <w:lang w:val="en-US"/>
        </w:rPr>
        <w:t xml:space="preserve"> </w:t>
      </w:r>
      <w:proofErr w:type="spellStart"/>
      <w:r w:rsidRPr="000D3559">
        <w:rPr>
          <w:lang w:val="en-US"/>
        </w:rPr>
        <w:t>Comité</w:t>
      </w:r>
      <w:proofErr w:type="spellEnd"/>
      <w:r w:rsidRPr="000D3559">
        <w:rPr>
          <w:lang w:val="en-US"/>
        </w:rPr>
        <w:t xml:space="preserve"> </w:t>
      </w:r>
      <w:proofErr w:type="spellStart"/>
      <w:r w:rsidRPr="000D3559">
        <w:rPr>
          <w:lang w:val="en-US"/>
        </w:rPr>
        <w:t>scientifique</w:t>
      </w:r>
      <w:proofErr w:type="spellEnd"/>
      <w:r w:rsidRPr="000D3559">
        <w:rPr>
          <w:lang w:val="en-US"/>
        </w:rPr>
        <w:t xml:space="preserve"> des Nations </w:t>
      </w:r>
      <w:proofErr w:type="spellStart"/>
      <w:r w:rsidRPr="000D3559">
        <w:rPr>
          <w:lang w:val="en-US"/>
        </w:rPr>
        <w:t>Unies</w:t>
      </w:r>
      <w:proofErr w:type="spellEnd"/>
      <w:r w:rsidRPr="000D3559">
        <w:rPr>
          <w:lang w:val="en-US"/>
        </w:rPr>
        <w:t xml:space="preserve"> pour </w:t>
      </w:r>
      <w:proofErr w:type="spellStart"/>
      <w:r w:rsidRPr="000D3559">
        <w:rPr>
          <w:lang w:val="en-US"/>
        </w:rPr>
        <w:t>l’étude</w:t>
      </w:r>
      <w:proofErr w:type="spellEnd"/>
      <w:r w:rsidRPr="000D3559">
        <w:rPr>
          <w:lang w:val="en-US"/>
        </w:rPr>
        <w:t xml:space="preserve"> des </w:t>
      </w:r>
      <w:proofErr w:type="spellStart"/>
      <w:r w:rsidRPr="000D3559">
        <w:rPr>
          <w:lang w:val="en-US"/>
        </w:rPr>
        <w:t>effets</w:t>
      </w:r>
      <w:proofErr w:type="spellEnd"/>
      <w:r w:rsidRPr="000D3559">
        <w:rPr>
          <w:lang w:val="en-US"/>
        </w:rPr>
        <w:t xml:space="preserve"> des </w:t>
      </w:r>
      <w:proofErr w:type="spellStart"/>
      <w:r w:rsidRPr="000D3559">
        <w:rPr>
          <w:lang w:val="en-US"/>
        </w:rPr>
        <w:t>rayonnements</w:t>
      </w:r>
      <w:proofErr w:type="spellEnd"/>
      <w:r w:rsidRPr="000D3559">
        <w:rPr>
          <w:lang w:val="en-US"/>
        </w:rPr>
        <w:t xml:space="preserve"> </w:t>
      </w:r>
      <w:proofErr w:type="spellStart"/>
      <w:r w:rsidRPr="000D3559">
        <w:rPr>
          <w:lang w:val="en-US"/>
        </w:rPr>
        <w:t>ionisants</w:t>
      </w:r>
      <w:proofErr w:type="spellEnd"/>
      <w:r w:rsidRPr="000D3559">
        <w:rPr>
          <w:lang w:val="en-US"/>
        </w:rPr>
        <w:t xml:space="preserve">, 2013 Report to the General Assembly, </w:t>
      </w:r>
      <w:r w:rsidRPr="000D3559">
        <w:rPr>
          <w:i/>
          <w:lang w:val="en-US"/>
        </w:rPr>
        <w:t>Scientific Annex A : Levels and effects of radiation exposure due to the nuclear accident after the 2011 great east-</w:t>
      </w:r>
      <w:proofErr w:type="spellStart"/>
      <w:r w:rsidRPr="000D3559">
        <w:rPr>
          <w:i/>
          <w:lang w:val="en-US"/>
        </w:rPr>
        <w:t>Japon</w:t>
      </w:r>
      <w:proofErr w:type="spellEnd"/>
      <w:r w:rsidRPr="000D3559">
        <w:rPr>
          <w:i/>
          <w:lang w:val="en-US"/>
        </w:rPr>
        <w:t xml:space="preserve"> earthquake and </w:t>
      </w:r>
      <w:proofErr w:type="spellStart"/>
      <w:r w:rsidRPr="000D3559">
        <w:rPr>
          <w:i/>
          <w:lang w:val="en-US"/>
        </w:rPr>
        <w:t>tsnunami</w:t>
      </w:r>
      <w:proofErr w:type="spellEnd"/>
      <w:r w:rsidRPr="000D3559">
        <w:rPr>
          <w:lang w:val="en-US"/>
        </w:rPr>
        <w:t xml:space="preserve"> (publication des Nations </w:t>
      </w:r>
      <w:proofErr w:type="spellStart"/>
      <w:r w:rsidRPr="000D3559">
        <w:rPr>
          <w:lang w:val="en-US"/>
        </w:rPr>
        <w:t>Unies</w:t>
      </w:r>
      <w:proofErr w:type="spellEnd"/>
      <w:r w:rsidRPr="000D3559">
        <w:rPr>
          <w:lang w:val="en-US"/>
        </w:rPr>
        <w:t xml:space="preserve">, </w:t>
      </w:r>
      <w:proofErr w:type="spellStart"/>
      <w:r w:rsidRPr="000D3559">
        <w:rPr>
          <w:lang w:val="en-US"/>
        </w:rPr>
        <w:t>numéro</w:t>
      </w:r>
      <w:proofErr w:type="spellEnd"/>
      <w:r w:rsidRPr="000D3559">
        <w:rPr>
          <w:lang w:val="en-US"/>
        </w:rPr>
        <w:t xml:space="preserve"> de vente : E.14.IX.1), disponible à </w:t>
      </w:r>
      <w:proofErr w:type="spellStart"/>
      <w:r w:rsidRPr="000D3559">
        <w:rPr>
          <w:lang w:val="en-US"/>
        </w:rPr>
        <w:t>l’adresse</w:t>
      </w:r>
      <w:proofErr w:type="spellEnd"/>
      <w:r w:rsidRPr="000D3559">
        <w:rPr>
          <w:lang w:val="en-US"/>
        </w:rPr>
        <w:t xml:space="preserve"> </w:t>
      </w:r>
      <w:proofErr w:type="spellStart"/>
      <w:r w:rsidRPr="000D3559">
        <w:rPr>
          <w:lang w:val="en-US"/>
        </w:rPr>
        <w:t>suivante</w:t>
      </w:r>
      <w:proofErr w:type="spellEnd"/>
      <w:r w:rsidRPr="000D3559">
        <w:rPr>
          <w:lang w:val="en-US"/>
        </w:rPr>
        <w:t xml:space="preserve"> : </w:t>
      </w:r>
      <w:hyperlink r:id="rId30" w:history="1">
        <w:r w:rsidRPr="000D3559">
          <w:rPr>
            <w:rStyle w:val="Hyperlink"/>
            <w:lang w:val="en-US"/>
          </w:rPr>
          <w:t>http://www.unscear.org/docs/reports/2013/13-85418_Report_2013_Annex_A.pdf</w:t>
        </w:r>
      </w:hyperlink>
      <w:r w:rsidRPr="000D3559">
        <w:rPr>
          <w:lang w:val="en-US"/>
        </w:rPr>
        <w:t>.</w:t>
      </w:r>
    </w:p>
  </w:footnote>
  <w:footnote w:id="55">
    <w:p w14:paraId="03C662E8" w14:textId="77777777" w:rsidR="00D01ECD" w:rsidRPr="00750617" w:rsidRDefault="00D01ECD" w:rsidP="00D01ECD">
      <w:pPr>
        <w:pStyle w:val="FootnoteText"/>
      </w:pPr>
      <w:r w:rsidRPr="000D3559">
        <w:rPr>
          <w:lang w:val="en-US"/>
        </w:rPr>
        <w:tab/>
      </w:r>
      <w:r w:rsidRPr="00750617">
        <w:rPr>
          <w:rStyle w:val="FootnoteReference"/>
        </w:rPr>
        <w:footnoteRef/>
      </w:r>
      <w:r w:rsidRPr="00750617">
        <w:tab/>
        <w:t>Agence internationale de l’énergie atomique,</w:t>
      </w:r>
      <w:r w:rsidRPr="00750617">
        <w:rPr>
          <w:i/>
        </w:rPr>
        <w:t xml:space="preserve"> </w:t>
      </w:r>
      <w:proofErr w:type="spellStart"/>
      <w:r w:rsidRPr="00750617">
        <w:rPr>
          <w:i/>
        </w:rPr>
        <w:t>Climate</w:t>
      </w:r>
      <w:proofErr w:type="spellEnd"/>
      <w:r w:rsidRPr="00750617">
        <w:rPr>
          <w:i/>
        </w:rPr>
        <w:t xml:space="preserve"> Change and </w:t>
      </w:r>
      <w:proofErr w:type="spellStart"/>
      <w:r w:rsidRPr="00750617">
        <w:rPr>
          <w:i/>
        </w:rPr>
        <w:t>Nuclear</w:t>
      </w:r>
      <w:proofErr w:type="spellEnd"/>
      <w:r w:rsidRPr="00750617">
        <w:rPr>
          <w:i/>
        </w:rPr>
        <w:t xml:space="preserve"> Power</w:t>
      </w:r>
      <w:r w:rsidRPr="00750617">
        <w:t xml:space="preserve"> </w:t>
      </w:r>
      <w:r w:rsidRPr="00750617">
        <w:rPr>
          <w:i/>
        </w:rPr>
        <w:t>2014</w:t>
      </w:r>
      <w:r w:rsidRPr="00750617">
        <w:t xml:space="preserve"> (Vienne, 2014), p</w:t>
      </w:r>
      <w:r w:rsidRPr="00F22925">
        <w:t>.</w:t>
      </w:r>
      <w:r w:rsidRPr="00750617">
        <w:t> 7</w:t>
      </w:r>
      <w:r w:rsidRPr="00F22925">
        <w:t>.</w:t>
      </w:r>
    </w:p>
  </w:footnote>
  <w:footnote w:id="56">
    <w:p w14:paraId="6CCD040B" w14:textId="77777777" w:rsidR="00D01ECD" w:rsidRPr="00750617" w:rsidRDefault="00D01ECD" w:rsidP="00D01ECD">
      <w:pPr>
        <w:pStyle w:val="FootnoteText"/>
      </w:pPr>
      <w:r w:rsidRPr="00750617">
        <w:tab/>
      </w:r>
      <w:r w:rsidRPr="00750617">
        <w:rPr>
          <w:rStyle w:val="FootnoteReference"/>
        </w:rPr>
        <w:footnoteRef/>
      </w:r>
      <w:r w:rsidRPr="00750617">
        <w:tab/>
        <w:t xml:space="preserve">Convention de Vienne pour la protection de la couche d’ozone (Vienne, 22 mars 1985), Nations Unies, </w:t>
      </w:r>
      <w:r w:rsidRPr="00750617">
        <w:rPr>
          <w:i/>
        </w:rPr>
        <w:t>Recueil des Traités</w:t>
      </w:r>
      <w:r w:rsidRPr="00750617">
        <w:t>, vol</w:t>
      </w:r>
      <w:r w:rsidRPr="00F22925">
        <w:t>.</w:t>
      </w:r>
      <w:r w:rsidRPr="00750617">
        <w:t> 1513, n</w:t>
      </w:r>
      <w:r w:rsidRPr="00750617">
        <w:rPr>
          <w:vertAlign w:val="superscript"/>
        </w:rPr>
        <w:t>o</w:t>
      </w:r>
      <w:r w:rsidRPr="00750617">
        <w:t> 26164, p</w:t>
      </w:r>
      <w:r w:rsidRPr="00F22925">
        <w:t>.</w:t>
      </w:r>
      <w:r w:rsidRPr="00750617">
        <w:t> 293</w:t>
      </w:r>
      <w:r w:rsidRPr="00F22925">
        <w:t>.</w:t>
      </w:r>
    </w:p>
  </w:footnote>
  <w:footnote w:id="57">
    <w:p w14:paraId="102108D1" w14:textId="77777777" w:rsidR="00D01ECD" w:rsidRPr="00750617" w:rsidRDefault="00D01ECD" w:rsidP="00D01ECD">
      <w:pPr>
        <w:pStyle w:val="FootnoteText"/>
      </w:pPr>
      <w:r w:rsidRPr="00750617">
        <w:tab/>
      </w:r>
      <w:r w:rsidRPr="00750617">
        <w:rPr>
          <w:rStyle w:val="FootnoteReference"/>
        </w:rPr>
        <w:footnoteRef/>
      </w:r>
      <w:r w:rsidRPr="00750617">
        <w:tab/>
        <w:t xml:space="preserve">Voir, de façon générale, GIEC, </w:t>
      </w:r>
      <w:proofErr w:type="spellStart"/>
      <w:r w:rsidRPr="00750617">
        <w:rPr>
          <w:i/>
        </w:rPr>
        <w:t>Climate</w:t>
      </w:r>
      <w:proofErr w:type="spellEnd"/>
      <w:r w:rsidRPr="00750617">
        <w:rPr>
          <w:i/>
        </w:rPr>
        <w:t xml:space="preserve"> Change 2013 : The Physical Science Basis, </w:t>
      </w:r>
      <w:proofErr w:type="spellStart"/>
      <w:r w:rsidRPr="00750617">
        <w:rPr>
          <w:i/>
        </w:rPr>
        <w:t>Summary</w:t>
      </w:r>
      <w:proofErr w:type="spellEnd"/>
      <w:r w:rsidRPr="00750617">
        <w:rPr>
          <w:i/>
        </w:rPr>
        <w:t xml:space="preserve"> for Policy </w:t>
      </w:r>
      <w:proofErr w:type="spellStart"/>
      <w:r w:rsidRPr="00750617">
        <w:rPr>
          <w:i/>
        </w:rPr>
        <w:t>makers</w:t>
      </w:r>
      <w:proofErr w:type="spellEnd"/>
      <w:r w:rsidRPr="00750617">
        <w:rPr>
          <w:i/>
        </w:rPr>
        <w:t xml:space="preserve">, </w:t>
      </w:r>
      <w:r w:rsidRPr="00750617">
        <w:t xml:space="preserve">disponible à l’adresse suivante : </w:t>
      </w:r>
      <w:hyperlink r:id="rId31" w:history="1">
        <w:r w:rsidRPr="00750617">
          <w:rPr>
            <w:rStyle w:val="Hyperlink"/>
          </w:rPr>
          <w:t>http://www</w:t>
        </w:r>
        <w:r w:rsidRPr="00F22925">
          <w:rPr>
            <w:rStyle w:val="Hyperlink"/>
          </w:rPr>
          <w:t>.</w:t>
        </w:r>
        <w:r w:rsidRPr="00750617">
          <w:rPr>
            <w:rStyle w:val="Hyperlink"/>
          </w:rPr>
          <w:t>ipcc</w:t>
        </w:r>
        <w:r w:rsidRPr="00F22925">
          <w:rPr>
            <w:rStyle w:val="Hyperlink"/>
          </w:rPr>
          <w:t>.</w:t>
        </w:r>
        <w:r w:rsidRPr="00750617">
          <w:rPr>
            <w:rStyle w:val="Hyperlink"/>
          </w:rPr>
          <w:t>ch/pdf/assessment-report/ar5/wg1/WG1AR5_SPM_FINAL</w:t>
        </w:r>
        <w:r w:rsidRPr="00F22925">
          <w:rPr>
            <w:rStyle w:val="Hyperlink"/>
          </w:rPr>
          <w:t>.</w:t>
        </w:r>
        <w:r w:rsidRPr="00750617">
          <w:rPr>
            <w:rStyle w:val="Hyperlink"/>
          </w:rPr>
          <w:t>pdf</w:t>
        </w:r>
      </w:hyperlink>
      <w:r w:rsidRPr="00F22925">
        <w:t>.</w:t>
      </w:r>
    </w:p>
  </w:footnote>
  <w:footnote w:id="58">
    <w:p w14:paraId="5E5C0647" w14:textId="77777777" w:rsidR="00D01ECD" w:rsidRPr="00750617" w:rsidRDefault="00D01ECD" w:rsidP="00D01ECD">
      <w:pPr>
        <w:pStyle w:val="FootnoteText"/>
        <w:rPr>
          <w:szCs w:val="18"/>
        </w:rPr>
      </w:pPr>
      <w:r w:rsidRPr="00750617">
        <w:rPr>
          <w:szCs w:val="18"/>
        </w:rPr>
        <w:tab/>
      </w:r>
      <w:r w:rsidRPr="00750617">
        <w:rPr>
          <w:rStyle w:val="FootnoteReference"/>
        </w:rPr>
        <w:footnoteRef/>
      </w:r>
      <w:r w:rsidRPr="00750617">
        <w:rPr>
          <w:szCs w:val="18"/>
        </w:rPr>
        <w:tab/>
      </w:r>
      <w:r w:rsidRPr="00750617">
        <w:rPr>
          <w:i/>
          <w:iCs/>
          <w:szCs w:val="18"/>
        </w:rPr>
        <w:t>Rapport de la Conférence des Nations Unies sur 1’environnement et le développement, Rio de Janeiro, 3-14 juin 1992</w:t>
      </w:r>
      <w:r w:rsidRPr="00750617">
        <w:rPr>
          <w:szCs w:val="18"/>
        </w:rPr>
        <w:t>, vol</w:t>
      </w:r>
      <w:r w:rsidRPr="00F22925">
        <w:rPr>
          <w:szCs w:val="18"/>
        </w:rPr>
        <w:t>.</w:t>
      </w:r>
      <w:r w:rsidRPr="00750617">
        <w:rPr>
          <w:szCs w:val="18"/>
        </w:rPr>
        <w:t xml:space="preserve"> I, </w:t>
      </w:r>
      <w:r w:rsidRPr="00750617">
        <w:rPr>
          <w:i/>
          <w:iCs/>
          <w:szCs w:val="18"/>
        </w:rPr>
        <w:t>Résolutions adoptées par la Conférence</w:t>
      </w:r>
      <w:r w:rsidRPr="00750617">
        <w:rPr>
          <w:szCs w:val="18"/>
        </w:rPr>
        <w:t xml:space="preserve"> (</w:t>
      </w:r>
      <w:hyperlink r:id="rId32" w:history="1">
        <w:r w:rsidRPr="00750617">
          <w:rPr>
            <w:rStyle w:val="Hyperlink"/>
            <w:szCs w:val="18"/>
          </w:rPr>
          <w:t>A/CONF</w:t>
        </w:r>
        <w:r w:rsidRPr="00F22925">
          <w:rPr>
            <w:rStyle w:val="Hyperlink"/>
            <w:szCs w:val="18"/>
          </w:rPr>
          <w:t>.</w:t>
        </w:r>
        <w:r w:rsidRPr="00750617">
          <w:rPr>
            <w:rStyle w:val="Hyperlink"/>
            <w:szCs w:val="18"/>
          </w:rPr>
          <w:t>151/26/Rev</w:t>
        </w:r>
        <w:r w:rsidRPr="00F22925">
          <w:rPr>
            <w:rStyle w:val="Hyperlink"/>
            <w:szCs w:val="18"/>
          </w:rPr>
          <w:t>.</w:t>
        </w:r>
        <w:r w:rsidRPr="00750617">
          <w:rPr>
            <w:rStyle w:val="Hyperlink"/>
            <w:szCs w:val="18"/>
          </w:rPr>
          <w:t>1(Vol</w:t>
        </w:r>
        <w:r w:rsidRPr="00F22925">
          <w:rPr>
            <w:rStyle w:val="Hyperlink"/>
            <w:szCs w:val="18"/>
          </w:rPr>
          <w:t>.</w:t>
        </w:r>
        <w:r w:rsidRPr="00750617">
          <w:rPr>
            <w:rStyle w:val="Hyperlink"/>
            <w:szCs w:val="18"/>
          </w:rPr>
          <w:t> I) </w:t>
        </w:r>
      </w:hyperlink>
      <w:r w:rsidRPr="00750617">
        <w:rPr>
          <w:szCs w:val="18"/>
        </w:rPr>
        <w:t>; publication des Nations Unies, numéro de vente : F</w:t>
      </w:r>
      <w:r w:rsidRPr="00F22925">
        <w:rPr>
          <w:szCs w:val="18"/>
        </w:rPr>
        <w:t>.</w:t>
      </w:r>
      <w:r w:rsidRPr="00750617">
        <w:rPr>
          <w:szCs w:val="18"/>
        </w:rPr>
        <w:t>93</w:t>
      </w:r>
      <w:r w:rsidRPr="00F22925">
        <w:rPr>
          <w:szCs w:val="18"/>
        </w:rPr>
        <w:t>.</w:t>
      </w:r>
      <w:r w:rsidRPr="00750617">
        <w:rPr>
          <w:szCs w:val="18"/>
        </w:rPr>
        <w:t>I</w:t>
      </w:r>
      <w:r w:rsidRPr="00F22925">
        <w:rPr>
          <w:szCs w:val="18"/>
        </w:rPr>
        <w:t>.</w:t>
      </w:r>
      <w:r w:rsidRPr="00750617">
        <w:rPr>
          <w:szCs w:val="18"/>
        </w:rPr>
        <w:t>8 et rectificatif), résolution 1, annexe II, par</w:t>
      </w:r>
      <w:r w:rsidRPr="00F22925">
        <w:rPr>
          <w:szCs w:val="18"/>
        </w:rPr>
        <w:t>.</w:t>
      </w:r>
      <w:r w:rsidRPr="00750617">
        <w:rPr>
          <w:szCs w:val="18"/>
        </w:rPr>
        <w:t xml:space="preserve"> 9</w:t>
      </w:r>
      <w:r w:rsidRPr="00F22925">
        <w:rPr>
          <w:szCs w:val="18"/>
        </w:rPr>
        <w:t>.</w:t>
      </w:r>
      <w:r w:rsidRPr="00750617">
        <w:rPr>
          <w:szCs w:val="18"/>
        </w:rPr>
        <w:t>25</w:t>
      </w:r>
      <w:r w:rsidRPr="00F22925">
        <w:rPr>
          <w:szCs w:val="18"/>
        </w:rPr>
        <w:t>.</w:t>
      </w:r>
    </w:p>
  </w:footnote>
  <w:footnote w:id="59">
    <w:p w14:paraId="0B69AF28" w14:textId="77777777" w:rsidR="00D01ECD" w:rsidRPr="000D3559" w:rsidRDefault="00D01ECD" w:rsidP="00D01ECD">
      <w:pPr>
        <w:pStyle w:val="FootnoteText"/>
        <w:rPr>
          <w:lang w:val="en-US"/>
        </w:rPr>
      </w:pPr>
      <w:r w:rsidRPr="00750617">
        <w:tab/>
      </w:r>
      <w:r w:rsidRPr="00750617">
        <w:rPr>
          <w:rStyle w:val="FootnoteReference"/>
        </w:rPr>
        <w:footnoteRef/>
      </w:r>
      <w:r w:rsidRPr="000D3559">
        <w:rPr>
          <w:lang w:val="en-US"/>
        </w:rPr>
        <w:tab/>
        <w:t xml:space="preserve">GIEC, </w:t>
      </w:r>
      <w:r w:rsidRPr="000D3559">
        <w:rPr>
          <w:i/>
          <w:lang w:val="en-US"/>
        </w:rPr>
        <w:t xml:space="preserve">Climate Change </w:t>
      </w:r>
      <w:proofErr w:type="gramStart"/>
      <w:r w:rsidRPr="000D3559">
        <w:rPr>
          <w:i/>
          <w:lang w:val="en-US"/>
        </w:rPr>
        <w:t>2013 :</w:t>
      </w:r>
      <w:proofErr w:type="gramEnd"/>
      <w:r w:rsidRPr="000D3559">
        <w:rPr>
          <w:i/>
          <w:lang w:val="en-US"/>
        </w:rPr>
        <w:t xml:space="preserve"> The Physical Science Basis, Summary for Policy makers</w:t>
      </w:r>
      <w:r w:rsidRPr="000D3559">
        <w:rPr>
          <w:lang w:val="en-US"/>
        </w:rPr>
        <w:t>.</w:t>
      </w:r>
    </w:p>
  </w:footnote>
  <w:footnote w:id="60">
    <w:p w14:paraId="70715171" w14:textId="77777777" w:rsidR="00D01ECD" w:rsidRPr="00750617" w:rsidRDefault="00D01ECD" w:rsidP="00D01ECD">
      <w:pPr>
        <w:pStyle w:val="FootnoteText"/>
      </w:pPr>
      <w:r w:rsidRPr="000D3559">
        <w:rPr>
          <w:lang w:val="en-US"/>
        </w:rPr>
        <w:tab/>
      </w:r>
      <w:r w:rsidRPr="00750617">
        <w:rPr>
          <w:rStyle w:val="FootnoteReference"/>
        </w:rPr>
        <w:footnoteRef/>
      </w:r>
      <w:r w:rsidRPr="00750617">
        <w:tab/>
        <w:t>Ibid</w:t>
      </w:r>
      <w:r w:rsidRPr="00F22925">
        <w:t>.</w:t>
      </w:r>
      <w:r w:rsidRPr="00750617">
        <w:t xml:space="preserve"> GIEC, </w:t>
      </w:r>
      <w:r w:rsidRPr="00750617">
        <w:rPr>
          <w:i/>
          <w:iCs/>
        </w:rPr>
        <w:t>Réchauffement planétaire de 1,5 ºC</w:t>
      </w:r>
      <w:r w:rsidRPr="00F22925">
        <w:rPr>
          <w:i/>
          <w:iCs/>
        </w:rPr>
        <w:t>.</w:t>
      </w:r>
      <w:r w:rsidRPr="00750617">
        <w:rPr>
          <w:i/>
          <w:iCs/>
        </w:rPr>
        <w:t xml:space="preserve"> Rapport spécial du GIEC, Résumé à l’intention des décideurs </w:t>
      </w:r>
      <w:r w:rsidRPr="00750617">
        <w:t>(2018), p</w:t>
      </w:r>
      <w:r w:rsidRPr="00F22925">
        <w:t>.</w:t>
      </w:r>
      <w:r w:rsidRPr="00750617">
        <w:t xml:space="preserve"> 4 et 5, disponible à l’adresse suivante : </w:t>
      </w:r>
      <w:hyperlink r:id="rId33" w:history="1">
        <w:r w:rsidRPr="00750617">
          <w:rPr>
            <w:rStyle w:val="Hyperlink"/>
          </w:rPr>
          <w:t>https://www</w:t>
        </w:r>
        <w:r w:rsidRPr="00F22925">
          <w:rPr>
            <w:rStyle w:val="Hyperlink"/>
          </w:rPr>
          <w:t>.</w:t>
        </w:r>
        <w:r w:rsidRPr="00750617">
          <w:rPr>
            <w:rStyle w:val="Hyperlink"/>
          </w:rPr>
          <w:t>ipcc</w:t>
        </w:r>
        <w:r w:rsidRPr="00F22925">
          <w:rPr>
            <w:rStyle w:val="Hyperlink"/>
          </w:rPr>
          <w:t>.</w:t>
        </w:r>
        <w:r w:rsidRPr="00750617">
          <w:rPr>
            <w:rStyle w:val="Hyperlink"/>
          </w:rPr>
          <w:t>ch/site/assets/uploads/ sites/2/2019/09/IPCC-Special-Report-1</w:t>
        </w:r>
        <w:r w:rsidRPr="00F22925">
          <w:rPr>
            <w:rStyle w:val="Hyperlink"/>
          </w:rPr>
          <w:t>.</w:t>
        </w:r>
        <w:r w:rsidRPr="00750617">
          <w:rPr>
            <w:rStyle w:val="Hyperlink"/>
          </w:rPr>
          <w:t>5-SPM_fr</w:t>
        </w:r>
        <w:r w:rsidRPr="00F22925">
          <w:rPr>
            <w:rStyle w:val="Hyperlink"/>
          </w:rPr>
          <w:t>.</w:t>
        </w:r>
        <w:r w:rsidRPr="00750617">
          <w:rPr>
            <w:rStyle w:val="Hyperlink"/>
          </w:rPr>
          <w:t>pdf</w:t>
        </w:r>
      </w:hyperlink>
      <w:r w:rsidRPr="00F22925">
        <w:t>.</w:t>
      </w:r>
    </w:p>
  </w:footnote>
  <w:footnote w:id="61">
    <w:p w14:paraId="464E59EE" w14:textId="77777777" w:rsidR="00D01ECD" w:rsidRPr="00750617" w:rsidRDefault="00D01ECD" w:rsidP="00D01ECD">
      <w:pPr>
        <w:pStyle w:val="FootnoteText"/>
      </w:pPr>
      <w:r w:rsidRPr="00750617">
        <w:tab/>
      </w:r>
      <w:r w:rsidRPr="00750617">
        <w:rPr>
          <w:rStyle w:val="FootnoteReference"/>
        </w:rPr>
        <w:footnoteRef/>
      </w:r>
      <w:r w:rsidRPr="00750617">
        <w:tab/>
        <w:t xml:space="preserve">Boyle et </w:t>
      </w:r>
      <w:proofErr w:type="spellStart"/>
      <w:r w:rsidRPr="00750617">
        <w:t>Redgwell</w:t>
      </w:r>
      <w:proofErr w:type="spellEnd"/>
      <w:r w:rsidRPr="00750617">
        <w:t xml:space="preserve">, </w:t>
      </w:r>
      <w:r w:rsidRPr="00750617">
        <w:rPr>
          <w:i/>
        </w:rPr>
        <w:t xml:space="preserve">International Law and the </w:t>
      </w:r>
      <w:proofErr w:type="spellStart"/>
      <w:r w:rsidRPr="00750617">
        <w:rPr>
          <w:i/>
        </w:rPr>
        <w:t>Environment</w:t>
      </w:r>
      <w:proofErr w:type="spellEnd"/>
      <w:r w:rsidRPr="00750617">
        <w:rPr>
          <w:i/>
        </w:rPr>
        <w:t xml:space="preserve"> </w:t>
      </w:r>
      <w:r w:rsidRPr="00750617">
        <w:t xml:space="preserve">(voir </w:t>
      </w:r>
      <w:r w:rsidRPr="00750617">
        <w:rPr>
          <w:i/>
          <w:iCs/>
        </w:rPr>
        <w:t>supra</w:t>
      </w:r>
      <w:r w:rsidRPr="00750617">
        <w:t xml:space="preserve"> la</w:t>
      </w:r>
      <w:r w:rsidRPr="00750617">
        <w:rPr>
          <w:i/>
        </w:rPr>
        <w:t xml:space="preserve"> </w:t>
      </w:r>
      <w:r w:rsidRPr="00750617">
        <w:t>note </w:t>
      </w:r>
      <w:r w:rsidRPr="00750617">
        <w:fldChar w:fldCharType="begin"/>
      </w:r>
      <w:r w:rsidRPr="00750617">
        <w:instrText xml:space="preserve"> NOTEREF _Ref81559757 \h </w:instrText>
      </w:r>
      <w:r>
        <w:instrText xml:space="preserve"> \* MERGEFORMAT </w:instrText>
      </w:r>
      <w:r w:rsidRPr="00750617">
        <w:fldChar w:fldCharType="separate"/>
      </w:r>
      <w:r>
        <w:t>21</w:t>
      </w:r>
      <w:r w:rsidRPr="00750617">
        <w:fldChar w:fldCharType="end"/>
      </w:r>
      <w:r w:rsidRPr="00750617">
        <w:t>), p</w:t>
      </w:r>
      <w:r w:rsidRPr="00F22925">
        <w:t>.</w:t>
      </w:r>
      <w:r w:rsidRPr="00750617">
        <w:t> 378 et 379</w:t>
      </w:r>
      <w:r w:rsidRPr="00F22925">
        <w:t>.</w:t>
      </w:r>
    </w:p>
  </w:footnote>
  <w:footnote w:id="62">
    <w:p w14:paraId="46DCDF4B" w14:textId="77777777" w:rsidR="00D01ECD" w:rsidRPr="00750617" w:rsidRDefault="00D01ECD" w:rsidP="00D01ECD">
      <w:pPr>
        <w:pStyle w:val="FootnoteText"/>
      </w:pPr>
      <w:r w:rsidRPr="00750617">
        <w:tab/>
      </w:r>
      <w:r w:rsidRPr="00750617">
        <w:rPr>
          <w:rStyle w:val="FootnoteReference"/>
        </w:rPr>
        <w:footnoteRef/>
      </w:r>
      <w:r w:rsidRPr="00750617">
        <w:tab/>
        <w:t>Ibid</w:t>
      </w:r>
      <w:r w:rsidRPr="00F22925">
        <w:t>.</w:t>
      </w:r>
      <w:r w:rsidRPr="00750617">
        <w:t>, p</w:t>
      </w:r>
      <w:r w:rsidRPr="00F22925">
        <w:t>.</w:t>
      </w:r>
      <w:r w:rsidRPr="00750617">
        <w:t> 379</w:t>
      </w:r>
      <w:r w:rsidRPr="00F22925">
        <w:t>.</w:t>
      </w:r>
      <w:r w:rsidRPr="00750617">
        <w:t xml:space="preserve"> Il est traité des liens entre les changements climatiques et l’appauvrissement de la couche d’ozone dans le préambule ainsi que dans l’article 4 de la Convention-cadre des Nations Unies sur les changements climatiques</w:t>
      </w:r>
      <w:r w:rsidRPr="00F22925">
        <w:t>.</w:t>
      </w:r>
      <w:r w:rsidRPr="00750617">
        <w:t xml:space="preserve"> Les rapports entre la pollution atmosphérique transfrontière et les changements climatiques sont traités dans le préambule et au paragraphe 1 de l’article 2 de la modification apportée au Protocole de Göteborg en 2012</w:t>
      </w:r>
      <w:r w:rsidRPr="00F22925">
        <w:t>.</w:t>
      </w:r>
    </w:p>
  </w:footnote>
  <w:footnote w:id="63">
    <w:p w14:paraId="226F264D" w14:textId="77777777" w:rsidR="00D01ECD" w:rsidRPr="00750617" w:rsidRDefault="00D01ECD" w:rsidP="00D01ECD">
      <w:pPr>
        <w:pStyle w:val="FootnoteText"/>
      </w:pPr>
      <w:r w:rsidRPr="00750617">
        <w:tab/>
      </w:r>
      <w:r w:rsidRPr="00750617">
        <w:rPr>
          <w:rStyle w:val="FootnoteReference"/>
        </w:rPr>
        <w:footnoteRef/>
      </w:r>
      <w:r w:rsidRPr="00750617">
        <w:tab/>
        <w:t>Ibid</w:t>
      </w:r>
      <w:r w:rsidRPr="00F22925">
        <w:t>.</w:t>
      </w:r>
    </w:p>
  </w:footnote>
  <w:footnote w:id="64">
    <w:p w14:paraId="1D1D1A96" w14:textId="77777777" w:rsidR="00D01ECD" w:rsidRPr="00750617" w:rsidRDefault="00D01ECD" w:rsidP="00D01ECD">
      <w:pPr>
        <w:pStyle w:val="FootnoteText"/>
        <w:rPr>
          <w:b/>
        </w:rPr>
      </w:pPr>
      <w:r w:rsidRPr="00750617">
        <w:tab/>
      </w:r>
      <w:r w:rsidRPr="00750617">
        <w:rPr>
          <w:rStyle w:val="FootnoteReference"/>
        </w:rPr>
        <w:footnoteRef/>
      </w:r>
      <w:r w:rsidRPr="00750617">
        <w:tab/>
        <w:t xml:space="preserve">Voir, de manière générale, Boyle et </w:t>
      </w:r>
      <w:proofErr w:type="spellStart"/>
      <w:r w:rsidRPr="00750617">
        <w:t>Redgwell</w:t>
      </w:r>
      <w:proofErr w:type="spellEnd"/>
      <w:r w:rsidRPr="00750617">
        <w:t xml:space="preserve">, </w:t>
      </w:r>
      <w:r w:rsidRPr="00750617">
        <w:rPr>
          <w:i/>
        </w:rPr>
        <w:t xml:space="preserve">International Law and the </w:t>
      </w:r>
      <w:proofErr w:type="spellStart"/>
      <w:r w:rsidRPr="00750617">
        <w:rPr>
          <w:i/>
        </w:rPr>
        <w:t>Environment</w:t>
      </w:r>
      <w:proofErr w:type="spellEnd"/>
      <w:r w:rsidRPr="00750617">
        <w:rPr>
          <w:i/>
        </w:rPr>
        <w:t xml:space="preserve"> </w:t>
      </w:r>
      <w:r w:rsidRPr="00750617">
        <w:t>(note </w:t>
      </w:r>
      <w:r w:rsidRPr="00750617">
        <w:fldChar w:fldCharType="begin"/>
      </w:r>
      <w:r w:rsidRPr="00750617">
        <w:instrText xml:space="preserve"> NOTEREF _Ref81559757 \h </w:instrText>
      </w:r>
      <w:r>
        <w:instrText xml:space="preserve"> \* MERGEFORMAT </w:instrText>
      </w:r>
      <w:r w:rsidRPr="00750617">
        <w:fldChar w:fldCharType="separate"/>
      </w:r>
      <w:r>
        <w:t>21</w:t>
      </w:r>
      <w:r w:rsidRPr="00750617">
        <w:fldChar w:fldCharType="end"/>
      </w:r>
      <w:r w:rsidRPr="00750617">
        <w:t xml:space="preserve"> </w:t>
      </w:r>
      <w:r w:rsidRPr="00750617">
        <w:rPr>
          <w:i/>
          <w:iCs/>
        </w:rPr>
        <w:t>supra</w:t>
      </w:r>
      <w:r w:rsidRPr="00750617">
        <w:t>), p</w:t>
      </w:r>
      <w:r w:rsidRPr="00F22925">
        <w:t>.</w:t>
      </w:r>
      <w:r w:rsidRPr="00750617">
        <w:t xml:space="preserve"> 359 à 361</w:t>
      </w:r>
      <w:r w:rsidRPr="00F22925">
        <w:t>.</w:t>
      </w:r>
    </w:p>
  </w:footnote>
  <w:footnote w:id="65">
    <w:p w14:paraId="0091B254" w14:textId="77777777" w:rsidR="00D01ECD" w:rsidRPr="00750617" w:rsidRDefault="00D01ECD" w:rsidP="00D01ECD">
      <w:pPr>
        <w:pStyle w:val="FootnoteText"/>
      </w:pPr>
      <w:r w:rsidRPr="00750617">
        <w:tab/>
      </w:r>
      <w:r w:rsidRPr="00750617">
        <w:rPr>
          <w:rStyle w:val="FootnoteReference"/>
        </w:rPr>
        <w:footnoteRef/>
      </w:r>
      <w:r w:rsidRPr="00750617">
        <w:tab/>
        <w:t xml:space="preserve">Convention relative à l’aviation civile internationale (Chicago, 7 décembre 1944), Nations Unies, </w:t>
      </w:r>
      <w:r w:rsidRPr="00750617">
        <w:rPr>
          <w:i/>
        </w:rPr>
        <w:t>Recueil des traités</w:t>
      </w:r>
      <w:r w:rsidRPr="00750617">
        <w:t>, vol</w:t>
      </w:r>
      <w:r w:rsidRPr="00F22925">
        <w:t>.</w:t>
      </w:r>
      <w:r w:rsidRPr="00750617">
        <w:t xml:space="preserve"> 15, </w:t>
      </w:r>
      <w:r w:rsidRPr="00750617">
        <w:rPr>
          <w:rFonts w:eastAsia="MS Mincho"/>
        </w:rPr>
        <w:t>n</w:t>
      </w:r>
      <w:r w:rsidRPr="00750617">
        <w:rPr>
          <w:rFonts w:eastAsia="MS Mincho"/>
          <w:vertAlign w:val="superscript"/>
        </w:rPr>
        <w:t>o</w:t>
      </w:r>
      <w:r w:rsidRPr="00750617">
        <w:t> 102, p</w:t>
      </w:r>
      <w:r w:rsidRPr="00F22925">
        <w:t>.</w:t>
      </w:r>
      <w:r w:rsidRPr="00750617">
        <w:t xml:space="preserve"> 295</w:t>
      </w:r>
      <w:r w:rsidRPr="00F22925">
        <w:t>.</w:t>
      </w:r>
      <w:r w:rsidRPr="00750617">
        <w:t xml:space="preserve"> Voir aussi le paragraphe 2 de l’article 2 de la Convention des Nations Unies sur le droit de la mer, qui prévoit que la « souveraineté s’étend à l’espace aérien au-dessus de la mer territoriale, ainsi qu’au fond de cette mer et à son sous-sol »</w:t>
      </w:r>
      <w:r w:rsidRPr="00F22925">
        <w:t>.</w:t>
      </w:r>
    </w:p>
  </w:footnote>
  <w:footnote w:id="66">
    <w:p w14:paraId="7072FF14" w14:textId="77777777" w:rsidR="00D01ECD" w:rsidRPr="00750617" w:rsidRDefault="00D01ECD" w:rsidP="00D01ECD">
      <w:pPr>
        <w:pStyle w:val="FootnoteText"/>
      </w:pPr>
      <w:r w:rsidRPr="00750617">
        <w:tab/>
      </w:r>
      <w:r w:rsidRPr="00750617">
        <w:rPr>
          <w:rStyle w:val="FootnoteReference"/>
        </w:rPr>
        <w:footnoteRef/>
      </w:r>
      <w:r w:rsidRPr="00750617">
        <w:tab/>
      </w:r>
      <w:proofErr w:type="spellStart"/>
      <w:r w:rsidRPr="00750617">
        <w:t>Tarbuck</w:t>
      </w:r>
      <w:proofErr w:type="spellEnd"/>
      <w:r w:rsidRPr="00750617">
        <w:t xml:space="preserve">, </w:t>
      </w:r>
      <w:proofErr w:type="spellStart"/>
      <w:r w:rsidRPr="00750617">
        <w:t>Lutgens</w:t>
      </w:r>
      <w:proofErr w:type="spellEnd"/>
      <w:r w:rsidRPr="00750617">
        <w:t xml:space="preserve"> et </w:t>
      </w:r>
      <w:proofErr w:type="spellStart"/>
      <w:r w:rsidRPr="00750617">
        <w:t>Tasa</w:t>
      </w:r>
      <w:proofErr w:type="spellEnd"/>
      <w:r w:rsidRPr="00750617">
        <w:t xml:space="preserve">, </w:t>
      </w:r>
      <w:proofErr w:type="spellStart"/>
      <w:r w:rsidRPr="00750617">
        <w:rPr>
          <w:i/>
        </w:rPr>
        <w:t>Earth</w:t>
      </w:r>
      <w:proofErr w:type="spellEnd"/>
      <w:r w:rsidRPr="00750617">
        <w:rPr>
          <w:i/>
        </w:rPr>
        <w:t xml:space="preserve"> Science</w:t>
      </w:r>
      <w:r w:rsidRPr="00750617">
        <w:rPr>
          <w:i/>
          <w:iCs/>
        </w:rPr>
        <w:t xml:space="preserve"> </w:t>
      </w:r>
      <w:r w:rsidRPr="00750617">
        <w:rPr>
          <w:iCs/>
        </w:rPr>
        <w:t xml:space="preserve">(voir </w:t>
      </w:r>
      <w:r w:rsidRPr="00750617">
        <w:rPr>
          <w:i/>
        </w:rPr>
        <w:t>supra</w:t>
      </w:r>
      <w:r w:rsidRPr="00750617">
        <w:rPr>
          <w:iCs/>
        </w:rPr>
        <w:t xml:space="preserve"> la</w:t>
      </w:r>
      <w:r w:rsidRPr="00750617">
        <w:t xml:space="preserve"> note </w:t>
      </w:r>
      <w:r w:rsidRPr="00750617">
        <w:fldChar w:fldCharType="begin"/>
      </w:r>
      <w:r w:rsidRPr="00750617">
        <w:instrText xml:space="preserve"> NOTEREF _Ref520278734 \h </w:instrText>
      </w:r>
      <w:r>
        <w:instrText xml:space="preserve"> \* MERGEFORMAT </w:instrText>
      </w:r>
      <w:r w:rsidRPr="00750617">
        <w:fldChar w:fldCharType="separate"/>
      </w:r>
      <w:r>
        <w:t>53</w:t>
      </w:r>
      <w:r w:rsidRPr="00750617">
        <w:fldChar w:fldCharType="end"/>
      </w:r>
      <w:r w:rsidRPr="00750617">
        <w:t>), p</w:t>
      </w:r>
      <w:r w:rsidRPr="00F22925">
        <w:t>.</w:t>
      </w:r>
      <w:r w:rsidRPr="00750617">
        <w:t> 465 et 466</w:t>
      </w:r>
      <w:r w:rsidRPr="00F22925">
        <w:t>.</w:t>
      </w:r>
    </w:p>
  </w:footnote>
  <w:footnote w:id="67">
    <w:p w14:paraId="06B095CF" w14:textId="77777777" w:rsidR="00D01ECD" w:rsidRPr="00750617" w:rsidRDefault="00D01ECD" w:rsidP="00D01ECD">
      <w:pPr>
        <w:pStyle w:val="FootnoteText"/>
      </w:pPr>
      <w:r w:rsidRPr="00750617">
        <w:tab/>
      </w:r>
      <w:r w:rsidRPr="00750617">
        <w:rPr>
          <w:rStyle w:val="FootnoteReference"/>
        </w:rPr>
        <w:footnoteRef/>
      </w:r>
      <w:r w:rsidRPr="00750617">
        <w:tab/>
        <w:t xml:space="preserve">Moscou, Londres et Washington, 27 janvier 1967, Nations Unies, </w:t>
      </w:r>
      <w:r w:rsidRPr="00750617">
        <w:rPr>
          <w:i/>
        </w:rPr>
        <w:t>Recueil des Traités</w:t>
      </w:r>
      <w:r w:rsidRPr="00750617">
        <w:t>, vol</w:t>
      </w:r>
      <w:r w:rsidRPr="00F22925">
        <w:t>.</w:t>
      </w:r>
      <w:r w:rsidRPr="00750617">
        <w:t> 610, n</w:t>
      </w:r>
      <w:r w:rsidRPr="00750617">
        <w:rPr>
          <w:vertAlign w:val="superscript"/>
        </w:rPr>
        <w:t>o</w:t>
      </w:r>
      <w:r w:rsidRPr="00750617">
        <w:t> 8843, p</w:t>
      </w:r>
      <w:r w:rsidRPr="00F22925">
        <w:t>.</w:t>
      </w:r>
      <w:r w:rsidRPr="00750617">
        <w:t> 205</w:t>
      </w:r>
      <w:r w:rsidRPr="00F22925">
        <w:t>.</w:t>
      </w:r>
    </w:p>
  </w:footnote>
  <w:footnote w:id="68">
    <w:p w14:paraId="3F6FE8A9" w14:textId="77777777" w:rsidR="00D01ECD" w:rsidRPr="00750617" w:rsidRDefault="00D01ECD" w:rsidP="00D01ECD">
      <w:pPr>
        <w:pStyle w:val="FootnoteText"/>
      </w:pPr>
      <w:r w:rsidRPr="00750617">
        <w:tab/>
      </w:r>
      <w:r w:rsidRPr="00750617">
        <w:rPr>
          <w:rStyle w:val="FootnoteReference"/>
        </w:rPr>
        <w:footnoteRef/>
      </w:r>
      <w:r w:rsidRPr="00750617">
        <w:tab/>
        <w:t>Voir de façon générale B</w:t>
      </w:r>
      <w:r w:rsidRPr="00F22925">
        <w:t>.</w:t>
      </w:r>
      <w:r w:rsidRPr="00750617">
        <w:t> </w:t>
      </w:r>
      <w:proofErr w:type="spellStart"/>
      <w:r w:rsidRPr="00750617">
        <w:t>Jasani</w:t>
      </w:r>
      <w:proofErr w:type="spellEnd"/>
      <w:r w:rsidRPr="00750617">
        <w:rPr>
          <w:bCs/>
        </w:rPr>
        <w:t xml:space="preserve"> (</w:t>
      </w:r>
      <w:proofErr w:type="spellStart"/>
      <w:r w:rsidRPr="00750617">
        <w:rPr>
          <w:bCs/>
        </w:rPr>
        <w:t>dir</w:t>
      </w:r>
      <w:proofErr w:type="spellEnd"/>
      <w:r w:rsidRPr="00F22925">
        <w:rPr>
          <w:bCs/>
        </w:rPr>
        <w:t>.</w:t>
      </w:r>
      <w:r w:rsidRPr="00750617">
        <w:rPr>
          <w:bCs/>
        </w:rPr>
        <w:t xml:space="preserve"> </w:t>
      </w:r>
      <w:proofErr w:type="spellStart"/>
      <w:r w:rsidRPr="00750617">
        <w:rPr>
          <w:bCs/>
        </w:rPr>
        <w:t>publ</w:t>
      </w:r>
      <w:proofErr w:type="spellEnd"/>
      <w:r w:rsidRPr="00F22925">
        <w:rPr>
          <w:bCs/>
        </w:rPr>
        <w:t>.</w:t>
      </w:r>
      <w:r w:rsidRPr="00750617">
        <w:rPr>
          <w:bCs/>
        </w:rPr>
        <w:t xml:space="preserve">), </w:t>
      </w:r>
      <w:proofErr w:type="spellStart"/>
      <w:r w:rsidRPr="00750617">
        <w:rPr>
          <w:bCs/>
          <w:i/>
        </w:rPr>
        <w:t>Peaceful</w:t>
      </w:r>
      <w:proofErr w:type="spellEnd"/>
      <w:r w:rsidRPr="00750617">
        <w:rPr>
          <w:bCs/>
          <w:i/>
        </w:rPr>
        <w:t xml:space="preserve"> and Non-</w:t>
      </w:r>
      <w:proofErr w:type="spellStart"/>
      <w:r w:rsidRPr="00750617">
        <w:rPr>
          <w:bCs/>
          <w:i/>
        </w:rPr>
        <w:t>Peaceful</w:t>
      </w:r>
      <w:proofErr w:type="spellEnd"/>
      <w:r w:rsidRPr="00750617">
        <w:rPr>
          <w:bCs/>
          <w:i/>
        </w:rPr>
        <w:t xml:space="preserve"> Uses of </w:t>
      </w:r>
      <w:proofErr w:type="spellStart"/>
      <w:r w:rsidRPr="00750617">
        <w:rPr>
          <w:bCs/>
          <w:i/>
        </w:rPr>
        <w:t>Space</w:t>
      </w:r>
      <w:proofErr w:type="spellEnd"/>
      <w:r w:rsidRPr="00750617">
        <w:rPr>
          <w:bCs/>
          <w:i/>
        </w:rPr>
        <w:t xml:space="preserve"> : </w:t>
      </w:r>
      <w:proofErr w:type="spellStart"/>
      <w:r w:rsidRPr="00750617">
        <w:rPr>
          <w:bCs/>
          <w:i/>
        </w:rPr>
        <w:t>Problems</w:t>
      </w:r>
      <w:proofErr w:type="spellEnd"/>
      <w:r w:rsidRPr="00750617">
        <w:rPr>
          <w:bCs/>
          <w:i/>
        </w:rPr>
        <w:t xml:space="preserve"> of </w:t>
      </w:r>
      <w:proofErr w:type="spellStart"/>
      <w:r w:rsidRPr="00750617">
        <w:rPr>
          <w:bCs/>
          <w:i/>
        </w:rPr>
        <w:t>Definition</w:t>
      </w:r>
      <w:proofErr w:type="spellEnd"/>
      <w:r w:rsidRPr="00750617">
        <w:rPr>
          <w:bCs/>
          <w:i/>
        </w:rPr>
        <w:t xml:space="preserve"> for the </w:t>
      </w:r>
      <w:proofErr w:type="spellStart"/>
      <w:r w:rsidRPr="00750617">
        <w:rPr>
          <w:bCs/>
          <w:i/>
        </w:rPr>
        <w:t>Prevention</w:t>
      </w:r>
      <w:proofErr w:type="spellEnd"/>
      <w:r w:rsidRPr="00750617">
        <w:rPr>
          <w:bCs/>
          <w:i/>
        </w:rPr>
        <w:t xml:space="preserve"> of an Arms Race,</w:t>
      </w:r>
      <w:r w:rsidRPr="00750617">
        <w:t xml:space="preserve"> Institut des Nations Unies pour la recherche sur le désarmement (New York, Taylor et Francis, 1991), notamment chap</w:t>
      </w:r>
      <w:r w:rsidRPr="00F22925">
        <w:t>.</w:t>
      </w:r>
      <w:r w:rsidRPr="00750617">
        <w:t> 2 et 3</w:t>
      </w:r>
      <w:r w:rsidRPr="00F22925">
        <w:t>.</w:t>
      </w:r>
    </w:p>
  </w:footnote>
  <w:footnote w:id="69">
    <w:p w14:paraId="433D79A8" w14:textId="77777777" w:rsidR="00D01ECD" w:rsidRPr="00750617" w:rsidRDefault="00D01ECD" w:rsidP="00D01ECD">
      <w:pPr>
        <w:pStyle w:val="FootnoteText"/>
      </w:pPr>
      <w:r w:rsidRPr="00750617">
        <w:tab/>
      </w:r>
      <w:r w:rsidRPr="00750617">
        <w:rPr>
          <w:rStyle w:val="FootnoteReference"/>
        </w:rPr>
        <w:footnoteRef/>
      </w:r>
      <w:r w:rsidRPr="00750617">
        <w:tab/>
        <w:t xml:space="preserve">Voir Nations Unies, </w:t>
      </w:r>
      <w:r w:rsidRPr="00750617">
        <w:rPr>
          <w:i/>
        </w:rPr>
        <w:t>Recueil des sentences arbitrales</w:t>
      </w:r>
      <w:r w:rsidRPr="00750617">
        <w:t>, vol</w:t>
      </w:r>
      <w:r w:rsidRPr="00F22925">
        <w:t>.</w:t>
      </w:r>
      <w:r w:rsidRPr="00750617">
        <w:t> III (numéro de vente : 1949</w:t>
      </w:r>
      <w:r w:rsidRPr="00F22925">
        <w:t>.</w:t>
      </w:r>
      <w:r w:rsidRPr="00750617">
        <w:t>V</w:t>
      </w:r>
      <w:r w:rsidRPr="00F22925">
        <w:t>.</w:t>
      </w:r>
      <w:r w:rsidRPr="00750617">
        <w:t>2), p</w:t>
      </w:r>
      <w:r w:rsidRPr="00F22925">
        <w:t>.</w:t>
      </w:r>
      <w:r w:rsidRPr="00750617">
        <w:t xml:space="preserve"> 1905 à 1982 (sentence du 11 mars 1941), 1907, aux pages 1965 et </w:t>
      </w:r>
      <w:proofErr w:type="spellStart"/>
      <w:r w:rsidRPr="00750617">
        <w:t>suiv</w:t>
      </w:r>
      <w:proofErr w:type="spellEnd"/>
      <w:r w:rsidRPr="00F22925">
        <w:t>.</w:t>
      </w:r>
      <w:r w:rsidRPr="00750617">
        <w:t xml:space="preserve"> (« </w:t>
      </w:r>
      <w:r w:rsidRPr="00750617">
        <w:rPr>
          <w:szCs w:val="18"/>
        </w:rPr>
        <w:t>selon les principes du droit international […], aucun État n’a le droit d’utiliser son territoire ou de permettre l’utilisation de son territoire de telle sorte que celui-ci soit la source de fumées causant sur le territoire ou au territoire d’un autre État ou aux biens ou aux personnes qui s’y trouvent des dommages importants établis de façon claire et convaincante » [traduction non officielle])</w:t>
      </w:r>
      <w:r w:rsidRPr="00750617">
        <w:t xml:space="preserve"> et le premier rapport du Rapporteur spécial (</w:t>
      </w:r>
      <w:hyperlink r:id="rId34" w:history="1">
        <w:r w:rsidRPr="00750617">
          <w:rPr>
            <w:rStyle w:val="Hyperlink"/>
          </w:rPr>
          <w:t>A/CN</w:t>
        </w:r>
        <w:r w:rsidRPr="00F22925">
          <w:rPr>
            <w:rStyle w:val="Hyperlink"/>
          </w:rPr>
          <w:t>.</w:t>
        </w:r>
        <w:r w:rsidRPr="00750617">
          <w:rPr>
            <w:rStyle w:val="Hyperlink"/>
          </w:rPr>
          <w:t>4/667</w:t>
        </w:r>
      </w:hyperlink>
      <w:r w:rsidRPr="00750617">
        <w:t>), par</w:t>
      </w:r>
      <w:r w:rsidRPr="00F22925">
        <w:t>.</w:t>
      </w:r>
      <w:r w:rsidRPr="00750617">
        <w:t> 43</w:t>
      </w:r>
      <w:r w:rsidRPr="00F22925">
        <w:t>.</w:t>
      </w:r>
      <w:r w:rsidRPr="00750617">
        <w:t xml:space="preserve"> </w:t>
      </w:r>
      <w:proofErr w:type="spellStart"/>
      <w:r w:rsidRPr="000D3559">
        <w:rPr>
          <w:lang w:val="en-US"/>
        </w:rPr>
        <w:t>Voir</w:t>
      </w:r>
      <w:proofErr w:type="spellEnd"/>
      <w:r w:rsidRPr="000D3559">
        <w:rPr>
          <w:lang w:val="en-US"/>
        </w:rPr>
        <w:t xml:space="preserve"> </w:t>
      </w:r>
      <w:proofErr w:type="spellStart"/>
      <w:r w:rsidRPr="000D3559">
        <w:rPr>
          <w:lang w:val="en-US"/>
        </w:rPr>
        <w:t>aussi</w:t>
      </w:r>
      <w:proofErr w:type="spellEnd"/>
      <w:r w:rsidRPr="000D3559">
        <w:rPr>
          <w:lang w:val="en-US"/>
        </w:rPr>
        <w:t xml:space="preserve"> A. K. Kuhn, « The Trail Smelter Arbitration, United States and Canada », </w:t>
      </w:r>
      <w:r w:rsidRPr="000D3559">
        <w:rPr>
          <w:i/>
          <w:lang w:val="en-US"/>
        </w:rPr>
        <w:t>American Journal of International Law</w:t>
      </w:r>
      <w:r w:rsidRPr="000D3559">
        <w:rPr>
          <w:lang w:val="en-US"/>
        </w:rPr>
        <w:t xml:space="preserve">, vol. 32 (1938), p. 785 à 788 et ibid., vol. 35 (1941), p. 665 et 666 ; et J. E. Read, « The Trail Smelter Dispute », </w:t>
      </w:r>
      <w:r w:rsidRPr="000D3559">
        <w:rPr>
          <w:i/>
          <w:lang w:val="en-US"/>
        </w:rPr>
        <w:t>Canadian Yearbook of International Law</w:t>
      </w:r>
      <w:r w:rsidRPr="000D3559">
        <w:rPr>
          <w:lang w:val="en-US"/>
        </w:rPr>
        <w:t>, vol. </w:t>
      </w:r>
      <w:r w:rsidRPr="00750617">
        <w:t>I (1963), p</w:t>
      </w:r>
      <w:r w:rsidRPr="00F22925">
        <w:t>.</w:t>
      </w:r>
      <w:r w:rsidRPr="00750617">
        <w:t> 213 à 229</w:t>
      </w:r>
      <w:r w:rsidRPr="00F22925">
        <w:t>.</w:t>
      </w:r>
    </w:p>
  </w:footnote>
  <w:footnote w:id="70">
    <w:p w14:paraId="2870E8D7" w14:textId="77777777" w:rsidR="00D01ECD" w:rsidRPr="00750617" w:rsidRDefault="00D01ECD" w:rsidP="00D01ECD">
      <w:pPr>
        <w:pStyle w:val="FootnoteText"/>
      </w:pPr>
      <w:r w:rsidRPr="00750617">
        <w:tab/>
      </w:r>
      <w:r w:rsidRPr="00750617">
        <w:rPr>
          <w:rStyle w:val="FootnoteReference"/>
        </w:rPr>
        <w:footnoteRef/>
      </w:r>
      <w:r w:rsidRPr="00750617">
        <w:tab/>
        <w:t>Aux termes de l’article 48 (« Invocation de la responsabilité par un État autre qu’un État lésé »), « 1</w:t>
      </w:r>
      <w:r w:rsidRPr="00F22925">
        <w:t>.</w:t>
      </w:r>
      <w:r w:rsidRPr="00750617">
        <w:t> [</w:t>
      </w:r>
      <w:proofErr w:type="gramStart"/>
      <w:r w:rsidRPr="00750617">
        <w:t>c</w:t>
      </w:r>
      <w:proofErr w:type="gramEnd"/>
      <w:r w:rsidRPr="00750617">
        <w:t>]</w:t>
      </w:r>
      <w:proofErr w:type="spellStart"/>
      <w:r w:rsidRPr="00750617">
        <w:t>onformément</w:t>
      </w:r>
      <w:proofErr w:type="spellEnd"/>
      <w:r w:rsidRPr="00750617">
        <w:t xml:space="preserve"> au paragraphe 2, tout État autre qu’un État lésé est en droit d’invoquer la responsabilité d’un autre État, si […] b) l’obligation violée est due à la communauté internationale dans son ensemble » (résolution </w:t>
      </w:r>
      <w:hyperlink r:id="rId35" w:history="1">
        <w:r w:rsidRPr="00750617">
          <w:t>56/83</w:t>
        </w:r>
      </w:hyperlink>
      <w:r w:rsidRPr="00750617">
        <w:t xml:space="preserve"> de l’Assemblée générale, en date du 12 décembre 2001</w:t>
      </w:r>
      <w:r w:rsidRPr="00F22925">
        <w:t>.</w:t>
      </w:r>
      <w:r w:rsidRPr="00750617">
        <w:t xml:space="preserve"> Pour le texte des articles adoptés par la Commission et des commentaires y relatifs, voir </w:t>
      </w:r>
      <w:r w:rsidRPr="00750617">
        <w:rPr>
          <w:i/>
        </w:rPr>
        <w:t>Annuaire </w:t>
      </w:r>
      <w:r w:rsidRPr="00F22925">
        <w:rPr>
          <w:i/>
        </w:rPr>
        <w:t>...</w:t>
      </w:r>
      <w:r w:rsidRPr="00750617">
        <w:rPr>
          <w:i/>
        </w:rPr>
        <w:t> 2001</w:t>
      </w:r>
      <w:r w:rsidRPr="00750617">
        <w:t>, vol</w:t>
      </w:r>
      <w:r w:rsidRPr="00F22925">
        <w:t>.</w:t>
      </w:r>
      <w:r w:rsidRPr="00750617">
        <w:t> II (2</w:t>
      </w:r>
      <w:r w:rsidRPr="00750617">
        <w:rPr>
          <w:vertAlign w:val="superscript"/>
        </w:rPr>
        <w:t>e</w:t>
      </w:r>
      <w:r w:rsidRPr="00750617">
        <w:t> partie) et rectificatif, chap</w:t>
      </w:r>
      <w:r w:rsidRPr="00F22925">
        <w:t>.</w:t>
      </w:r>
      <w:r w:rsidRPr="00750617">
        <w:t> IV, sect</w:t>
      </w:r>
      <w:r w:rsidRPr="00F22925">
        <w:t>.</w:t>
      </w:r>
      <w:r w:rsidRPr="00750617">
        <w:t> E)</w:t>
      </w:r>
      <w:r w:rsidRPr="00F22925">
        <w:t>.</w:t>
      </w:r>
    </w:p>
  </w:footnote>
  <w:footnote w:id="71">
    <w:p w14:paraId="0EA14C89"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Usines de pâte à papier sur le fleuve Uruguay</w:t>
      </w:r>
      <w:r w:rsidRPr="00750617">
        <w:t xml:space="preserve"> (</w:t>
      </w:r>
      <w:r w:rsidRPr="00750617">
        <w:rPr>
          <w:i/>
        </w:rPr>
        <w:t>Argentine c</w:t>
      </w:r>
      <w:r w:rsidRPr="00F22925">
        <w:rPr>
          <w:i/>
        </w:rPr>
        <w:t>.</w:t>
      </w:r>
      <w:r w:rsidRPr="00750617">
        <w:rPr>
          <w:i/>
        </w:rPr>
        <w:t xml:space="preserve"> Uruguay</w:t>
      </w:r>
      <w:r w:rsidRPr="00750617">
        <w:t xml:space="preserve">), </w:t>
      </w:r>
      <w:r w:rsidRPr="00750617">
        <w:rPr>
          <w:i/>
        </w:rPr>
        <w:t>arrêt, C</w:t>
      </w:r>
      <w:r w:rsidRPr="00F22925">
        <w:rPr>
          <w:i/>
        </w:rPr>
        <w:t>.</w:t>
      </w:r>
      <w:r w:rsidRPr="00750617">
        <w:rPr>
          <w:i/>
        </w:rPr>
        <w:t>I</w:t>
      </w:r>
      <w:r w:rsidRPr="00F22925">
        <w:rPr>
          <w:i/>
        </w:rPr>
        <w:t>.</w:t>
      </w:r>
      <w:r w:rsidRPr="00750617">
        <w:rPr>
          <w:i/>
        </w:rPr>
        <w:t>J</w:t>
      </w:r>
      <w:r w:rsidRPr="00F22925">
        <w:rPr>
          <w:i/>
        </w:rPr>
        <w:t>.</w:t>
      </w:r>
      <w:r w:rsidRPr="00750617">
        <w:rPr>
          <w:i/>
        </w:rPr>
        <w:t xml:space="preserve"> Recueil 2010</w:t>
      </w:r>
      <w:r w:rsidRPr="00750617">
        <w:t>, p</w:t>
      </w:r>
      <w:r w:rsidRPr="00F22925">
        <w:t>.</w:t>
      </w:r>
      <w:r w:rsidRPr="00750617">
        <w:t> 14, aux pages 55 et 179, par</w:t>
      </w:r>
      <w:r w:rsidRPr="00F22925">
        <w:t>.</w:t>
      </w:r>
      <w:r w:rsidRPr="00750617">
        <w:t xml:space="preserve"> 101 et 197 ; </w:t>
      </w:r>
      <w:r w:rsidRPr="00750617">
        <w:rPr>
          <w:i/>
          <w:iCs/>
        </w:rPr>
        <w:t>Certaines activités menées par le Nicaragua dans la région frontalière (Costa Rica c</w:t>
      </w:r>
      <w:r w:rsidRPr="00F22925">
        <w:rPr>
          <w:i/>
          <w:iCs/>
        </w:rPr>
        <w:t>.</w:t>
      </w:r>
      <w:r w:rsidRPr="00750617">
        <w:rPr>
          <w:i/>
          <w:iCs/>
        </w:rPr>
        <w:t xml:space="preserve"> Nicaragua) </w:t>
      </w:r>
      <w:r w:rsidRPr="00750617">
        <w:t>et</w:t>
      </w:r>
      <w:r w:rsidRPr="00750617">
        <w:rPr>
          <w:i/>
          <w:iCs/>
        </w:rPr>
        <w:t xml:space="preserve"> </w:t>
      </w:r>
      <w:r w:rsidRPr="00750617">
        <w:rPr>
          <w:i/>
        </w:rPr>
        <w:t>Construction d’une route au Costa Rica le long du fleuve San Juan (Nicaragua c</w:t>
      </w:r>
      <w:r w:rsidRPr="00F22925">
        <w:rPr>
          <w:i/>
        </w:rPr>
        <w:t>.</w:t>
      </w:r>
      <w:r w:rsidRPr="00750617">
        <w:rPr>
          <w:i/>
        </w:rPr>
        <w:t> Costa Rica)</w:t>
      </w:r>
      <w:r w:rsidRPr="00750617">
        <w:rPr>
          <w:iCs/>
        </w:rPr>
        <w:t xml:space="preserve"> (voir </w:t>
      </w:r>
      <w:r w:rsidRPr="00750617">
        <w:rPr>
          <w:i/>
        </w:rPr>
        <w:t xml:space="preserve">supra </w:t>
      </w:r>
      <w:r w:rsidRPr="00750617">
        <w:rPr>
          <w:iCs/>
        </w:rPr>
        <w:t xml:space="preserve">la note </w:t>
      </w:r>
      <w:r w:rsidRPr="00750617">
        <w:rPr>
          <w:iCs/>
        </w:rPr>
        <w:fldChar w:fldCharType="begin"/>
      </w:r>
      <w:r w:rsidRPr="00750617">
        <w:rPr>
          <w:iCs/>
        </w:rPr>
        <w:instrText xml:space="preserve"> NOTEREF _Ref81552631 \h </w:instrText>
      </w:r>
      <w:r>
        <w:rPr>
          <w:iCs/>
        </w:rPr>
        <w:instrText xml:space="preserve"> \* MERGEFORMAT </w:instrText>
      </w:r>
      <w:r w:rsidRPr="00750617">
        <w:rPr>
          <w:iCs/>
        </w:rPr>
      </w:r>
      <w:r w:rsidRPr="00750617">
        <w:rPr>
          <w:iCs/>
        </w:rPr>
        <w:fldChar w:fldCharType="separate"/>
      </w:r>
      <w:r>
        <w:rPr>
          <w:iCs/>
        </w:rPr>
        <w:t>58</w:t>
      </w:r>
      <w:r w:rsidRPr="00750617">
        <w:rPr>
          <w:iCs/>
        </w:rPr>
        <w:fldChar w:fldCharType="end"/>
      </w:r>
      <w:r w:rsidRPr="00750617">
        <w:rPr>
          <w:iCs/>
        </w:rPr>
        <w:t>)</w:t>
      </w:r>
      <w:r w:rsidRPr="00750617">
        <w:t>, par</w:t>
      </w:r>
      <w:r w:rsidRPr="00F22925">
        <w:t>.</w:t>
      </w:r>
      <w:r w:rsidRPr="00750617">
        <w:t xml:space="preserve"> 104, 153, 168 et 228 ; </w:t>
      </w:r>
      <w:r w:rsidRPr="00750617">
        <w:rPr>
          <w:i/>
        </w:rPr>
        <w:t>Tribunal international du droit de la mer, Responsabilités et obligations des États qui patronnent des personnes et des entités dans le cadre d’activités menées dans la Zone (Demande d’avis consultatif soumise à la Chambre pour le règlement des différends relatifs aux fonds marins), avis consultatif, 1</w:t>
      </w:r>
      <w:r w:rsidRPr="00750617">
        <w:rPr>
          <w:i/>
          <w:vertAlign w:val="superscript"/>
        </w:rPr>
        <w:t>er</w:t>
      </w:r>
      <w:r w:rsidRPr="00750617">
        <w:rPr>
          <w:i/>
        </w:rPr>
        <w:t> février 2011, TIDM Recueil 2011</w:t>
      </w:r>
      <w:r w:rsidRPr="00750617">
        <w:t>, p</w:t>
      </w:r>
      <w:r w:rsidRPr="00F22925">
        <w:t>.</w:t>
      </w:r>
      <w:r w:rsidRPr="00750617">
        <w:t xml:space="preserve"> 10, au paragraphe 131 ; projet d’articles sur la prévention des dommages transfrontières résultant d’activités dangereuses, </w:t>
      </w:r>
      <w:r w:rsidRPr="00750617">
        <w:rPr>
          <w:i/>
        </w:rPr>
        <w:t>Annuaire … 2001</w:t>
      </w:r>
      <w:r w:rsidRPr="00750617">
        <w:t>, vol</w:t>
      </w:r>
      <w:r w:rsidRPr="00F22925">
        <w:t>.</w:t>
      </w:r>
      <w:r w:rsidRPr="00750617">
        <w:t> II (2</w:t>
      </w:r>
      <w:r w:rsidRPr="00750617">
        <w:rPr>
          <w:vertAlign w:val="superscript"/>
        </w:rPr>
        <w:t>e</w:t>
      </w:r>
      <w:r w:rsidRPr="00750617">
        <w:t> partie) et rectificatif, par</w:t>
      </w:r>
      <w:r w:rsidRPr="00F22925">
        <w:t>.</w:t>
      </w:r>
      <w:r w:rsidRPr="00750617">
        <w:t> 97 (reproduit dans la résolution </w:t>
      </w:r>
      <w:hyperlink r:id="rId36" w:history="1">
        <w:r w:rsidRPr="00750617">
          <w:t>62/68</w:t>
        </w:r>
      </w:hyperlink>
      <w:r w:rsidRPr="00750617">
        <w:t xml:space="preserve"> de l’Assemblée générale en date du 6 décembre 2007, annexe), par</w:t>
      </w:r>
      <w:r w:rsidRPr="00F22925">
        <w:t>.</w:t>
      </w:r>
      <w:r w:rsidRPr="00750617">
        <w:t xml:space="preserve"> 7 à 18 ; </w:t>
      </w:r>
      <w:proofErr w:type="gramStart"/>
      <w:r w:rsidRPr="00750617">
        <w:t>premier et deuxième rapports</w:t>
      </w:r>
      <w:proofErr w:type="gramEnd"/>
      <w:r w:rsidRPr="00750617">
        <w:t xml:space="preserve"> du Groupe d’étude sur la diligence requise en droit international de l’Association de droit international, 7 mars 2014 et juillet 2016, respectivement ; J</w:t>
      </w:r>
      <w:r w:rsidRPr="00F22925">
        <w:t>.</w:t>
      </w:r>
      <w:r w:rsidRPr="00750617">
        <w:t xml:space="preserve"> </w:t>
      </w:r>
      <w:proofErr w:type="spellStart"/>
      <w:r w:rsidRPr="00750617">
        <w:t>Kulesza</w:t>
      </w:r>
      <w:proofErr w:type="spellEnd"/>
      <w:r w:rsidRPr="00750617">
        <w:t xml:space="preserve">, </w:t>
      </w:r>
      <w:r w:rsidRPr="00750617">
        <w:rPr>
          <w:i/>
        </w:rPr>
        <w:t>Due Diligence in International Law</w:t>
      </w:r>
      <w:r w:rsidRPr="00750617">
        <w:t xml:space="preserve"> (</w:t>
      </w:r>
      <w:proofErr w:type="spellStart"/>
      <w:r w:rsidRPr="00750617">
        <w:t>Leiden</w:t>
      </w:r>
      <w:proofErr w:type="spellEnd"/>
      <w:r w:rsidRPr="00750617">
        <w:t xml:space="preserve">, </w:t>
      </w:r>
      <w:proofErr w:type="spellStart"/>
      <w:r w:rsidRPr="00750617">
        <w:t>Brill</w:t>
      </w:r>
      <w:proofErr w:type="spellEnd"/>
      <w:r w:rsidRPr="00750617">
        <w:t>, 2016)</w:t>
      </w:r>
      <w:r w:rsidRPr="00F22925">
        <w:t>.</w:t>
      </w:r>
      <w:r w:rsidRPr="00750617">
        <w:t xml:space="preserve"> Société française pour le droit international, </w:t>
      </w:r>
      <w:r w:rsidRPr="00750617">
        <w:rPr>
          <w:i/>
          <w:iCs/>
        </w:rPr>
        <w:t xml:space="preserve">Le standard de </w:t>
      </w:r>
      <w:r w:rsidRPr="00750617">
        <w:t>due diligence</w:t>
      </w:r>
      <w:r w:rsidRPr="00750617">
        <w:rPr>
          <w:i/>
          <w:iCs/>
        </w:rPr>
        <w:t xml:space="preserve"> et la responsabilité internationale</w:t>
      </w:r>
      <w:r w:rsidRPr="00750617">
        <w:t xml:space="preserve">, Paris, </w:t>
      </w:r>
      <w:proofErr w:type="spellStart"/>
      <w:r w:rsidRPr="00750617">
        <w:t>Pedone</w:t>
      </w:r>
      <w:proofErr w:type="spellEnd"/>
      <w:r w:rsidRPr="00750617">
        <w:t>, 2018 ; S</w:t>
      </w:r>
      <w:r w:rsidRPr="00F22925">
        <w:t>.</w:t>
      </w:r>
      <w:r w:rsidRPr="00750617">
        <w:t xml:space="preserve"> Besson, « La </w:t>
      </w:r>
      <w:r w:rsidRPr="00750617">
        <w:rPr>
          <w:i/>
          <w:iCs/>
        </w:rPr>
        <w:t>due diligence</w:t>
      </w:r>
      <w:r w:rsidRPr="00750617">
        <w:t xml:space="preserve"> en droit international », </w:t>
      </w:r>
      <w:proofErr w:type="spellStart"/>
      <w:r w:rsidRPr="00750617">
        <w:rPr>
          <w:i/>
          <w:iCs/>
        </w:rPr>
        <w:t>Collected</w:t>
      </w:r>
      <w:proofErr w:type="spellEnd"/>
      <w:r w:rsidRPr="00750617">
        <w:rPr>
          <w:i/>
          <w:iCs/>
        </w:rPr>
        <w:t xml:space="preserve"> Courses of the Hague </w:t>
      </w:r>
      <w:proofErr w:type="spellStart"/>
      <w:r w:rsidRPr="00750617">
        <w:rPr>
          <w:i/>
          <w:iCs/>
        </w:rPr>
        <w:t>Academy</w:t>
      </w:r>
      <w:proofErr w:type="spellEnd"/>
      <w:r w:rsidRPr="00750617">
        <w:rPr>
          <w:i/>
          <w:iCs/>
        </w:rPr>
        <w:t xml:space="preserve"> of International Law</w:t>
      </w:r>
      <w:r w:rsidRPr="00750617">
        <w:t>, vol</w:t>
      </w:r>
      <w:r w:rsidRPr="00F22925">
        <w:t>.</w:t>
      </w:r>
      <w:r w:rsidRPr="00750617">
        <w:t xml:space="preserve"> 409 (2020), p</w:t>
      </w:r>
      <w:r w:rsidRPr="00F22925">
        <w:t>.</w:t>
      </w:r>
      <w:r w:rsidRPr="00750617">
        <w:t xml:space="preserve"> 153 à 398</w:t>
      </w:r>
      <w:r w:rsidRPr="00F22925">
        <w:t>.</w:t>
      </w:r>
    </w:p>
  </w:footnote>
  <w:footnote w:id="72">
    <w:p w14:paraId="5D01E1BC" w14:textId="77777777" w:rsidR="00D01ECD" w:rsidRPr="00750617" w:rsidRDefault="00D01ECD" w:rsidP="00D01ECD">
      <w:pPr>
        <w:pStyle w:val="FootnoteText"/>
      </w:pPr>
      <w:r w:rsidRPr="00750617">
        <w:tab/>
      </w:r>
      <w:r w:rsidRPr="00750617">
        <w:rPr>
          <w:rStyle w:val="FootnoteReference"/>
        </w:rPr>
        <w:footnoteRef/>
      </w:r>
      <w:r w:rsidRPr="000D3559">
        <w:rPr>
          <w:lang w:val="en-US"/>
        </w:rPr>
        <w:tab/>
        <w:t xml:space="preserve">M.H. </w:t>
      </w:r>
      <w:proofErr w:type="spellStart"/>
      <w:r w:rsidRPr="000D3559">
        <w:rPr>
          <w:lang w:val="en-US"/>
        </w:rPr>
        <w:t>Nordquist</w:t>
      </w:r>
      <w:proofErr w:type="spellEnd"/>
      <w:r w:rsidRPr="000D3559">
        <w:rPr>
          <w:lang w:val="en-US"/>
        </w:rPr>
        <w:t xml:space="preserve"> </w:t>
      </w:r>
      <w:r w:rsidRPr="000D3559">
        <w:rPr>
          <w:i/>
          <w:iCs/>
          <w:lang w:val="en-US"/>
        </w:rPr>
        <w:t>et al.</w:t>
      </w:r>
      <w:r w:rsidRPr="000D3559">
        <w:rPr>
          <w:lang w:val="en-US"/>
        </w:rPr>
        <w:t xml:space="preserve">, dir. publ., </w:t>
      </w:r>
      <w:r w:rsidRPr="000D3559">
        <w:rPr>
          <w:i/>
          <w:lang w:val="en-US"/>
        </w:rPr>
        <w:t xml:space="preserve">United Nations Convention on the Law of the Sea </w:t>
      </w:r>
      <w:proofErr w:type="gramStart"/>
      <w:r w:rsidRPr="000D3559">
        <w:rPr>
          <w:i/>
          <w:lang w:val="en-US"/>
        </w:rPr>
        <w:t>1982 :</w:t>
      </w:r>
      <w:proofErr w:type="gramEnd"/>
      <w:r w:rsidRPr="000D3559">
        <w:rPr>
          <w:i/>
          <w:lang w:val="en-US"/>
        </w:rPr>
        <w:t xml:space="preserve"> A</w:t>
      </w:r>
      <w:r w:rsidRPr="000D3559">
        <w:rPr>
          <w:lang w:val="en-US"/>
        </w:rPr>
        <w:t> </w:t>
      </w:r>
      <w:r w:rsidRPr="000D3559">
        <w:rPr>
          <w:i/>
          <w:lang w:val="en-US"/>
        </w:rPr>
        <w:t>Commentary</w:t>
      </w:r>
      <w:r w:rsidRPr="000D3559">
        <w:rPr>
          <w:lang w:val="en-US"/>
        </w:rPr>
        <w:t>, vol. </w:t>
      </w:r>
      <w:r w:rsidRPr="00750617">
        <w:t xml:space="preserve">IV (Dordrecht, </w:t>
      </w:r>
      <w:proofErr w:type="spellStart"/>
      <w:r w:rsidRPr="00750617">
        <w:t>Martinus</w:t>
      </w:r>
      <w:proofErr w:type="spellEnd"/>
      <w:r w:rsidRPr="00750617">
        <w:t xml:space="preserve"> </w:t>
      </w:r>
      <w:proofErr w:type="spellStart"/>
      <w:r w:rsidRPr="00750617">
        <w:t>Nijhoff</w:t>
      </w:r>
      <w:proofErr w:type="spellEnd"/>
      <w:r w:rsidRPr="00750617">
        <w:t>, 1991)</w:t>
      </w:r>
      <w:r w:rsidRPr="00750617">
        <w:rPr>
          <w:szCs w:val="18"/>
        </w:rPr>
        <w:t>, p</w:t>
      </w:r>
      <w:r w:rsidRPr="00F22925">
        <w:rPr>
          <w:szCs w:val="18"/>
        </w:rPr>
        <w:t>.</w:t>
      </w:r>
      <w:r w:rsidRPr="00750617">
        <w:t> </w:t>
      </w:r>
      <w:r w:rsidRPr="00750617">
        <w:rPr>
          <w:szCs w:val="18"/>
        </w:rPr>
        <w:t>50</w:t>
      </w:r>
      <w:r w:rsidRPr="00F22925">
        <w:t>.</w:t>
      </w:r>
    </w:p>
  </w:footnote>
  <w:footnote w:id="73">
    <w:p w14:paraId="2C3DCB74" w14:textId="77777777" w:rsidR="00D01ECD" w:rsidRPr="00750617" w:rsidRDefault="00D01ECD" w:rsidP="00D01ECD">
      <w:pPr>
        <w:pStyle w:val="FootnoteText"/>
      </w:pPr>
      <w:r w:rsidRPr="00750617">
        <w:tab/>
      </w:r>
      <w:r w:rsidRPr="00750617">
        <w:rPr>
          <w:rStyle w:val="FootnoteReference"/>
        </w:rPr>
        <w:footnoteRef/>
      </w:r>
      <w:r w:rsidRPr="00750617">
        <w:tab/>
        <w:t>Le paragraphe 3 de l’article 3 dispose qu</w:t>
      </w:r>
      <w:proofErr w:type="gramStart"/>
      <w:r w:rsidRPr="00750617">
        <w:t>’«</w:t>
      </w:r>
      <w:proofErr w:type="gramEnd"/>
      <w:r w:rsidRPr="00750617">
        <w:t> [i]l incombe aux Parties de prendre des mesures de précaution pour prévoir, prévenir ou atténuer les causes des changements climatiques et en limiter les effets néfastes »</w:t>
      </w:r>
      <w:r w:rsidRPr="00F22925">
        <w:t>.</w:t>
      </w:r>
      <w:r w:rsidRPr="00750617">
        <w:t xml:space="preserve"> Voir, par exemple, Convention des Nations Unies sur le droit de la mer (</w:t>
      </w:r>
      <w:proofErr w:type="spellStart"/>
      <w:r w:rsidRPr="00750617">
        <w:t>Montego</w:t>
      </w:r>
      <w:proofErr w:type="spellEnd"/>
      <w:r w:rsidRPr="00750617">
        <w:t xml:space="preserve"> </w:t>
      </w:r>
      <w:proofErr w:type="spellStart"/>
      <w:r w:rsidRPr="00750617">
        <w:t>Bay</w:t>
      </w:r>
      <w:proofErr w:type="spellEnd"/>
      <w:r w:rsidRPr="00750617">
        <w:t xml:space="preserve">), Nations Unies, </w:t>
      </w:r>
      <w:r w:rsidRPr="00750617">
        <w:rPr>
          <w:i/>
          <w:iCs/>
        </w:rPr>
        <w:t>Recueil des Traités</w:t>
      </w:r>
      <w:r w:rsidRPr="00750617">
        <w:t>, vol</w:t>
      </w:r>
      <w:r w:rsidRPr="00F22925">
        <w:t>.</w:t>
      </w:r>
      <w:r w:rsidRPr="00750617">
        <w:t xml:space="preserve"> 1833, </w:t>
      </w:r>
      <w:r w:rsidRPr="00750617">
        <w:rPr>
          <w:rFonts w:eastAsia="MS Mincho"/>
        </w:rPr>
        <w:t>n</w:t>
      </w:r>
      <w:r w:rsidRPr="00750617">
        <w:rPr>
          <w:rFonts w:eastAsia="MS Mincho"/>
          <w:vertAlign w:val="superscript"/>
        </w:rPr>
        <w:t>o</w:t>
      </w:r>
      <w:r w:rsidRPr="00750617">
        <w:t> 31363, p</w:t>
      </w:r>
      <w:r w:rsidRPr="00F22925">
        <w:t>.</w:t>
      </w:r>
      <w:r w:rsidRPr="00750617">
        <w:t xml:space="preserve"> 3, art</w:t>
      </w:r>
      <w:r w:rsidRPr="00F22925">
        <w:t>.</w:t>
      </w:r>
      <w:r w:rsidRPr="00750617">
        <w:t xml:space="preserve"> 212, Convention de Vienne pour la protection de la couche d’ozone, art</w:t>
      </w:r>
      <w:r w:rsidRPr="00F22925">
        <w:t>.</w:t>
      </w:r>
      <w:r w:rsidRPr="00750617">
        <w:t xml:space="preserve"> 2, par</w:t>
      </w:r>
      <w:r w:rsidRPr="00F22925">
        <w:t>.</w:t>
      </w:r>
      <w:r w:rsidRPr="00750617">
        <w:t xml:space="preserve"> 2 b), </w:t>
      </w:r>
      <w:r w:rsidRPr="00750617">
        <w:rPr>
          <w:rStyle w:val="preferred"/>
        </w:rPr>
        <w:t>Convention-cadre des Nations Unies sur les changements climatiques, art</w:t>
      </w:r>
      <w:r w:rsidRPr="00F22925">
        <w:rPr>
          <w:rStyle w:val="preferred"/>
        </w:rPr>
        <w:t>.</w:t>
      </w:r>
      <w:r w:rsidRPr="00750617">
        <w:rPr>
          <w:rStyle w:val="preferred"/>
        </w:rPr>
        <w:t xml:space="preserve"> 4, Convention de Stockholm sur les polluants organiques persistants, premier alinéa du préambule et art</w:t>
      </w:r>
      <w:r w:rsidRPr="00F22925">
        <w:rPr>
          <w:rStyle w:val="preferred"/>
        </w:rPr>
        <w:t>.</w:t>
      </w:r>
      <w:r w:rsidRPr="00750617">
        <w:rPr>
          <w:rStyle w:val="preferred"/>
        </w:rPr>
        <w:t xml:space="preserve"> 3, et Convention de Minamata sur le mercure, art</w:t>
      </w:r>
      <w:r w:rsidRPr="00F22925">
        <w:rPr>
          <w:rStyle w:val="preferred"/>
        </w:rPr>
        <w:t>.</w:t>
      </w:r>
      <w:r w:rsidRPr="00750617">
        <w:rPr>
          <w:rStyle w:val="preferred"/>
        </w:rPr>
        <w:t xml:space="preserve"> 2, 8 et 9</w:t>
      </w:r>
      <w:r w:rsidRPr="00F22925">
        <w:rPr>
          <w:rStyle w:val="preferred"/>
        </w:rPr>
        <w:t>.</w:t>
      </w:r>
    </w:p>
  </w:footnote>
  <w:footnote w:id="74">
    <w:p w14:paraId="59B2F908" w14:textId="77777777" w:rsidR="00D01ECD" w:rsidRPr="00750617" w:rsidRDefault="00D01ECD" w:rsidP="00D01ECD">
      <w:pPr>
        <w:pStyle w:val="FootnoteText"/>
      </w:pPr>
      <w:r w:rsidRPr="00750617">
        <w:tab/>
      </w:r>
      <w:r w:rsidRPr="00750617">
        <w:rPr>
          <w:rStyle w:val="FootnoteReference"/>
        </w:rPr>
        <w:footnoteRef/>
      </w:r>
      <w:r w:rsidRPr="00750617">
        <w:tab/>
        <w:t>Onzième et treizième alinéas du préambule</w:t>
      </w:r>
      <w:r w:rsidRPr="00F22925">
        <w:t>.</w:t>
      </w:r>
    </w:p>
  </w:footnote>
  <w:footnote w:id="75">
    <w:p w14:paraId="42088438"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Annuaire</w:t>
      </w:r>
      <w:r w:rsidRPr="00750617">
        <w:t> </w:t>
      </w:r>
      <w:r w:rsidRPr="00750617">
        <w:rPr>
          <w:i/>
        </w:rPr>
        <w:t>…</w:t>
      </w:r>
      <w:r w:rsidRPr="00750617">
        <w:t> </w:t>
      </w:r>
      <w:r w:rsidRPr="00750617">
        <w:rPr>
          <w:i/>
        </w:rPr>
        <w:t>2001</w:t>
      </w:r>
      <w:r w:rsidRPr="00750617">
        <w:t>, vol</w:t>
      </w:r>
      <w:r w:rsidRPr="00F22925">
        <w:t>.</w:t>
      </w:r>
      <w:r w:rsidRPr="00750617">
        <w:t> II (2</w:t>
      </w:r>
      <w:r w:rsidRPr="00750617">
        <w:rPr>
          <w:vertAlign w:val="superscript"/>
        </w:rPr>
        <w:t>e</w:t>
      </w:r>
      <w:r w:rsidRPr="00750617">
        <w:t> partie) et rectificatif, chap</w:t>
      </w:r>
      <w:r w:rsidRPr="00F22925">
        <w:t>.</w:t>
      </w:r>
      <w:r w:rsidRPr="00750617">
        <w:t> V, sect</w:t>
      </w:r>
      <w:r w:rsidRPr="00F22925">
        <w:t>.</w:t>
      </w:r>
      <w:r w:rsidRPr="00750617">
        <w:t> E, art</w:t>
      </w:r>
      <w:r w:rsidRPr="00F22925">
        <w:t>.</w:t>
      </w:r>
      <w:r w:rsidRPr="00750617">
        <w:t> 3 (Prévention) : « L’État d’origine prend toutes les mesures appropriées pour prévenir les dommages transfrontières significatifs ou en tout état de cause pour en réduire le risque au minimum</w:t>
      </w:r>
      <w:r w:rsidRPr="00F22925">
        <w:t>.</w:t>
      </w:r>
      <w:r w:rsidRPr="00750617">
        <w:t> »</w:t>
      </w:r>
      <w:r w:rsidRPr="00F22925">
        <w:t>.</w:t>
      </w:r>
      <w:r w:rsidRPr="00750617">
        <w:t xml:space="preserve"> La Commission a aussi traité de l’obligation de prévention dans ses articles sur la responsabilité de l’État pour fait internationalement illicite</w:t>
      </w:r>
      <w:r w:rsidRPr="00F22925">
        <w:t>.</w:t>
      </w:r>
      <w:r w:rsidRPr="00750617">
        <w:t xml:space="preserve"> Le paragraphe 3 de l’article 14 dispose que « la violation d’une obligation internationale requérant de l’État qu’il prévienne un événement donné a lieu au moment où l’événement survient et s’étend sur toute la période durant laquelle l’événement continue » (ibid</w:t>
      </w:r>
      <w:r w:rsidRPr="00F22925">
        <w:t>.</w:t>
      </w:r>
      <w:r w:rsidRPr="00750617">
        <w:t>, chap</w:t>
      </w:r>
      <w:r w:rsidRPr="00F22925">
        <w:t>.</w:t>
      </w:r>
      <w:r w:rsidRPr="00750617">
        <w:t> IV, sect</w:t>
      </w:r>
      <w:r w:rsidRPr="00F22925">
        <w:t>.</w:t>
      </w:r>
      <w:r w:rsidRPr="00750617">
        <w:t> E)</w:t>
      </w:r>
      <w:r w:rsidRPr="00F22925">
        <w:t>.</w:t>
      </w:r>
      <w:r w:rsidRPr="00750617">
        <w:t xml:space="preserve"> Selon le commentaire de cette disposition, « [l]’obligation de prévention s’analyse normalement comme une obligation de diligence, imposant aux États de prendre toutes les mesures raisonnables ou nécessaires pour éviter qu’un événement donné ne se produise, mais sans garantir que l’événement ne se produira pas » (ibid</w:t>
      </w:r>
      <w:r w:rsidRPr="00F22925">
        <w:t>.</w:t>
      </w:r>
      <w:r w:rsidRPr="00750617">
        <w:t>, par</w:t>
      </w:r>
      <w:r w:rsidRPr="00F22925">
        <w:t>.</w:t>
      </w:r>
      <w:r w:rsidRPr="00750617">
        <w:t> 14 du commentaire se rapportant au paragraphe 3 de l’article 14)</w:t>
      </w:r>
      <w:r w:rsidRPr="00F22925">
        <w:t>.</w:t>
      </w:r>
      <w:r w:rsidRPr="00750617">
        <w:t xml:space="preserve"> Le commentaire est venu illustrer « l’obligation de prévenir les dommages transfrontières causés par la pollution de l’air, traitée dans l’arbitrage relatif à l’affaire de la </w:t>
      </w:r>
      <w:r w:rsidRPr="00750617">
        <w:rPr>
          <w:i/>
        </w:rPr>
        <w:t xml:space="preserve">Fonderie de </w:t>
      </w:r>
      <w:proofErr w:type="spellStart"/>
      <w:r w:rsidRPr="00750617">
        <w:rPr>
          <w:i/>
        </w:rPr>
        <w:t>Trail</w:t>
      </w:r>
      <w:proofErr w:type="spellEnd"/>
      <w:r w:rsidRPr="00750617">
        <w:t> » en tant qu’exemple d’obligation de prévention (ibid</w:t>
      </w:r>
      <w:r w:rsidRPr="00F22925">
        <w:t>.</w:t>
      </w:r>
      <w:r w:rsidRPr="00750617">
        <w:t>)</w:t>
      </w:r>
      <w:r w:rsidRPr="00F22925">
        <w:t>.</w:t>
      </w:r>
    </w:p>
  </w:footnote>
  <w:footnote w:id="76">
    <w:p w14:paraId="5BC529CA" w14:textId="77777777" w:rsidR="00D01ECD" w:rsidRPr="00750617" w:rsidRDefault="00D01ECD" w:rsidP="00D01ECD">
      <w:pPr>
        <w:pStyle w:val="FootnoteText"/>
      </w:pPr>
      <w:r w:rsidRPr="00750617">
        <w:tab/>
      </w:r>
      <w:r w:rsidRPr="00750617">
        <w:rPr>
          <w:rStyle w:val="FootnoteReference"/>
        </w:rPr>
        <w:footnoteRef/>
      </w:r>
      <w:r w:rsidRPr="00750617">
        <w:tab/>
        <w:t>Privilégiant également la prévention, la Cour internationale de Justice dira, dans l’affaire relative au </w:t>
      </w:r>
      <w:r w:rsidRPr="00750617">
        <w:rPr>
          <w:i/>
        </w:rPr>
        <w:t xml:space="preserve">Projet </w:t>
      </w:r>
      <w:proofErr w:type="spellStart"/>
      <w:r w:rsidRPr="00750617">
        <w:rPr>
          <w:i/>
        </w:rPr>
        <w:t>Gabčikovo-Nagymaros</w:t>
      </w:r>
      <w:proofErr w:type="spellEnd"/>
      <w:r w:rsidRPr="00750617">
        <w:t>, « ne pas perdre de vue que, dans le domaine de la protection de l’environnement, la vigilance et la prévention s’imposent en raison du caractère souvent irréversible des dommages causés à l’environnement et des limites inhérentes au mécanisme même de réparation de ce type de dommages » (</w:t>
      </w:r>
      <w:r w:rsidRPr="00750617">
        <w:rPr>
          <w:i/>
        </w:rPr>
        <w:t xml:space="preserve">Projet </w:t>
      </w:r>
      <w:proofErr w:type="spellStart"/>
      <w:r w:rsidRPr="00750617">
        <w:rPr>
          <w:i/>
        </w:rPr>
        <w:t>Gabčíkovo-Nagymaros</w:t>
      </w:r>
      <w:proofErr w:type="spellEnd"/>
      <w:r w:rsidRPr="00750617">
        <w:rPr>
          <w:i/>
        </w:rPr>
        <w:t xml:space="preserve"> </w:t>
      </w:r>
      <w:r w:rsidRPr="00750617">
        <w:t>(</w:t>
      </w:r>
      <w:r w:rsidRPr="00750617">
        <w:rPr>
          <w:i/>
        </w:rPr>
        <w:t>Hongrie/Slovaquie</w:t>
      </w:r>
      <w:r w:rsidRPr="00750617">
        <w:t xml:space="preserve">), </w:t>
      </w:r>
      <w:r w:rsidRPr="00750617">
        <w:rPr>
          <w:i/>
        </w:rPr>
        <w:t>arrêt, C</w:t>
      </w:r>
      <w:r w:rsidRPr="00F22925">
        <w:rPr>
          <w:i/>
        </w:rPr>
        <w:t>.</w:t>
      </w:r>
      <w:r w:rsidRPr="00750617">
        <w:rPr>
          <w:i/>
        </w:rPr>
        <w:t>I</w:t>
      </w:r>
      <w:r w:rsidRPr="00F22925">
        <w:rPr>
          <w:i/>
        </w:rPr>
        <w:t>.</w:t>
      </w:r>
      <w:r w:rsidRPr="00750617">
        <w:rPr>
          <w:i/>
        </w:rPr>
        <w:t>J</w:t>
      </w:r>
      <w:r w:rsidRPr="00F22925">
        <w:rPr>
          <w:i/>
        </w:rPr>
        <w:t>.</w:t>
      </w:r>
      <w:r w:rsidRPr="00750617">
        <w:rPr>
          <w:i/>
        </w:rPr>
        <w:t xml:space="preserve"> Recueil 1997</w:t>
      </w:r>
      <w:r w:rsidRPr="00750617">
        <w:t>, p</w:t>
      </w:r>
      <w:r w:rsidRPr="00F22925">
        <w:t>.</w:t>
      </w:r>
      <w:r w:rsidRPr="00750617">
        <w:t> 7, à la page 78, par</w:t>
      </w:r>
      <w:r w:rsidRPr="00F22925">
        <w:t>.</w:t>
      </w:r>
      <w:r w:rsidRPr="00750617">
        <w:t> 140)</w:t>
      </w:r>
      <w:r w:rsidRPr="00F22925">
        <w:t>.</w:t>
      </w:r>
      <w:r w:rsidRPr="00750617">
        <w:t xml:space="preserve"> Voir aussi </w:t>
      </w:r>
      <w:r w:rsidRPr="00750617">
        <w:rPr>
          <w:i/>
          <w:iCs/>
        </w:rPr>
        <w:t>Certaines activités menées par le Nicaragua dans la région frontalière (Costa Rica c</w:t>
      </w:r>
      <w:r w:rsidRPr="00F22925">
        <w:rPr>
          <w:i/>
          <w:iCs/>
        </w:rPr>
        <w:t>.</w:t>
      </w:r>
      <w:r w:rsidRPr="00750617">
        <w:rPr>
          <w:i/>
          <w:iCs/>
        </w:rPr>
        <w:t xml:space="preserve"> Nicaragua) </w:t>
      </w:r>
      <w:r w:rsidRPr="00750617">
        <w:t>et</w:t>
      </w:r>
      <w:r w:rsidRPr="00750617">
        <w:rPr>
          <w:i/>
          <w:iCs/>
        </w:rPr>
        <w:t xml:space="preserve"> </w:t>
      </w:r>
      <w:r w:rsidRPr="00750617">
        <w:rPr>
          <w:i/>
        </w:rPr>
        <w:t>Construction d’une route au Costa Rica le long du fleuve San Juan (Nicaragua c</w:t>
      </w:r>
      <w:r w:rsidRPr="00F22925">
        <w:rPr>
          <w:i/>
        </w:rPr>
        <w:t>.</w:t>
      </w:r>
      <w:r w:rsidRPr="00750617">
        <w:rPr>
          <w:i/>
        </w:rPr>
        <w:t> Costa Rica)</w:t>
      </w:r>
      <w:r w:rsidRPr="00750617">
        <w:rPr>
          <w:iCs/>
        </w:rPr>
        <w:t xml:space="preserve"> (voir </w:t>
      </w:r>
      <w:r w:rsidRPr="00750617">
        <w:rPr>
          <w:i/>
        </w:rPr>
        <w:t xml:space="preserve">supra </w:t>
      </w:r>
      <w:r w:rsidRPr="00750617">
        <w:rPr>
          <w:iCs/>
        </w:rPr>
        <w:t xml:space="preserve">la note </w:t>
      </w:r>
      <w:r w:rsidRPr="00750617">
        <w:rPr>
          <w:iCs/>
        </w:rPr>
        <w:fldChar w:fldCharType="begin"/>
      </w:r>
      <w:r w:rsidRPr="00750617">
        <w:rPr>
          <w:iCs/>
        </w:rPr>
        <w:instrText xml:space="preserve"> NOTEREF _Ref81552631 \h </w:instrText>
      </w:r>
      <w:r>
        <w:rPr>
          <w:iCs/>
        </w:rPr>
        <w:instrText xml:space="preserve"> \* MERGEFORMAT </w:instrText>
      </w:r>
      <w:r w:rsidRPr="00750617">
        <w:rPr>
          <w:iCs/>
        </w:rPr>
      </w:r>
      <w:r w:rsidRPr="00750617">
        <w:rPr>
          <w:iCs/>
        </w:rPr>
        <w:fldChar w:fldCharType="separate"/>
      </w:r>
      <w:r>
        <w:rPr>
          <w:iCs/>
        </w:rPr>
        <w:t>58</w:t>
      </w:r>
      <w:r w:rsidRPr="00750617">
        <w:rPr>
          <w:iCs/>
        </w:rPr>
        <w:fldChar w:fldCharType="end"/>
      </w:r>
      <w:r w:rsidRPr="00750617">
        <w:rPr>
          <w:iCs/>
        </w:rPr>
        <w:t>), par</w:t>
      </w:r>
      <w:r w:rsidRPr="00F22925">
        <w:rPr>
          <w:iCs/>
        </w:rPr>
        <w:t>.</w:t>
      </w:r>
      <w:r w:rsidRPr="00750617">
        <w:rPr>
          <w:iCs/>
        </w:rPr>
        <w:t> 104</w:t>
      </w:r>
      <w:r w:rsidRPr="00F22925">
        <w:rPr>
          <w:iCs/>
        </w:rPr>
        <w:t>.</w:t>
      </w:r>
      <w:r w:rsidRPr="00750617">
        <w:t xml:space="preserve"> Le tribunal arbitral saisi de l’affaire relative au chemin de fer dit </w:t>
      </w:r>
      <w:proofErr w:type="spellStart"/>
      <w:r w:rsidRPr="00750617">
        <w:rPr>
          <w:i/>
        </w:rPr>
        <w:t>Iron</w:t>
      </w:r>
      <w:proofErr w:type="spellEnd"/>
      <w:r w:rsidRPr="00750617">
        <w:rPr>
          <w:i/>
        </w:rPr>
        <w:t xml:space="preserve"> Rhine</w:t>
      </w:r>
      <w:r w:rsidRPr="00750617">
        <w:t xml:space="preserve"> déclarera qu’à l’heure actuelle, le droit international de l’environnement met de plus en plus l’accent sur le devoir de prévention (</w:t>
      </w:r>
      <w:r w:rsidRPr="00750617">
        <w:rPr>
          <w:i/>
        </w:rPr>
        <w:t xml:space="preserve">Sentence arbitrale relative au chemin de fer dit </w:t>
      </w:r>
      <w:proofErr w:type="spellStart"/>
      <w:r w:rsidRPr="00750617">
        <w:rPr>
          <w:i/>
        </w:rPr>
        <w:t>Iron</w:t>
      </w:r>
      <w:proofErr w:type="spellEnd"/>
      <w:r w:rsidRPr="00750617">
        <w:rPr>
          <w:i/>
        </w:rPr>
        <w:t xml:space="preserve"> Rhine </w:t>
      </w:r>
      <w:r w:rsidRPr="00750617">
        <w:rPr>
          <w:i/>
          <w:spacing w:val="-2"/>
        </w:rPr>
        <w:t>(« </w:t>
      </w:r>
      <w:proofErr w:type="spellStart"/>
      <w:r w:rsidRPr="00750617">
        <w:rPr>
          <w:i/>
          <w:spacing w:val="-2"/>
        </w:rPr>
        <w:t>Ijzeren</w:t>
      </w:r>
      <w:proofErr w:type="spellEnd"/>
      <w:r w:rsidRPr="00750617">
        <w:rPr>
          <w:i/>
          <w:spacing w:val="-2"/>
        </w:rPr>
        <w:t xml:space="preserve"> Rijn ») entre le Royaume de Belgique et le Royaume des Pays-Bas</w:t>
      </w:r>
      <w:r w:rsidRPr="00750617">
        <w:rPr>
          <w:spacing w:val="-2"/>
        </w:rPr>
        <w:t>, décision du 24 mai 2005,</w:t>
      </w:r>
      <w:r w:rsidRPr="00750617">
        <w:t xml:space="preserve"> Nations Unies, </w:t>
      </w:r>
      <w:r w:rsidRPr="00750617">
        <w:rPr>
          <w:i/>
        </w:rPr>
        <w:t>Recueil des sentences arbitrales</w:t>
      </w:r>
      <w:r w:rsidRPr="00750617">
        <w:t>, vol</w:t>
      </w:r>
      <w:r w:rsidRPr="00F22925">
        <w:t>.</w:t>
      </w:r>
      <w:r w:rsidRPr="00750617">
        <w:t> XXVII, p</w:t>
      </w:r>
      <w:r w:rsidRPr="00F22925">
        <w:t>.</w:t>
      </w:r>
      <w:r w:rsidRPr="00750617">
        <w:t> 35 à 125, à la page 116, par</w:t>
      </w:r>
      <w:r w:rsidRPr="00F22925">
        <w:t>.</w:t>
      </w:r>
      <w:r w:rsidRPr="00750617">
        <w:t> 222)</w:t>
      </w:r>
      <w:r w:rsidRPr="00F22925">
        <w:t>.</w:t>
      </w:r>
    </w:p>
  </w:footnote>
  <w:footnote w:id="77">
    <w:p w14:paraId="35E1153B"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Licéité de la menace ou de l’emploi d’armes nucléaires, avis consultatif, C</w:t>
      </w:r>
      <w:r w:rsidRPr="00F22925">
        <w:rPr>
          <w:i/>
        </w:rPr>
        <w:t>.</w:t>
      </w:r>
      <w:r w:rsidRPr="00750617">
        <w:rPr>
          <w:i/>
        </w:rPr>
        <w:t>I</w:t>
      </w:r>
      <w:r w:rsidRPr="00F22925">
        <w:rPr>
          <w:i/>
        </w:rPr>
        <w:t>.</w:t>
      </w:r>
      <w:r w:rsidRPr="00750617">
        <w:rPr>
          <w:i/>
        </w:rPr>
        <w:t>J</w:t>
      </w:r>
      <w:r w:rsidRPr="00F22925">
        <w:rPr>
          <w:i/>
        </w:rPr>
        <w:t>.</w:t>
      </w:r>
      <w:r w:rsidRPr="00750617">
        <w:rPr>
          <w:i/>
        </w:rPr>
        <w:t xml:space="preserve"> Recueil 1996</w:t>
      </w:r>
      <w:r w:rsidRPr="00750617">
        <w:t>, p</w:t>
      </w:r>
      <w:r w:rsidRPr="00F22925">
        <w:t>.</w:t>
      </w:r>
      <w:r w:rsidRPr="00750617">
        <w:t> 226, aux pages 241 et 242, par</w:t>
      </w:r>
      <w:r w:rsidRPr="00F22925">
        <w:t>.</w:t>
      </w:r>
      <w:r w:rsidRPr="00750617">
        <w:t> 29</w:t>
      </w:r>
      <w:r w:rsidRPr="00F22925">
        <w:t>.</w:t>
      </w:r>
    </w:p>
  </w:footnote>
  <w:footnote w:id="78">
    <w:p w14:paraId="16F85306"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 xml:space="preserve">Projet </w:t>
      </w:r>
      <w:proofErr w:type="spellStart"/>
      <w:r w:rsidRPr="00750617">
        <w:rPr>
          <w:i/>
        </w:rPr>
        <w:t>Gabčíkovo-Nagymaros</w:t>
      </w:r>
      <w:proofErr w:type="spellEnd"/>
      <w:r w:rsidRPr="00750617">
        <w:rPr>
          <w:i/>
        </w:rPr>
        <w:t xml:space="preserve"> </w:t>
      </w:r>
      <w:r w:rsidRPr="00750617">
        <w:rPr>
          <w:iCs/>
        </w:rPr>
        <w:t xml:space="preserve">(voir </w:t>
      </w:r>
      <w:r w:rsidRPr="00F8021E">
        <w:rPr>
          <w:i/>
        </w:rPr>
        <w:t>supra</w:t>
      </w:r>
      <w:r w:rsidRPr="00750617">
        <w:rPr>
          <w:iCs/>
        </w:rPr>
        <w:t xml:space="preserve"> la note </w:t>
      </w:r>
      <w:r w:rsidRPr="00750617">
        <w:rPr>
          <w:iCs/>
        </w:rPr>
        <w:fldChar w:fldCharType="begin"/>
      </w:r>
      <w:r w:rsidRPr="00750617">
        <w:rPr>
          <w:iCs/>
        </w:rPr>
        <w:instrText xml:space="preserve"> NOTEREF _Ref456787330 \h </w:instrText>
      </w:r>
      <w:r>
        <w:rPr>
          <w:iCs/>
        </w:rPr>
        <w:instrText xml:space="preserve"> \* MERGEFORMAT </w:instrText>
      </w:r>
      <w:r w:rsidRPr="00750617">
        <w:rPr>
          <w:iCs/>
        </w:rPr>
      </w:r>
      <w:r w:rsidRPr="00750617">
        <w:rPr>
          <w:iCs/>
        </w:rPr>
        <w:fldChar w:fldCharType="separate"/>
      </w:r>
      <w:r>
        <w:rPr>
          <w:iCs/>
        </w:rPr>
        <w:t>84</w:t>
      </w:r>
      <w:r w:rsidRPr="00750617">
        <w:rPr>
          <w:iCs/>
        </w:rPr>
        <w:fldChar w:fldCharType="end"/>
      </w:r>
      <w:r w:rsidRPr="00750617">
        <w:rPr>
          <w:iCs/>
        </w:rPr>
        <w:t>)</w:t>
      </w:r>
      <w:r w:rsidRPr="00750617">
        <w:t>, p</w:t>
      </w:r>
      <w:r w:rsidRPr="00F22925">
        <w:t>.</w:t>
      </w:r>
      <w:r w:rsidRPr="00750617">
        <w:t> 41, par</w:t>
      </w:r>
      <w:r w:rsidRPr="00F22925">
        <w:t>.</w:t>
      </w:r>
      <w:r w:rsidRPr="00750617">
        <w:t xml:space="preserve"> 53 ; la Cour a cité le même paragraphe dans l’affaire relative à des </w:t>
      </w:r>
      <w:r w:rsidRPr="00750617">
        <w:rPr>
          <w:i/>
        </w:rPr>
        <w:t xml:space="preserve">Usines de pâte à papier sur le fleuve Uruguay </w:t>
      </w:r>
      <w:r w:rsidRPr="00750617">
        <w:t xml:space="preserve">(voir </w:t>
      </w:r>
      <w:r w:rsidRPr="00750617">
        <w:rPr>
          <w:i/>
          <w:iCs/>
        </w:rPr>
        <w:t>supra</w:t>
      </w:r>
      <w:r w:rsidRPr="00750617">
        <w:t xml:space="preserve"> la note </w:t>
      </w:r>
      <w:r w:rsidRPr="00750617">
        <w:fldChar w:fldCharType="begin"/>
      </w:r>
      <w:r w:rsidRPr="00750617">
        <w:instrText xml:space="preserve"> NOTEREF _Ref456789244 \h </w:instrText>
      </w:r>
      <w:r>
        <w:instrText xml:space="preserve"> \* MERGEFORMAT </w:instrText>
      </w:r>
      <w:r w:rsidRPr="00750617">
        <w:fldChar w:fldCharType="separate"/>
      </w:r>
      <w:r>
        <w:t>79</w:t>
      </w:r>
      <w:r w:rsidRPr="00750617">
        <w:fldChar w:fldCharType="end"/>
      </w:r>
      <w:r w:rsidRPr="00750617">
        <w:t>), p</w:t>
      </w:r>
      <w:r w:rsidRPr="00F22925">
        <w:t>.</w:t>
      </w:r>
      <w:r w:rsidRPr="00750617">
        <w:t> 78, par</w:t>
      </w:r>
      <w:r w:rsidRPr="00F22925">
        <w:t>.</w:t>
      </w:r>
      <w:r w:rsidRPr="00750617">
        <w:t> 193</w:t>
      </w:r>
      <w:r w:rsidRPr="00F22925">
        <w:t>.</w:t>
      </w:r>
    </w:p>
  </w:footnote>
  <w:footnote w:id="79">
    <w:p w14:paraId="4F95D7CF"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 xml:space="preserve">Chemin de fer dit </w:t>
      </w:r>
      <w:proofErr w:type="spellStart"/>
      <w:r w:rsidRPr="00750617">
        <w:rPr>
          <w:i/>
        </w:rPr>
        <w:t>Iron</w:t>
      </w:r>
      <w:proofErr w:type="spellEnd"/>
      <w:r w:rsidRPr="00750617">
        <w:rPr>
          <w:i/>
        </w:rPr>
        <w:t xml:space="preserve"> Rhine</w:t>
      </w:r>
      <w:r w:rsidRPr="00750617">
        <w:t xml:space="preserve"> </w:t>
      </w:r>
      <w:r w:rsidRPr="00750617">
        <w:rPr>
          <w:iCs/>
        </w:rPr>
        <w:t xml:space="preserve">(voir </w:t>
      </w:r>
      <w:r w:rsidRPr="00750617">
        <w:rPr>
          <w:i/>
        </w:rPr>
        <w:t>supra</w:t>
      </w:r>
      <w:r w:rsidRPr="00750617">
        <w:rPr>
          <w:iCs/>
        </w:rPr>
        <w:t xml:space="preserve"> la note </w:t>
      </w:r>
      <w:r w:rsidRPr="00750617">
        <w:rPr>
          <w:iCs/>
        </w:rPr>
        <w:fldChar w:fldCharType="begin"/>
      </w:r>
      <w:r w:rsidRPr="00750617">
        <w:rPr>
          <w:iCs/>
        </w:rPr>
        <w:instrText xml:space="preserve"> NOTEREF _Ref456787330 \h </w:instrText>
      </w:r>
      <w:r>
        <w:rPr>
          <w:iCs/>
        </w:rPr>
        <w:instrText xml:space="preserve"> \* MERGEFORMAT </w:instrText>
      </w:r>
      <w:r w:rsidRPr="00750617">
        <w:rPr>
          <w:iCs/>
        </w:rPr>
      </w:r>
      <w:r w:rsidRPr="00750617">
        <w:rPr>
          <w:iCs/>
        </w:rPr>
        <w:fldChar w:fldCharType="separate"/>
      </w:r>
      <w:r>
        <w:rPr>
          <w:iCs/>
        </w:rPr>
        <w:t>84</w:t>
      </w:r>
      <w:r w:rsidRPr="00750617">
        <w:rPr>
          <w:iCs/>
        </w:rPr>
        <w:fldChar w:fldCharType="end"/>
      </w:r>
      <w:r w:rsidRPr="00750617">
        <w:rPr>
          <w:iCs/>
        </w:rPr>
        <w:t>)</w:t>
      </w:r>
      <w:r w:rsidRPr="00750617">
        <w:t>, p</w:t>
      </w:r>
      <w:r w:rsidRPr="00F22925">
        <w:t>.</w:t>
      </w:r>
      <w:r w:rsidRPr="00750617">
        <w:t> 66 et 67, par</w:t>
      </w:r>
      <w:r w:rsidRPr="00F22925">
        <w:t>.</w:t>
      </w:r>
      <w:r w:rsidRPr="00750617">
        <w:t> 59</w:t>
      </w:r>
      <w:r w:rsidRPr="00F22925">
        <w:t>.</w:t>
      </w:r>
    </w:p>
  </w:footnote>
  <w:footnote w:id="80">
    <w:p w14:paraId="4284F6BE" w14:textId="77777777" w:rsidR="00D01ECD" w:rsidRPr="00750617" w:rsidRDefault="00D01ECD" w:rsidP="00D01ECD">
      <w:pPr>
        <w:pStyle w:val="FootnoteText"/>
      </w:pPr>
      <w:r w:rsidRPr="00750617">
        <w:tab/>
      </w:r>
      <w:r w:rsidRPr="00750617">
        <w:rPr>
          <w:rStyle w:val="FootnoteReference"/>
        </w:rPr>
        <w:footnoteRef/>
      </w:r>
      <w:r w:rsidRPr="00750617">
        <w:tab/>
        <w:t xml:space="preserve">Protocole à la Convention sur l’évaluation de l’impact sur l’environnement dans un contexte transfrontière, relatif à l’évaluation stratégique environnementale (Kiev, 21 mai 2003), Nations Unies, </w:t>
      </w:r>
      <w:r w:rsidRPr="00750617">
        <w:rPr>
          <w:i/>
          <w:iCs/>
        </w:rPr>
        <w:t>Recueil des Traités</w:t>
      </w:r>
      <w:r w:rsidRPr="00750617">
        <w:t>, vol</w:t>
      </w:r>
      <w:r w:rsidRPr="00F22925">
        <w:t>.</w:t>
      </w:r>
      <w:r w:rsidRPr="00750617">
        <w:t xml:space="preserve"> 2685, n</w:t>
      </w:r>
      <w:r w:rsidRPr="00750617">
        <w:rPr>
          <w:vertAlign w:val="superscript"/>
        </w:rPr>
        <w:t>o</w:t>
      </w:r>
      <w:r w:rsidRPr="00750617">
        <w:t> 34028, p</w:t>
      </w:r>
      <w:r w:rsidRPr="00F22925">
        <w:t>.</w:t>
      </w:r>
      <w:r w:rsidRPr="00750617">
        <w:t xml:space="preserve"> 140, art</w:t>
      </w:r>
      <w:r w:rsidRPr="00F22925">
        <w:t>.</w:t>
      </w:r>
      <w:r w:rsidRPr="00750617">
        <w:t> 2, par</w:t>
      </w:r>
      <w:r w:rsidRPr="00F22925">
        <w:t>.</w:t>
      </w:r>
      <w:r w:rsidRPr="00750617">
        <w:t> 6 et 7</w:t>
      </w:r>
      <w:r w:rsidRPr="00F22925">
        <w:t>.</w:t>
      </w:r>
    </w:p>
  </w:footnote>
  <w:footnote w:id="81">
    <w:p w14:paraId="01FAA900"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iCs/>
        </w:rPr>
        <w:t xml:space="preserve">Projet </w:t>
      </w:r>
      <w:proofErr w:type="spellStart"/>
      <w:r w:rsidRPr="00750617">
        <w:rPr>
          <w:i/>
          <w:iCs/>
        </w:rPr>
        <w:t>Gabčíkovo-Nagymaros</w:t>
      </w:r>
      <w:proofErr w:type="spellEnd"/>
      <w:r w:rsidRPr="00750617">
        <w:t xml:space="preserve"> (voir </w:t>
      </w:r>
      <w:r w:rsidRPr="00750617">
        <w:rPr>
          <w:i/>
          <w:iCs/>
        </w:rPr>
        <w:t>supra</w:t>
      </w:r>
      <w:r w:rsidRPr="00750617">
        <w:t xml:space="preserve"> la note </w:t>
      </w:r>
      <w:r w:rsidRPr="00750617">
        <w:fldChar w:fldCharType="begin"/>
      </w:r>
      <w:r w:rsidRPr="00750617">
        <w:instrText xml:space="preserve"> NOTEREF _Ref456787330 \h </w:instrText>
      </w:r>
      <w:r>
        <w:instrText xml:space="preserve"> \* MERGEFORMAT </w:instrText>
      </w:r>
      <w:r w:rsidRPr="00750617">
        <w:fldChar w:fldCharType="separate"/>
      </w:r>
      <w:r>
        <w:t>84</w:t>
      </w:r>
      <w:r w:rsidRPr="00750617">
        <w:fldChar w:fldCharType="end"/>
      </w:r>
      <w:r w:rsidRPr="00750617">
        <w:t>), par</w:t>
      </w:r>
      <w:r w:rsidRPr="00F22925">
        <w:t>.</w:t>
      </w:r>
      <w:r w:rsidRPr="00750617">
        <w:t xml:space="preserve"> 140</w:t>
      </w:r>
      <w:r w:rsidRPr="00F22925">
        <w:t>.</w:t>
      </w:r>
    </w:p>
  </w:footnote>
  <w:footnote w:id="82">
    <w:p w14:paraId="08320D8A"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C</w:t>
      </w:r>
      <w:r w:rsidRPr="00F22925">
        <w:rPr>
          <w:i/>
        </w:rPr>
        <w:t>.</w:t>
      </w:r>
      <w:r w:rsidRPr="00750617">
        <w:rPr>
          <w:i/>
        </w:rPr>
        <w:t>I</w:t>
      </w:r>
      <w:r w:rsidRPr="00F22925">
        <w:rPr>
          <w:i/>
        </w:rPr>
        <w:t>.</w:t>
      </w:r>
      <w:r w:rsidRPr="00750617">
        <w:rPr>
          <w:i/>
        </w:rPr>
        <w:t>J</w:t>
      </w:r>
      <w:r w:rsidRPr="00F22925">
        <w:rPr>
          <w:i/>
        </w:rPr>
        <w:t>.</w:t>
      </w:r>
      <w:r w:rsidRPr="00750617">
        <w:rPr>
          <w:i/>
        </w:rPr>
        <w:t xml:space="preserve"> Recueil 2015</w:t>
      </w:r>
      <w:r w:rsidRPr="00750617">
        <w:t xml:space="preserve"> (voir </w:t>
      </w:r>
      <w:r w:rsidRPr="00750617">
        <w:rPr>
          <w:i/>
          <w:iCs/>
        </w:rPr>
        <w:t>supra</w:t>
      </w:r>
      <w:r w:rsidRPr="00750617">
        <w:t xml:space="preserve"> la note </w:t>
      </w:r>
      <w:r w:rsidRPr="00750617">
        <w:fldChar w:fldCharType="begin"/>
      </w:r>
      <w:r w:rsidRPr="00750617">
        <w:instrText xml:space="preserve"> NOTEREF _Ref81552631 \h </w:instrText>
      </w:r>
      <w:r>
        <w:instrText xml:space="preserve"> \* MERGEFORMAT </w:instrText>
      </w:r>
      <w:r w:rsidRPr="00750617">
        <w:fldChar w:fldCharType="separate"/>
      </w:r>
      <w:r>
        <w:t>58</w:t>
      </w:r>
      <w:r w:rsidRPr="00750617">
        <w:fldChar w:fldCharType="end"/>
      </w:r>
      <w:r w:rsidRPr="00750617">
        <w:fldChar w:fldCharType="begin"/>
      </w:r>
      <w:r w:rsidRPr="00750617">
        <w:instrText xml:space="preserve"> NOTEREF _Ref74823758 \h </w:instrText>
      </w:r>
      <w:r>
        <w:instrText xml:space="preserve"> \* MERGEFORMAT </w:instrText>
      </w:r>
      <w:r w:rsidRPr="00750617">
        <w:fldChar w:fldCharType="separate"/>
      </w:r>
      <w:r>
        <w:rPr>
          <w:b/>
          <w:bCs/>
          <w:lang w:val="fr-FR"/>
        </w:rPr>
        <w:t>Erreur ! Signet non défini.</w:t>
      </w:r>
      <w:r w:rsidRPr="00750617">
        <w:fldChar w:fldCharType="end"/>
      </w:r>
      <w:r w:rsidRPr="00750617">
        <w:t>), par</w:t>
      </w:r>
      <w:r w:rsidRPr="00F22925">
        <w:t>.</w:t>
      </w:r>
      <w:r w:rsidRPr="00750617">
        <w:t> 153</w:t>
      </w:r>
      <w:r w:rsidRPr="00F22925">
        <w:t>.</w:t>
      </w:r>
    </w:p>
  </w:footnote>
  <w:footnote w:id="83">
    <w:p w14:paraId="033E24E1" w14:textId="77777777" w:rsidR="00D01ECD" w:rsidRPr="00750617" w:rsidRDefault="00D01ECD" w:rsidP="00D01ECD">
      <w:pPr>
        <w:pStyle w:val="FootnoteText"/>
      </w:pPr>
      <w:r w:rsidRPr="00750617">
        <w:tab/>
      </w:r>
      <w:r w:rsidRPr="00750617">
        <w:rPr>
          <w:rStyle w:val="FootnoteReference"/>
        </w:rPr>
        <w:footnoteRef/>
      </w:r>
      <w:r w:rsidRPr="00750617">
        <w:tab/>
        <w:t>Ibid</w:t>
      </w:r>
      <w:r w:rsidRPr="00F22925">
        <w:t>.</w:t>
      </w:r>
      <w:r w:rsidRPr="00750617">
        <w:t>, par</w:t>
      </w:r>
      <w:r w:rsidRPr="00F22925">
        <w:t>.</w:t>
      </w:r>
      <w:r w:rsidRPr="00750617">
        <w:t> 168</w:t>
      </w:r>
      <w:r w:rsidRPr="00F22925">
        <w:t>.</w:t>
      </w:r>
    </w:p>
  </w:footnote>
  <w:footnote w:id="84">
    <w:p w14:paraId="021989A0" w14:textId="77777777" w:rsidR="00D01ECD" w:rsidRPr="00750617" w:rsidRDefault="00D01ECD" w:rsidP="00D01ECD">
      <w:pPr>
        <w:pStyle w:val="FootnoteText"/>
      </w:pPr>
      <w:r w:rsidRPr="00750617">
        <w:tab/>
      </w:r>
      <w:r w:rsidRPr="00750617">
        <w:rPr>
          <w:rStyle w:val="FootnoteReference"/>
        </w:rPr>
        <w:footnoteRef/>
      </w:r>
      <w:r w:rsidRPr="00750617">
        <w:tab/>
        <w:t>Ibid</w:t>
      </w:r>
      <w:r w:rsidRPr="00F22925">
        <w:t>.</w:t>
      </w:r>
      <w:r w:rsidRPr="00750617">
        <w:t xml:space="preserve">, opinion individuelle du juge </w:t>
      </w:r>
      <w:proofErr w:type="spellStart"/>
      <w:r w:rsidRPr="00750617">
        <w:t>Hisashi</w:t>
      </w:r>
      <w:proofErr w:type="spellEnd"/>
      <w:r w:rsidRPr="00750617">
        <w:t xml:space="preserve"> </w:t>
      </w:r>
      <w:proofErr w:type="spellStart"/>
      <w:r w:rsidRPr="00750617">
        <w:t>Owada</w:t>
      </w:r>
      <w:proofErr w:type="spellEnd"/>
      <w:r w:rsidRPr="00750617">
        <w:t>, par</w:t>
      </w:r>
      <w:r w:rsidRPr="00F22925">
        <w:t>.</w:t>
      </w:r>
      <w:r w:rsidRPr="00750617">
        <w:t> 18</w:t>
      </w:r>
      <w:r w:rsidRPr="00F22925">
        <w:t>.</w:t>
      </w:r>
    </w:p>
  </w:footnote>
  <w:footnote w:id="85">
    <w:p w14:paraId="28C164B2"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bCs/>
          <w:i/>
        </w:rPr>
        <w:t>Usines de pâte à papier</w:t>
      </w:r>
      <w:r w:rsidRPr="00750617">
        <w:t xml:space="preserve"> </w:t>
      </w:r>
      <w:r w:rsidRPr="00750617">
        <w:rPr>
          <w:i/>
        </w:rPr>
        <w:t>sur le fleuve Uruguay</w:t>
      </w:r>
      <w:r w:rsidRPr="00750617">
        <w:t xml:space="preserve"> (voir </w:t>
      </w:r>
      <w:r w:rsidRPr="00750617">
        <w:rPr>
          <w:i/>
          <w:iCs/>
        </w:rPr>
        <w:t>supra</w:t>
      </w:r>
      <w:r w:rsidRPr="00750617">
        <w:t xml:space="preserve"> la note </w:t>
      </w:r>
      <w:r w:rsidRPr="00750617">
        <w:fldChar w:fldCharType="begin"/>
      </w:r>
      <w:r w:rsidRPr="00750617">
        <w:instrText xml:space="preserve"> NOTEREF _Ref456789244 \h </w:instrText>
      </w:r>
      <w:r>
        <w:instrText xml:space="preserve"> \* MERGEFORMAT </w:instrText>
      </w:r>
      <w:r w:rsidRPr="00750617">
        <w:fldChar w:fldCharType="separate"/>
      </w:r>
      <w:r>
        <w:t>79</w:t>
      </w:r>
      <w:r w:rsidRPr="00750617">
        <w:fldChar w:fldCharType="end"/>
      </w:r>
      <w:r w:rsidRPr="00750617">
        <w:t>), par</w:t>
      </w:r>
      <w:r w:rsidRPr="00F22925">
        <w:t>.</w:t>
      </w:r>
      <w:r w:rsidRPr="00750617">
        <w:t> 204</w:t>
      </w:r>
      <w:r w:rsidRPr="00F22925">
        <w:t>.</w:t>
      </w:r>
    </w:p>
  </w:footnote>
  <w:footnote w:id="86">
    <w:p w14:paraId="1E40D2A0" w14:textId="77777777" w:rsidR="00D01ECD" w:rsidRPr="00750617" w:rsidRDefault="00D01ECD" w:rsidP="00D01ECD">
      <w:pPr>
        <w:pStyle w:val="FootnoteText"/>
      </w:pPr>
      <w:r w:rsidRPr="00750617">
        <w:tab/>
      </w:r>
      <w:r w:rsidRPr="00750617">
        <w:rPr>
          <w:rStyle w:val="FootnoteReference"/>
        </w:rPr>
        <w:footnoteRef/>
      </w:r>
      <w:r w:rsidRPr="00750617">
        <w:tab/>
        <w:t xml:space="preserve">Tribunal international du droit de la mer, </w:t>
      </w:r>
      <w:r w:rsidRPr="00750617">
        <w:rPr>
          <w:i/>
        </w:rPr>
        <w:t xml:space="preserve">Responsabilités et obligations des États qui patronnent des personnes et des entités dans le cadre d’activités menées dans la Zone </w:t>
      </w:r>
      <w:r w:rsidRPr="00750617">
        <w:t>(</w:t>
      </w:r>
      <w:r w:rsidRPr="00750617">
        <w:rPr>
          <w:i/>
        </w:rPr>
        <w:t>Demande d’avis consultatif soumise à la Chambre pour le règlement des différends relatifs aux fonds marins</w:t>
      </w:r>
      <w:r w:rsidRPr="00750617">
        <w:t>), avis consultatif, 1</w:t>
      </w:r>
      <w:r w:rsidRPr="00750617">
        <w:rPr>
          <w:vertAlign w:val="superscript"/>
        </w:rPr>
        <w:t>er</w:t>
      </w:r>
      <w:r w:rsidRPr="00750617">
        <w:t xml:space="preserve"> février 2011, </w:t>
      </w:r>
      <w:r w:rsidRPr="00750617">
        <w:rPr>
          <w:i/>
        </w:rPr>
        <w:t>TIDM Recueil 2011</w:t>
      </w:r>
      <w:r w:rsidRPr="00750617">
        <w:t>, p</w:t>
      </w:r>
      <w:r w:rsidRPr="00F22925">
        <w:t>.</w:t>
      </w:r>
      <w:r w:rsidRPr="00750617">
        <w:t> 10, au paragraphe 145</w:t>
      </w:r>
      <w:r w:rsidRPr="00F22925">
        <w:t>.</w:t>
      </w:r>
    </w:p>
  </w:footnote>
  <w:footnote w:id="87">
    <w:p w14:paraId="37DCFC22" w14:textId="77777777" w:rsidR="00D01ECD" w:rsidRPr="00750617" w:rsidRDefault="00D01ECD" w:rsidP="00D01ECD">
      <w:pPr>
        <w:pStyle w:val="FootnoteText"/>
      </w:pPr>
      <w:r w:rsidRPr="00750617">
        <w:tab/>
      </w:r>
      <w:r w:rsidRPr="00750617">
        <w:rPr>
          <w:rStyle w:val="FootnoteReference"/>
        </w:rPr>
        <w:footnoteRef/>
      </w:r>
      <w:r w:rsidRPr="00750617">
        <w:tab/>
        <w:t xml:space="preserve">Convention sur l’évaluation de l’impact sur l’environnement dans un contexte transfrontière (Espoo, 25 février 1991), Nations Unies, </w:t>
      </w:r>
      <w:r w:rsidRPr="00750617">
        <w:rPr>
          <w:i/>
        </w:rPr>
        <w:t>Recueil des Traités</w:t>
      </w:r>
      <w:r w:rsidRPr="00750617">
        <w:t>, vol</w:t>
      </w:r>
      <w:r w:rsidRPr="00F22925">
        <w:t>.</w:t>
      </w:r>
      <w:r w:rsidRPr="00750617">
        <w:t xml:space="preserve"> 1989, </w:t>
      </w:r>
      <w:r w:rsidRPr="00750617">
        <w:rPr>
          <w:rFonts w:eastAsia="MS Mincho"/>
        </w:rPr>
        <w:t>n</w:t>
      </w:r>
      <w:r w:rsidRPr="00750617">
        <w:rPr>
          <w:rFonts w:eastAsia="MS Mincho"/>
          <w:vertAlign w:val="superscript"/>
        </w:rPr>
        <w:t>o</w:t>
      </w:r>
      <w:r w:rsidRPr="00750617">
        <w:t> 34028, p</w:t>
      </w:r>
      <w:r w:rsidRPr="00F22925">
        <w:t>.</w:t>
      </w:r>
      <w:r w:rsidRPr="00750617">
        <w:t> 309</w:t>
      </w:r>
      <w:r w:rsidRPr="00F22925">
        <w:t>.</w:t>
      </w:r>
    </w:p>
  </w:footnote>
  <w:footnote w:id="88">
    <w:p w14:paraId="33C188CB"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Usines de pâte à papier sur le fleuve Uruguay</w:t>
      </w:r>
      <w:r w:rsidRPr="00750617">
        <w:t xml:space="preserve"> (voir </w:t>
      </w:r>
      <w:r w:rsidRPr="00750617">
        <w:rPr>
          <w:i/>
          <w:iCs/>
        </w:rPr>
        <w:t>supra</w:t>
      </w:r>
      <w:r w:rsidRPr="00750617">
        <w:t xml:space="preserve"> la note </w:t>
      </w:r>
      <w:r w:rsidRPr="00750617">
        <w:fldChar w:fldCharType="begin"/>
      </w:r>
      <w:r w:rsidRPr="00750617">
        <w:instrText xml:space="preserve"> NOTEREF _Ref456789244 \h </w:instrText>
      </w:r>
      <w:r>
        <w:instrText xml:space="preserve"> \* MERGEFORMAT </w:instrText>
      </w:r>
      <w:r w:rsidRPr="00750617">
        <w:fldChar w:fldCharType="separate"/>
      </w:r>
      <w:r>
        <w:t>79</w:t>
      </w:r>
      <w:r w:rsidRPr="00750617">
        <w:fldChar w:fldCharType="end"/>
      </w:r>
      <w:r w:rsidRPr="00750617">
        <w:t>), par</w:t>
      </w:r>
      <w:r w:rsidRPr="00F22925">
        <w:t>.</w:t>
      </w:r>
      <w:r w:rsidRPr="00750617">
        <w:t> 204</w:t>
      </w:r>
      <w:r w:rsidRPr="00F22925">
        <w:t>.</w:t>
      </w:r>
    </w:p>
  </w:footnote>
  <w:footnote w:id="89">
    <w:p w14:paraId="22A9AD36" w14:textId="77777777" w:rsidR="00D01ECD" w:rsidRPr="00750617" w:rsidRDefault="00D01ECD" w:rsidP="00D01ECD">
      <w:pPr>
        <w:pStyle w:val="FootnoteText"/>
      </w:pPr>
      <w:r w:rsidRPr="00750617">
        <w:tab/>
      </w:r>
      <w:r w:rsidRPr="00750617">
        <w:rPr>
          <w:rStyle w:val="FootnoteReference"/>
        </w:rPr>
        <w:footnoteRef/>
      </w:r>
      <w:r w:rsidRPr="00750617">
        <w:tab/>
        <w:t>La Commission a souvent employé ce terme dans ses travaux, notamment dans les articles sur la prévention des dommages transfrontières résultant d’activités dangereuses (2001)</w:t>
      </w:r>
      <w:r w:rsidRPr="00F22925">
        <w:t>.</w:t>
      </w:r>
      <w:r w:rsidRPr="00750617">
        <w:t xml:space="preserve"> Dans ce cas, elle a choisi de ne pas le définir, considérant que cette question relevait d’une appréciation de fait et non de droit (voir le commentaire général, par</w:t>
      </w:r>
      <w:r w:rsidRPr="00F22925">
        <w:t>.</w:t>
      </w:r>
      <w:r w:rsidRPr="00750617">
        <w:t xml:space="preserve"> 4), </w:t>
      </w:r>
      <w:r w:rsidRPr="00750617">
        <w:rPr>
          <w:i/>
        </w:rPr>
        <w:t>Annuaire</w:t>
      </w:r>
      <w:r w:rsidRPr="00750617">
        <w:t> </w:t>
      </w:r>
      <w:r w:rsidRPr="00750617">
        <w:rPr>
          <w:i/>
        </w:rPr>
        <w:t>…</w:t>
      </w:r>
      <w:r w:rsidRPr="00750617">
        <w:t> </w:t>
      </w:r>
      <w:r w:rsidRPr="00750617">
        <w:rPr>
          <w:i/>
        </w:rPr>
        <w:t>2001</w:t>
      </w:r>
      <w:r w:rsidRPr="00750617">
        <w:t>, vol</w:t>
      </w:r>
      <w:r w:rsidRPr="00F22925">
        <w:t>.</w:t>
      </w:r>
      <w:r w:rsidRPr="00750617">
        <w:t> II (2</w:t>
      </w:r>
      <w:r w:rsidRPr="00750617">
        <w:rPr>
          <w:vertAlign w:val="superscript"/>
        </w:rPr>
        <w:t>e</w:t>
      </w:r>
      <w:r w:rsidRPr="00750617">
        <w:t> partie) et rectificatif, chap</w:t>
      </w:r>
      <w:r w:rsidRPr="00F22925">
        <w:t>.</w:t>
      </w:r>
      <w:r w:rsidRPr="00750617">
        <w:t> V, sect</w:t>
      </w:r>
      <w:r w:rsidRPr="00F22925">
        <w:t>.</w:t>
      </w:r>
      <w:r w:rsidRPr="00750617">
        <w:t> E)</w:t>
      </w:r>
      <w:r w:rsidRPr="00F22925">
        <w:t>.</w:t>
      </w:r>
      <w:r w:rsidRPr="00750617">
        <w:t xml:space="preserve"> Voir, par exemple, les paragraphes 4 et 7 du commentaire de l’article 2 des articles sur la prévention des dommages transfrontières résultant d’activités dangereuses (ibid</w:t>
      </w:r>
      <w:r w:rsidRPr="00F22925">
        <w:t>.</w:t>
      </w:r>
      <w:r w:rsidRPr="00750617">
        <w:t>)</w:t>
      </w:r>
      <w:r w:rsidRPr="00F22925">
        <w:t>.</w:t>
      </w:r>
      <w:r w:rsidRPr="00750617">
        <w:t xml:space="preserve"> Voir aussi le commentaire des principes sur la répartition des pertes en cas de dommage transfrontière découlant d’activités dangereuses (commentaire du principe 2, par</w:t>
      </w:r>
      <w:r w:rsidRPr="00F22925">
        <w:t>.</w:t>
      </w:r>
      <w:r w:rsidRPr="00750617">
        <w:t> 1 à 3</w:t>
      </w:r>
      <w:r w:rsidRPr="00F22925">
        <w:t>.</w:t>
      </w:r>
      <w:r w:rsidRPr="00750617">
        <w:t xml:space="preserve"> </w:t>
      </w:r>
      <w:r w:rsidRPr="00750617">
        <w:rPr>
          <w:i/>
        </w:rPr>
        <w:t>Annuaire …</w:t>
      </w:r>
      <w:r w:rsidRPr="00750617">
        <w:t> </w:t>
      </w:r>
      <w:r w:rsidRPr="00750617">
        <w:rPr>
          <w:i/>
        </w:rPr>
        <w:t>2006</w:t>
      </w:r>
      <w:r w:rsidRPr="00750617">
        <w:t>, vol</w:t>
      </w:r>
      <w:r w:rsidRPr="00F22925">
        <w:t>.</w:t>
      </w:r>
      <w:r w:rsidRPr="00750617">
        <w:t> II (2</w:t>
      </w:r>
      <w:r w:rsidRPr="00750617">
        <w:rPr>
          <w:vertAlign w:val="superscript"/>
        </w:rPr>
        <w:t>e</w:t>
      </w:r>
      <w:r w:rsidRPr="00750617">
        <w:t xml:space="preserve"> partie), chap</w:t>
      </w:r>
      <w:r w:rsidRPr="00F22925">
        <w:t>.</w:t>
      </w:r>
      <w:r w:rsidRPr="00750617">
        <w:t> V, sect</w:t>
      </w:r>
      <w:r w:rsidRPr="00F22925">
        <w:t>.</w:t>
      </w:r>
      <w:r w:rsidRPr="00750617">
        <w:t> E)</w:t>
      </w:r>
      <w:r w:rsidRPr="00F22925">
        <w:t>.</w:t>
      </w:r>
    </w:p>
  </w:footnote>
  <w:footnote w:id="90">
    <w:p w14:paraId="6266C5CF" w14:textId="77777777" w:rsidR="00D01ECD" w:rsidRPr="00750617" w:rsidRDefault="00D01ECD" w:rsidP="00D01ECD">
      <w:pPr>
        <w:pStyle w:val="FootnoteText"/>
      </w:pPr>
      <w:r w:rsidRPr="00750617">
        <w:tab/>
      </w:r>
      <w:r w:rsidRPr="00750617">
        <w:rPr>
          <w:rStyle w:val="FootnoteReference"/>
        </w:rPr>
        <w:footnoteRef/>
      </w:r>
      <w:r w:rsidRPr="00750617">
        <w:tab/>
        <w:t xml:space="preserve">Voir </w:t>
      </w:r>
      <w:r w:rsidRPr="00750617">
        <w:rPr>
          <w:i/>
          <w:iCs/>
        </w:rPr>
        <w:t xml:space="preserve">infra </w:t>
      </w:r>
      <w:r w:rsidRPr="00750617">
        <w:t>le projet de directive 7</w:t>
      </w:r>
      <w:r w:rsidRPr="00F22925">
        <w:t>.</w:t>
      </w:r>
    </w:p>
  </w:footnote>
  <w:footnote w:id="91">
    <w:p w14:paraId="1BBF8432" w14:textId="77777777" w:rsidR="00D01ECD" w:rsidRPr="00750617" w:rsidRDefault="00D01ECD" w:rsidP="00D01ECD">
      <w:pPr>
        <w:pStyle w:val="FootnoteText"/>
      </w:pPr>
      <w:r w:rsidRPr="00750617">
        <w:tab/>
      </w:r>
      <w:r w:rsidRPr="00750617">
        <w:rPr>
          <w:rStyle w:val="FootnoteReference"/>
        </w:rPr>
        <w:footnoteRef/>
      </w:r>
      <w:r w:rsidRPr="00750617">
        <w:tab/>
        <w:t xml:space="preserve">Convention sur l’accès à l’information, la participation du public au processus décisionnel et l’accès à la justice en matière d’environnement (Aarhus, 28 juin 1998), Nations Unies, </w:t>
      </w:r>
      <w:r w:rsidRPr="00750617">
        <w:rPr>
          <w:i/>
        </w:rPr>
        <w:t>Recueil des Traités</w:t>
      </w:r>
      <w:r w:rsidRPr="00750617">
        <w:t>, vol</w:t>
      </w:r>
      <w:r w:rsidRPr="00F22925">
        <w:t>.</w:t>
      </w:r>
      <w:r w:rsidRPr="00750617">
        <w:t> 2161, n</w:t>
      </w:r>
      <w:r w:rsidRPr="00750617">
        <w:rPr>
          <w:vertAlign w:val="superscript"/>
        </w:rPr>
        <w:t>o</w:t>
      </w:r>
      <w:r w:rsidRPr="00750617">
        <w:t> 37770, p</w:t>
      </w:r>
      <w:r w:rsidRPr="00F22925">
        <w:t>.</w:t>
      </w:r>
      <w:r w:rsidRPr="00750617">
        <w:t> 447</w:t>
      </w:r>
      <w:r w:rsidRPr="00F22925">
        <w:t>.</w:t>
      </w:r>
    </w:p>
  </w:footnote>
  <w:footnote w:id="92">
    <w:p w14:paraId="1D3F3E85" w14:textId="77777777" w:rsidR="00D01ECD" w:rsidRPr="00750617" w:rsidRDefault="00D01ECD" w:rsidP="00D01ECD">
      <w:pPr>
        <w:pStyle w:val="FootnoteText"/>
      </w:pPr>
      <w:r w:rsidRPr="00750617">
        <w:tab/>
      </w:r>
      <w:r w:rsidRPr="00750617">
        <w:rPr>
          <w:rStyle w:val="FootnoteReference"/>
        </w:rPr>
        <w:footnoteRef/>
      </w:r>
      <w:r w:rsidRPr="00750617">
        <w:tab/>
        <w:t>Art</w:t>
      </w:r>
      <w:r w:rsidRPr="00F22925">
        <w:t>.</w:t>
      </w:r>
      <w:r w:rsidRPr="00750617">
        <w:t> 2, par</w:t>
      </w:r>
      <w:r w:rsidRPr="00F22925">
        <w:t>.</w:t>
      </w:r>
      <w:r w:rsidRPr="00750617">
        <w:t> 6 et 7</w:t>
      </w:r>
      <w:r w:rsidRPr="00F22925">
        <w:t>.</w:t>
      </w:r>
    </w:p>
  </w:footnote>
  <w:footnote w:id="93">
    <w:p w14:paraId="1E4E2B51" w14:textId="77777777" w:rsidR="00D01ECD" w:rsidRPr="00750617" w:rsidRDefault="00D01ECD" w:rsidP="00D01ECD">
      <w:pPr>
        <w:pStyle w:val="FootnoteText"/>
      </w:pPr>
      <w:r w:rsidRPr="00750617">
        <w:tab/>
      </w:r>
      <w:r w:rsidRPr="00750617">
        <w:rPr>
          <w:rStyle w:val="FootnoteReference"/>
        </w:rPr>
        <w:footnoteRef/>
      </w:r>
      <w:r w:rsidRPr="00750617">
        <w:tab/>
        <w:t>Art</w:t>
      </w:r>
      <w:r w:rsidRPr="00F22925">
        <w:t>.</w:t>
      </w:r>
      <w:r w:rsidRPr="00750617">
        <w:t> 5 et 6</w:t>
      </w:r>
      <w:r w:rsidRPr="00F22925">
        <w:t>.</w:t>
      </w:r>
      <w:r w:rsidRPr="00750617">
        <w:t xml:space="preserve"> Pour le texte des articles et des commentaires y relatifs adoptés par la Commission, voir </w:t>
      </w:r>
      <w:r w:rsidRPr="00750617">
        <w:rPr>
          <w:i/>
          <w:iCs/>
        </w:rPr>
        <w:t>Annuaire … 1994</w:t>
      </w:r>
      <w:r w:rsidRPr="00750617">
        <w:t>, vol</w:t>
      </w:r>
      <w:r w:rsidRPr="00F22925">
        <w:t>.</w:t>
      </w:r>
      <w:r w:rsidRPr="00750617">
        <w:t> II (2</w:t>
      </w:r>
      <w:r w:rsidRPr="00750617">
        <w:rPr>
          <w:vertAlign w:val="superscript"/>
        </w:rPr>
        <w:t>e</w:t>
      </w:r>
      <w:r w:rsidRPr="00750617">
        <w:t> partie), chap</w:t>
      </w:r>
      <w:r w:rsidRPr="00F22925">
        <w:t>.</w:t>
      </w:r>
      <w:r w:rsidRPr="00750617">
        <w:t> III, sect</w:t>
      </w:r>
      <w:r w:rsidRPr="00F22925">
        <w:t>.</w:t>
      </w:r>
      <w:r w:rsidRPr="00750617">
        <w:t> E</w:t>
      </w:r>
      <w:r w:rsidRPr="00F22925">
        <w:t>.</w:t>
      </w:r>
    </w:p>
  </w:footnote>
  <w:footnote w:id="94">
    <w:p w14:paraId="37E08257" w14:textId="77777777" w:rsidR="00D01ECD" w:rsidRPr="00750617" w:rsidRDefault="00D01ECD" w:rsidP="00D01ECD">
      <w:pPr>
        <w:pStyle w:val="FootnoteText"/>
      </w:pPr>
      <w:r w:rsidRPr="00750617">
        <w:tab/>
      </w:r>
      <w:r w:rsidRPr="00750617">
        <w:rPr>
          <w:rStyle w:val="FootnoteReference"/>
        </w:rPr>
        <w:footnoteRef/>
      </w:r>
      <w:r w:rsidRPr="00750617">
        <w:tab/>
        <w:t xml:space="preserve">Résolution </w:t>
      </w:r>
      <w:hyperlink r:id="rId37" w:history="1">
        <w:r w:rsidRPr="00750617">
          <w:t>63/124</w:t>
        </w:r>
      </w:hyperlink>
      <w:r w:rsidRPr="00750617">
        <w:t xml:space="preserve"> de l’Assemblée générale en date du 11 décembre 2008, annexe, art</w:t>
      </w:r>
      <w:r w:rsidRPr="00F22925">
        <w:t>.</w:t>
      </w:r>
      <w:r w:rsidRPr="00750617">
        <w:t> 4 et 5</w:t>
      </w:r>
      <w:r w:rsidRPr="00F22925">
        <w:t>.</w:t>
      </w:r>
      <w:r w:rsidRPr="00750617">
        <w:t xml:space="preserve"> Pour le texte des articles et des commentaires y relatifs adoptés par la Commission, voir </w:t>
      </w:r>
      <w:r w:rsidRPr="00750617">
        <w:rPr>
          <w:i/>
        </w:rPr>
        <w:t>Annuaire … 2</w:t>
      </w:r>
      <w:r w:rsidRPr="00750617">
        <w:rPr>
          <w:i/>
          <w:iCs/>
        </w:rPr>
        <w:t>008</w:t>
      </w:r>
      <w:r w:rsidRPr="00750617">
        <w:t>, vol</w:t>
      </w:r>
      <w:r w:rsidRPr="00F22925">
        <w:t>.</w:t>
      </w:r>
      <w:r w:rsidRPr="00750617">
        <w:t> II (2</w:t>
      </w:r>
      <w:r w:rsidRPr="00750617">
        <w:rPr>
          <w:vertAlign w:val="superscript"/>
        </w:rPr>
        <w:t>e</w:t>
      </w:r>
      <w:r w:rsidRPr="00750617">
        <w:t> partie), chap</w:t>
      </w:r>
      <w:r w:rsidRPr="00F22925">
        <w:t>.</w:t>
      </w:r>
      <w:r w:rsidRPr="00750617">
        <w:t> IV, sect</w:t>
      </w:r>
      <w:r w:rsidRPr="00F22925">
        <w:t>.</w:t>
      </w:r>
      <w:r w:rsidRPr="00750617">
        <w:t> E</w:t>
      </w:r>
      <w:r w:rsidRPr="00F22925">
        <w:t>.</w:t>
      </w:r>
    </w:p>
  </w:footnote>
  <w:footnote w:id="95">
    <w:p w14:paraId="3AF51B1F" w14:textId="77777777" w:rsidR="00D01ECD" w:rsidRPr="00750617" w:rsidRDefault="00D01ECD" w:rsidP="00D01ECD">
      <w:pPr>
        <w:pStyle w:val="FootnoteText"/>
      </w:pPr>
      <w:r w:rsidRPr="00750617">
        <w:tab/>
      </w:r>
      <w:r w:rsidRPr="00750617">
        <w:rPr>
          <w:rStyle w:val="FootnoteReference"/>
        </w:rPr>
        <w:footnoteRef/>
      </w:r>
      <w:r w:rsidRPr="00750617">
        <w:tab/>
        <w:t xml:space="preserve">Voir </w:t>
      </w:r>
      <w:r w:rsidRPr="00750617">
        <w:rPr>
          <w:i/>
        </w:rPr>
        <w:t>infra</w:t>
      </w:r>
      <w:r w:rsidRPr="00750617">
        <w:t xml:space="preserve"> le projet de directive 7</w:t>
      </w:r>
      <w:r w:rsidRPr="00F22925">
        <w:t>.</w:t>
      </w:r>
    </w:p>
  </w:footnote>
  <w:footnote w:id="96">
    <w:p w14:paraId="681E5418"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 xml:space="preserve">Projet </w:t>
      </w:r>
      <w:proofErr w:type="spellStart"/>
      <w:r w:rsidRPr="00750617">
        <w:rPr>
          <w:i/>
        </w:rPr>
        <w:t>Gabčíkovo-Nagymaros</w:t>
      </w:r>
      <w:proofErr w:type="spellEnd"/>
      <w:r w:rsidRPr="00750617">
        <w:t xml:space="preserve"> (voir </w:t>
      </w:r>
      <w:r w:rsidRPr="00750617">
        <w:rPr>
          <w:i/>
          <w:iCs/>
        </w:rPr>
        <w:t>supra</w:t>
      </w:r>
      <w:r w:rsidRPr="00750617">
        <w:t xml:space="preserve"> la note </w:t>
      </w:r>
      <w:r w:rsidRPr="00750617">
        <w:fldChar w:fldCharType="begin"/>
      </w:r>
      <w:r w:rsidRPr="00750617">
        <w:instrText xml:space="preserve"> NOTEREF _Ref456787330 \h </w:instrText>
      </w:r>
      <w:r>
        <w:instrText xml:space="preserve"> \* MERGEFORMAT </w:instrText>
      </w:r>
      <w:r w:rsidRPr="00750617">
        <w:fldChar w:fldCharType="separate"/>
      </w:r>
      <w:r>
        <w:t>84</w:t>
      </w:r>
      <w:r w:rsidRPr="00750617">
        <w:fldChar w:fldCharType="end"/>
      </w:r>
      <w:r w:rsidRPr="00750617">
        <w:t>), p</w:t>
      </w:r>
      <w:r w:rsidRPr="00F22925">
        <w:t>.</w:t>
      </w:r>
      <w:r w:rsidRPr="00750617">
        <w:t> 78, par</w:t>
      </w:r>
      <w:r w:rsidRPr="00F22925">
        <w:t>.</w:t>
      </w:r>
      <w:r w:rsidRPr="00750617">
        <w:t> 140</w:t>
      </w:r>
      <w:r w:rsidRPr="00F22925">
        <w:t>.</w:t>
      </w:r>
    </w:p>
  </w:footnote>
  <w:footnote w:id="97">
    <w:p w14:paraId="6E8D02C5" w14:textId="77777777" w:rsidR="00D01ECD" w:rsidRPr="00750617" w:rsidRDefault="00D01ECD" w:rsidP="00D01ECD">
      <w:pPr>
        <w:pStyle w:val="FootnoteText"/>
      </w:pPr>
      <w:r w:rsidRPr="00750617">
        <w:tab/>
      </w:r>
      <w:r w:rsidRPr="00750617">
        <w:rPr>
          <w:rStyle w:val="FootnoteReference"/>
        </w:rPr>
        <w:footnoteRef/>
      </w:r>
      <w:r w:rsidRPr="00750617">
        <w:tab/>
        <w:t xml:space="preserve">Dans l’ordonnance qu’elle a rendue en 2006 dans l’affaire relative à des </w:t>
      </w:r>
      <w:r w:rsidRPr="00750617">
        <w:rPr>
          <w:i/>
        </w:rPr>
        <w:t>Usines de pâte à papier</w:t>
      </w:r>
      <w:r w:rsidRPr="00750617">
        <w:t>, la Cour internationale de Justice a mis en évidence « l’importance d’assurer la protection, sur le plan de l’environnement, des ressources naturelles partagées tout en permettant un développement économique durable » (A</w:t>
      </w:r>
      <w:r w:rsidRPr="00750617">
        <w:rPr>
          <w:iCs/>
        </w:rPr>
        <w:t xml:space="preserve">ffaire relative à des </w:t>
      </w:r>
      <w:r w:rsidRPr="00750617">
        <w:rPr>
          <w:i/>
          <w:iCs/>
        </w:rPr>
        <w:t>Usines de pâte à papier sur le fleuve Uruguay</w:t>
      </w:r>
      <w:r w:rsidRPr="00750617">
        <w:rPr>
          <w:iCs/>
        </w:rPr>
        <w:t xml:space="preserve"> (</w:t>
      </w:r>
      <w:r w:rsidRPr="00750617">
        <w:rPr>
          <w:i/>
          <w:iCs/>
        </w:rPr>
        <w:t>Argentine</w:t>
      </w:r>
      <w:r w:rsidRPr="00750617">
        <w:rPr>
          <w:iCs/>
        </w:rPr>
        <w:t xml:space="preserve"> </w:t>
      </w:r>
      <w:r w:rsidRPr="00750617">
        <w:rPr>
          <w:i/>
          <w:iCs/>
        </w:rPr>
        <w:t>c</w:t>
      </w:r>
      <w:r w:rsidRPr="00F22925">
        <w:rPr>
          <w:i/>
          <w:iCs/>
        </w:rPr>
        <w:t>.</w:t>
      </w:r>
      <w:r w:rsidRPr="00750617">
        <w:rPr>
          <w:i/>
          <w:iCs/>
        </w:rPr>
        <w:t> Uruguay</w:t>
      </w:r>
      <w:r w:rsidRPr="00750617">
        <w:rPr>
          <w:iCs/>
        </w:rPr>
        <w:t>),</w:t>
      </w:r>
      <w:r w:rsidRPr="00750617">
        <w:t xml:space="preserve"> Mesures conservatoires, </w:t>
      </w:r>
      <w:hyperlink r:id="rId38" w:history="1">
        <w:r w:rsidRPr="00750617">
          <w:t>ordonnance du 13 juillet 2006</w:t>
        </w:r>
      </w:hyperlink>
      <w:r w:rsidRPr="00750617">
        <w:t xml:space="preserve">, </w:t>
      </w:r>
      <w:r w:rsidRPr="00750617">
        <w:rPr>
          <w:i/>
        </w:rPr>
        <w:t>C</w:t>
      </w:r>
      <w:r w:rsidRPr="00F22925">
        <w:rPr>
          <w:i/>
        </w:rPr>
        <w:t>.</w:t>
      </w:r>
      <w:r w:rsidRPr="00750617">
        <w:rPr>
          <w:i/>
        </w:rPr>
        <w:t>I</w:t>
      </w:r>
      <w:r w:rsidRPr="00F22925">
        <w:rPr>
          <w:i/>
        </w:rPr>
        <w:t>.</w:t>
      </w:r>
      <w:r w:rsidRPr="00750617">
        <w:rPr>
          <w:i/>
        </w:rPr>
        <w:t>J</w:t>
      </w:r>
      <w:r w:rsidRPr="00F22925">
        <w:rPr>
          <w:i/>
        </w:rPr>
        <w:t>.</w:t>
      </w:r>
      <w:r w:rsidRPr="00750617">
        <w:rPr>
          <w:i/>
        </w:rPr>
        <w:t xml:space="preserve"> Recueil 2006</w:t>
      </w:r>
      <w:r w:rsidRPr="00750617">
        <w:t xml:space="preserve">, </w:t>
      </w:r>
      <w:r w:rsidRPr="00750617">
        <w:rPr>
          <w:iCs/>
        </w:rPr>
        <w:t>p</w:t>
      </w:r>
      <w:r w:rsidRPr="00F22925">
        <w:rPr>
          <w:iCs/>
        </w:rPr>
        <w:t>.</w:t>
      </w:r>
      <w:r w:rsidRPr="00750617">
        <w:rPr>
          <w:iCs/>
        </w:rPr>
        <w:t> 113, à la page </w:t>
      </w:r>
      <w:r w:rsidRPr="00750617">
        <w:t>133, par</w:t>
      </w:r>
      <w:r w:rsidRPr="00F22925">
        <w:t>.</w:t>
      </w:r>
      <w:r w:rsidRPr="00750617">
        <w:t xml:space="preserve"> 80) ; dans la décision de 1998 de l’Organe d’appel de l’OMC relative à l’affaire </w:t>
      </w:r>
      <w:r w:rsidRPr="00750617">
        <w:rPr>
          <w:i/>
        </w:rPr>
        <w:t>États</w:t>
      </w:r>
      <w:r w:rsidRPr="00750617">
        <w:rPr>
          <w:i/>
        </w:rPr>
        <w:noBreakHyphen/>
        <w:t>Unis − Prohibition à l’importation de certaines crevettes et de certains produits à base de crevettes</w:t>
      </w:r>
      <w:r w:rsidRPr="00750617">
        <w:t>, il est dit : « [R]appelant que les membres de l’OMC ont expressément mentionné l’objectif de développement durable dans le préambule de l’</w:t>
      </w:r>
      <w:r w:rsidRPr="00750617">
        <w:rPr>
          <w:i/>
        </w:rPr>
        <w:t>Accord sur l’OMC</w:t>
      </w:r>
      <w:r w:rsidRPr="00750617">
        <w:t xml:space="preserve">, nous estimons qu’il est trop tard à présent pour supposer que l’article XX g) [de l’Accord général sur les tarifs douaniers et le commerce] peut être interprété comme visant uniquement la conservation des minéraux ou des autres ressources naturelles non biologiques épuisables » (Rapport de l’Organe d’appel de l’OMC relatif à l’affaire </w:t>
      </w:r>
      <w:r w:rsidRPr="00750617">
        <w:rPr>
          <w:i/>
        </w:rPr>
        <w:t>États-Unis − Prohibition à l’importation de certaines crevettes et de certains produits à base de crevettes</w:t>
      </w:r>
      <w:r w:rsidRPr="00750617">
        <w:rPr>
          <w:color w:val="000000"/>
        </w:rPr>
        <w:t xml:space="preserve">, </w:t>
      </w:r>
      <w:r w:rsidRPr="00750617">
        <w:t>WT/DS58/AB/R</w:t>
      </w:r>
      <w:r w:rsidRPr="00750617">
        <w:rPr>
          <w:color w:val="000000"/>
        </w:rPr>
        <w:t>, adopté le 6 novembre 1998, par</w:t>
      </w:r>
      <w:r w:rsidRPr="00F22925">
        <w:rPr>
          <w:color w:val="000000"/>
        </w:rPr>
        <w:t>.</w:t>
      </w:r>
      <w:r w:rsidRPr="00750617">
        <w:rPr>
          <w:color w:val="000000"/>
        </w:rPr>
        <w:t> 131 ; voir aussi par</w:t>
      </w:r>
      <w:r w:rsidRPr="00F22925">
        <w:rPr>
          <w:color w:val="000000"/>
        </w:rPr>
        <w:t>.</w:t>
      </w:r>
      <w:r w:rsidRPr="00750617">
        <w:rPr>
          <w:color w:val="000000"/>
        </w:rPr>
        <w:t> 129 et 153</w:t>
      </w:r>
      <w:r w:rsidRPr="00750617">
        <w:t xml:space="preserve">) ; dans la sentence arbitrale relative au chemin de fer dit </w:t>
      </w:r>
      <w:proofErr w:type="spellStart"/>
      <w:r w:rsidRPr="00750617">
        <w:rPr>
          <w:i/>
        </w:rPr>
        <w:t>Iron</w:t>
      </w:r>
      <w:proofErr w:type="spellEnd"/>
      <w:r w:rsidRPr="00750617">
        <w:rPr>
          <w:i/>
        </w:rPr>
        <w:t xml:space="preserve"> Rhine</w:t>
      </w:r>
      <w:r w:rsidRPr="00750617">
        <w:t xml:space="preserve">, rendue en 2005, le Tribunal a dit ce qui suit : « Des discussions considérables ont eu lieu en ce qui concerne ce qui, en matière de droit de l’environnement, constitue des “règles” ou des “principes”, ce qui relève du droit non contraignant (“soft </w:t>
      </w:r>
      <w:proofErr w:type="spellStart"/>
      <w:r w:rsidRPr="00750617">
        <w:t>law</w:t>
      </w:r>
      <w:proofErr w:type="spellEnd"/>
      <w:r w:rsidRPr="00750617">
        <w:t xml:space="preserve">”), et quel droit conventionnel ou principes en matière d’environnement a contribué au développement du droit international coutumier, […]les principes qui en résultent, quel que soit leur statut actuel, font référence […] au développement durable[, l]e point important est que ces principes émergents intègrent désormais la protection de l’environnement au processus de développement[, et l]e droit de l’environnement et le droit applicable au développement constituent non pas des alternatives, mais des concepts intégrés se renforçant mutuellement ; ainsi, lorsque le développement risque de porter atteinte de manière significative à l’environnement, doit exister une obligation d’empêcher, ou au moins d’atténuer, cette pollution [et le] Tribunal estime que ce devoir est désormais devenu un principe du droit international général » (Sentence arbitrale relative au chemin de fer dit </w:t>
      </w:r>
      <w:proofErr w:type="spellStart"/>
      <w:r w:rsidRPr="00750617">
        <w:rPr>
          <w:i/>
        </w:rPr>
        <w:t>Iron</w:t>
      </w:r>
      <w:proofErr w:type="spellEnd"/>
      <w:r w:rsidRPr="00750617">
        <w:rPr>
          <w:i/>
        </w:rPr>
        <w:t xml:space="preserve"> Rhine</w:t>
      </w:r>
      <w:r w:rsidRPr="00750617">
        <w:t xml:space="preserve"> (voir </w:t>
      </w:r>
      <w:r w:rsidRPr="00750617">
        <w:rPr>
          <w:i/>
          <w:iCs/>
        </w:rPr>
        <w:t>supra</w:t>
      </w:r>
      <w:r w:rsidRPr="00750617">
        <w:t xml:space="preserve"> la note </w:t>
      </w:r>
      <w:r w:rsidRPr="00750617">
        <w:fldChar w:fldCharType="begin"/>
      </w:r>
      <w:r w:rsidRPr="00750617">
        <w:instrText xml:space="preserve"> NOTEREF _Ref456787330 \h </w:instrText>
      </w:r>
      <w:r>
        <w:instrText xml:space="preserve"> \* MERGEFORMAT </w:instrText>
      </w:r>
      <w:r w:rsidRPr="00750617">
        <w:fldChar w:fldCharType="separate"/>
      </w:r>
      <w:r>
        <w:t>84</w:t>
      </w:r>
      <w:r w:rsidRPr="00750617">
        <w:fldChar w:fldCharType="end"/>
      </w:r>
      <w:r w:rsidRPr="00750617">
        <w:rPr>
          <w:iCs/>
        </w:rPr>
        <w:t>)</w:t>
      </w:r>
      <w:r w:rsidRPr="00750617">
        <w:t>, par</w:t>
      </w:r>
      <w:r w:rsidRPr="00F22925">
        <w:t>.</w:t>
      </w:r>
      <w:r w:rsidRPr="00750617">
        <w:t xml:space="preserve"> 58 et 59) ; dans la sentence arbitrale partielle qu’elle a prononcée en 2013 dans l’affaire </w:t>
      </w:r>
      <w:r w:rsidRPr="00750617">
        <w:rPr>
          <w:i/>
        </w:rPr>
        <w:t xml:space="preserve">Indus Waters </w:t>
      </w:r>
      <w:proofErr w:type="spellStart"/>
      <w:r w:rsidRPr="00750617">
        <w:rPr>
          <w:i/>
        </w:rPr>
        <w:t>Kishenganga</w:t>
      </w:r>
      <w:proofErr w:type="spellEnd"/>
      <w:r w:rsidRPr="00750617">
        <w:rPr>
          <w:i/>
        </w:rPr>
        <w:t xml:space="preserve"> Arbitration </w:t>
      </w:r>
      <w:r w:rsidRPr="00750617">
        <w:t>(</w:t>
      </w:r>
      <w:r w:rsidRPr="00750617">
        <w:rPr>
          <w:i/>
        </w:rPr>
        <w:t>Pakistan</w:t>
      </w:r>
      <w:r w:rsidRPr="00750617">
        <w:t xml:space="preserve"> </w:t>
      </w:r>
      <w:r w:rsidRPr="00750617">
        <w:rPr>
          <w:i/>
        </w:rPr>
        <w:t>v</w:t>
      </w:r>
      <w:r w:rsidRPr="00F22925">
        <w:rPr>
          <w:i/>
        </w:rPr>
        <w:t>.</w:t>
      </w:r>
      <w:r w:rsidRPr="00750617">
        <w:rPr>
          <w:i/>
        </w:rPr>
        <w:t xml:space="preserve"> </w:t>
      </w:r>
      <w:proofErr w:type="spellStart"/>
      <w:r w:rsidRPr="00750617">
        <w:rPr>
          <w:i/>
        </w:rPr>
        <w:t>India</w:t>
      </w:r>
      <w:proofErr w:type="spellEnd"/>
      <w:r w:rsidRPr="00750617">
        <w:t>), la Cour d’arbitrage a dit : « Il ne fait aucun doute que le droit international coutumier contemporain fait obligation à l’État de tenir compte de la protection de l’environnement dans la planification et l’élaboration de projets susceptibles de causer un dommage à un État limitrophe</w:t>
      </w:r>
      <w:r w:rsidRPr="00F22925">
        <w:t>.</w:t>
      </w:r>
      <w:r w:rsidRPr="00750617">
        <w:t xml:space="preserve"> Depuis l’affaire de la </w:t>
      </w:r>
      <w:r w:rsidRPr="00750617">
        <w:rPr>
          <w:i/>
        </w:rPr>
        <w:t xml:space="preserve">Fonderie de </w:t>
      </w:r>
      <w:proofErr w:type="spellStart"/>
      <w:r w:rsidRPr="00750617">
        <w:rPr>
          <w:i/>
        </w:rPr>
        <w:t>Trail</w:t>
      </w:r>
      <w:proofErr w:type="spellEnd"/>
      <w:r w:rsidRPr="00750617">
        <w:t>, toute une jurisprudence arbitrale internationale est venue souligner la nécessité de gérer les ressources naturelles de façon durable</w:t>
      </w:r>
      <w:r w:rsidRPr="00F22925">
        <w:t>.</w:t>
      </w:r>
      <w:r w:rsidRPr="00750617">
        <w:t xml:space="preserve"> En particulier, la Cour internationale de Justice a mis en avant le principe de « développement durable » dans l’arrêt </w:t>
      </w:r>
      <w:proofErr w:type="spellStart"/>
      <w:r w:rsidRPr="00750617">
        <w:rPr>
          <w:i/>
        </w:rPr>
        <w:t>Gabčíkovo-Nagymaros</w:t>
      </w:r>
      <w:proofErr w:type="spellEnd"/>
      <w:r w:rsidRPr="00750617">
        <w:t>, mentionnant « la nécessité de concilier développement économique et protection de l’environnement » » [traduction non officielle]</w:t>
      </w:r>
      <w:r w:rsidRPr="00F22925">
        <w:t>.</w:t>
      </w:r>
      <w:r w:rsidRPr="00750617">
        <w:t xml:space="preserve"> Voir Permanent Court of Arbitration </w:t>
      </w:r>
      <w:proofErr w:type="spellStart"/>
      <w:r w:rsidRPr="00750617">
        <w:t>Award</w:t>
      </w:r>
      <w:proofErr w:type="spellEnd"/>
      <w:r w:rsidRPr="00750617">
        <w:t xml:space="preserve"> </w:t>
      </w:r>
      <w:proofErr w:type="spellStart"/>
      <w:r w:rsidRPr="00750617">
        <w:t>Series</w:t>
      </w:r>
      <w:proofErr w:type="spellEnd"/>
      <w:r w:rsidRPr="00750617">
        <w:t xml:space="preserve">, </w:t>
      </w:r>
      <w:r w:rsidRPr="00750617">
        <w:rPr>
          <w:i/>
        </w:rPr>
        <w:t xml:space="preserve">Indus Waters </w:t>
      </w:r>
      <w:proofErr w:type="spellStart"/>
      <w:r w:rsidRPr="00750617">
        <w:rPr>
          <w:i/>
        </w:rPr>
        <w:t>Kishenganga</w:t>
      </w:r>
      <w:proofErr w:type="spellEnd"/>
      <w:r w:rsidRPr="00750617">
        <w:rPr>
          <w:i/>
        </w:rPr>
        <w:t xml:space="preserve"> Arbitration (Pakistan v</w:t>
      </w:r>
      <w:r w:rsidRPr="00F22925">
        <w:rPr>
          <w:i/>
        </w:rPr>
        <w:t>.</w:t>
      </w:r>
      <w:r w:rsidRPr="00750617">
        <w:rPr>
          <w:i/>
          <w:iCs/>
        </w:rPr>
        <w:t> </w:t>
      </w:r>
      <w:proofErr w:type="spellStart"/>
      <w:r w:rsidRPr="00750617">
        <w:rPr>
          <w:i/>
        </w:rPr>
        <w:t>India</w:t>
      </w:r>
      <w:proofErr w:type="spellEnd"/>
      <w:r w:rsidRPr="00750617">
        <w:rPr>
          <w:i/>
        </w:rPr>
        <w:t>)</w:t>
      </w:r>
      <w:r w:rsidRPr="00750617">
        <w:t xml:space="preserve"> : </w:t>
      </w:r>
      <w:r w:rsidRPr="00750617">
        <w:rPr>
          <w:i/>
        </w:rPr>
        <w:t xml:space="preserve">Record of </w:t>
      </w:r>
      <w:proofErr w:type="spellStart"/>
      <w:r w:rsidRPr="00750617">
        <w:rPr>
          <w:i/>
        </w:rPr>
        <w:t>Proceedings</w:t>
      </w:r>
      <w:proofErr w:type="spellEnd"/>
      <w:r w:rsidRPr="00750617">
        <w:t xml:space="preserve"> </w:t>
      </w:r>
      <w:r w:rsidRPr="00750617">
        <w:rPr>
          <w:i/>
          <w:iCs/>
        </w:rPr>
        <w:t>2010-2013</w:t>
      </w:r>
      <w:r w:rsidRPr="00750617">
        <w:rPr>
          <w:iCs/>
        </w:rPr>
        <w:t xml:space="preserve">, </w:t>
      </w:r>
      <w:r w:rsidRPr="00750617">
        <w:t>sentence partielle du 18 février 2013, par</w:t>
      </w:r>
      <w:r w:rsidRPr="00F22925">
        <w:t>.</w:t>
      </w:r>
      <w:r w:rsidRPr="00750617">
        <w:t> 449</w:t>
      </w:r>
      <w:r w:rsidRPr="00F22925">
        <w:t>.</w:t>
      </w:r>
      <w:r w:rsidRPr="00750617">
        <w:t xml:space="preserve"> Ce raisonnement a été confirmé dans la sentence finale du 20 décembre 2013, par</w:t>
      </w:r>
      <w:r w:rsidRPr="00F22925">
        <w:t>.</w:t>
      </w:r>
      <w:r w:rsidRPr="00750617">
        <w:t> 111</w:t>
      </w:r>
      <w:r w:rsidRPr="00F22925">
        <w:t>.</w:t>
      </w:r>
    </w:p>
  </w:footnote>
  <w:footnote w:id="98">
    <w:p w14:paraId="32B0288B" w14:textId="77777777" w:rsidR="00D01ECD" w:rsidRPr="000D3559" w:rsidRDefault="00D01ECD" w:rsidP="00D01ECD">
      <w:pPr>
        <w:pStyle w:val="FootnoteText"/>
        <w:rPr>
          <w:lang w:val="en-US"/>
        </w:rPr>
      </w:pPr>
      <w:r w:rsidRPr="00750617">
        <w:tab/>
      </w:r>
      <w:r w:rsidRPr="00750617">
        <w:rPr>
          <w:rStyle w:val="FootnoteReference"/>
        </w:rPr>
        <w:footnoteRef/>
      </w:r>
      <w:r w:rsidRPr="00750617">
        <w:tab/>
        <w:t xml:space="preserve">Voir </w:t>
      </w:r>
      <w:r w:rsidRPr="00750617">
        <w:rPr>
          <w:i/>
          <w:iCs/>
        </w:rPr>
        <w:t>Plateau continental (Tunisie/Jamahiriya arabe libyenne), arrêt, C</w:t>
      </w:r>
      <w:r w:rsidRPr="00F22925">
        <w:rPr>
          <w:i/>
          <w:iCs/>
        </w:rPr>
        <w:t>.</w:t>
      </w:r>
      <w:r w:rsidRPr="00750617">
        <w:rPr>
          <w:i/>
          <w:iCs/>
        </w:rPr>
        <w:t>I</w:t>
      </w:r>
      <w:r w:rsidRPr="00F22925">
        <w:rPr>
          <w:i/>
          <w:iCs/>
        </w:rPr>
        <w:t>.</w:t>
      </w:r>
      <w:r w:rsidRPr="00750617">
        <w:rPr>
          <w:i/>
          <w:iCs/>
        </w:rPr>
        <w:t>J</w:t>
      </w:r>
      <w:r w:rsidRPr="00F22925">
        <w:rPr>
          <w:i/>
          <w:iCs/>
        </w:rPr>
        <w:t>.</w:t>
      </w:r>
      <w:r w:rsidRPr="00750617">
        <w:rPr>
          <w:i/>
          <w:iCs/>
        </w:rPr>
        <w:t xml:space="preserve"> Recueil 1982</w:t>
      </w:r>
      <w:r w:rsidRPr="00750617">
        <w:t>, p</w:t>
      </w:r>
      <w:r w:rsidRPr="00F22925">
        <w:t>.</w:t>
      </w:r>
      <w:r w:rsidRPr="00750617">
        <w:t xml:space="preserve"> 18, à la page 71</w:t>
      </w:r>
      <w:r w:rsidRPr="00F22925">
        <w:t>.</w:t>
      </w:r>
      <w:r w:rsidRPr="00750617">
        <w:t xml:space="preserve"> Sur la notion d’équité et son emploi en droit international de manière générale, voir </w:t>
      </w:r>
      <w:r w:rsidRPr="00750617">
        <w:rPr>
          <w:i/>
        </w:rPr>
        <w:t>Différend frontalier</w:t>
      </w:r>
      <w:r w:rsidRPr="00750617">
        <w:t xml:space="preserve"> (</w:t>
      </w:r>
      <w:r w:rsidRPr="00750617">
        <w:rPr>
          <w:i/>
        </w:rPr>
        <w:t>Burkina Faso/Mali</w:t>
      </w:r>
      <w:r w:rsidRPr="00750617">
        <w:t xml:space="preserve">), </w:t>
      </w:r>
      <w:r w:rsidRPr="00750617">
        <w:rPr>
          <w:i/>
        </w:rPr>
        <w:t>arrêt, C</w:t>
      </w:r>
      <w:r w:rsidRPr="00F22925">
        <w:rPr>
          <w:i/>
        </w:rPr>
        <w:t>.</w:t>
      </w:r>
      <w:r w:rsidRPr="00750617">
        <w:rPr>
          <w:i/>
        </w:rPr>
        <w:t>I</w:t>
      </w:r>
      <w:r w:rsidRPr="00F22925">
        <w:rPr>
          <w:i/>
        </w:rPr>
        <w:t>.</w:t>
      </w:r>
      <w:r w:rsidRPr="00750617">
        <w:rPr>
          <w:i/>
        </w:rPr>
        <w:t>J</w:t>
      </w:r>
      <w:r w:rsidRPr="00F22925">
        <w:rPr>
          <w:i/>
        </w:rPr>
        <w:t>.</w:t>
      </w:r>
      <w:r w:rsidRPr="00750617">
        <w:rPr>
          <w:i/>
        </w:rPr>
        <w:t xml:space="preserve"> Recueil 1986</w:t>
      </w:r>
      <w:r w:rsidRPr="00750617">
        <w:t>, p</w:t>
      </w:r>
      <w:r w:rsidRPr="00F22925">
        <w:t>.</w:t>
      </w:r>
      <w:r w:rsidRPr="00750617">
        <w:t> 554</w:t>
      </w:r>
      <w:r>
        <w:t>,</w:t>
      </w:r>
      <w:r w:rsidRPr="00750617">
        <w:t xml:space="preserve"> aux paragraphes 27, 28 et 149 ; </w:t>
      </w:r>
      <w:r w:rsidRPr="00750617">
        <w:rPr>
          <w:i/>
          <w:iCs/>
        </w:rPr>
        <w:t>Plateau continental de la mer du nord, arrêt, C</w:t>
      </w:r>
      <w:r w:rsidRPr="00F22925">
        <w:rPr>
          <w:i/>
          <w:iCs/>
        </w:rPr>
        <w:t>.</w:t>
      </w:r>
      <w:r w:rsidRPr="00750617">
        <w:rPr>
          <w:i/>
          <w:iCs/>
        </w:rPr>
        <w:t>I</w:t>
      </w:r>
      <w:r w:rsidRPr="00F22925">
        <w:rPr>
          <w:i/>
          <w:iCs/>
        </w:rPr>
        <w:t>.</w:t>
      </w:r>
      <w:r w:rsidRPr="00750617">
        <w:rPr>
          <w:i/>
          <w:iCs/>
        </w:rPr>
        <w:t>J</w:t>
      </w:r>
      <w:r w:rsidRPr="00F22925">
        <w:rPr>
          <w:i/>
          <w:iCs/>
        </w:rPr>
        <w:t>.</w:t>
      </w:r>
      <w:r w:rsidRPr="00750617">
        <w:rPr>
          <w:i/>
          <w:iCs/>
        </w:rPr>
        <w:t xml:space="preserve"> Recueil 1969</w:t>
      </w:r>
      <w:r w:rsidRPr="00750617">
        <w:t>, p</w:t>
      </w:r>
      <w:r w:rsidRPr="00F22925">
        <w:t>.</w:t>
      </w:r>
      <w:r w:rsidRPr="00750617">
        <w:t xml:space="preserve"> 3, au paragraphe 85 ; J</w:t>
      </w:r>
      <w:r w:rsidRPr="00F22925">
        <w:t>.</w:t>
      </w:r>
      <w:r w:rsidRPr="00750617">
        <w:t> </w:t>
      </w:r>
      <w:proofErr w:type="spellStart"/>
      <w:r w:rsidRPr="00750617">
        <w:t>Kokott</w:t>
      </w:r>
      <w:proofErr w:type="spellEnd"/>
      <w:r w:rsidRPr="00750617">
        <w:t>, « </w:t>
      </w:r>
      <w:proofErr w:type="spellStart"/>
      <w:r w:rsidRPr="00750617">
        <w:t>Equity</w:t>
      </w:r>
      <w:proofErr w:type="spellEnd"/>
      <w:r w:rsidRPr="00750617">
        <w:t xml:space="preserve"> in international </w:t>
      </w:r>
      <w:proofErr w:type="spellStart"/>
      <w:r w:rsidRPr="00750617">
        <w:t>law</w:t>
      </w:r>
      <w:proofErr w:type="spellEnd"/>
      <w:r w:rsidRPr="00750617">
        <w:t> », dans F</w:t>
      </w:r>
      <w:r w:rsidRPr="00F22925">
        <w:t>.</w:t>
      </w:r>
      <w:r w:rsidRPr="00750617">
        <w:t> L</w:t>
      </w:r>
      <w:r w:rsidRPr="00F22925">
        <w:t>.</w:t>
      </w:r>
      <w:r w:rsidRPr="00750617">
        <w:t xml:space="preserve"> Toth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proofErr w:type="spellStart"/>
      <w:r w:rsidRPr="00750617">
        <w:rPr>
          <w:i/>
        </w:rPr>
        <w:t>Fair</w:t>
      </w:r>
      <w:proofErr w:type="spellEnd"/>
      <w:r w:rsidRPr="00750617">
        <w:rPr>
          <w:i/>
        </w:rPr>
        <w:t xml:space="preserve"> </w:t>
      </w:r>
      <w:proofErr w:type="spellStart"/>
      <w:r w:rsidRPr="00750617">
        <w:rPr>
          <w:i/>
        </w:rPr>
        <w:t>Weather</w:t>
      </w:r>
      <w:proofErr w:type="spellEnd"/>
      <w:r w:rsidRPr="00750617">
        <w:rPr>
          <w:i/>
        </w:rPr>
        <w:t xml:space="preserve"> ? </w:t>
      </w:r>
      <w:proofErr w:type="spellStart"/>
      <w:r w:rsidRPr="00750617">
        <w:rPr>
          <w:i/>
        </w:rPr>
        <w:t>Equity</w:t>
      </w:r>
      <w:proofErr w:type="spellEnd"/>
      <w:r w:rsidRPr="00750617">
        <w:rPr>
          <w:i/>
        </w:rPr>
        <w:t xml:space="preserve"> </w:t>
      </w:r>
      <w:proofErr w:type="spellStart"/>
      <w:r w:rsidRPr="00750617">
        <w:rPr>
          <w:i/>
        </w:rPr>
        <w:t>Concerns</w:t>
      </w:r>
      <w:proofErr w:type="spellEnd"/>
      <w:r w:rsidRPr="00750617">
        <w:rPr>
          <w:i/>
        </w:rPr>
        <w:t xml:space="preserve"> in </w:t>
      </w:r>
      <w:proofErr w:type="spellStart"/>
      <w:r w:rsidRPr="00750617">
        <w:rPr>
          <w:i/>
        </w:rPr>
        <w:t>Climate</w:t>
      </w:r>
      <w:proofErr w:type="spellEnd"/>
      <w:r w:rsidRPr="00750617">
        <w:rPr>
          <w:i/>
        </w:rPr>
        <w:t xml:space="preserve"> Change</w:t>
      </w:r>
      <w:r w:rsidRPr="00750617">
        <w:t xml:space="preserve"> (</w:t>
      </w:r>
      <w:proofErr w:type="spellStart"/>
      <w:r w:rsidRPr="00750617">
        <w:t>Abingdon</w:t>
      </w:r>
      <w:proofErr w:type="spellEnd"/>
      <w:r w:rsidRPr="00750617">
        <w:t xml:space="preserve"> et New York, </w:t>
      </w:r>
      <w:proofErr w:type="spellStart"/>
      <w:r w:rsidRPr="00750617">
        <w:t>Routledge</w:t>
      </w:r>
      <w:proofErr w:type="spellEnd"/>
      <w:r w:rsidRPr="00750617">
        <w:t>, 2014), p</w:t>
      </w:r>
      <w:r w:rsidRPr="00F22925">
        <w:t>.</w:t>
      </w:r>
      <w:r w:rsidRPr="00750617">
        <w:t> 173 à 192 ; P</w:t>
      </w:r>
      <w:r w:rsidRPr="00F22925">
        <w:t>.</w:t>
      </w:r>
      <w:r w:rsidRPr="00750617">
        <w:t> Weil, « L’équité dans la jurisprudence de la Cour internationale de Justice : Un mystère en voie de dissipation ? », dans V</w:t>
      </w:r>
      <w:r w:rsidRPr="00F22925">
        <w:t>.</w:t>
      </w:r>
      <w:r w:rsidRPr="00750617">
        <w:t xml:space="preserve"> Lowe et M</w:t>
      </w:r>
      <w:r w:rsidRPr="00F22925">
        <w:t>.</w:t>
      </w:r>
      <w:r w:rsidRPr="00750617">
        <w:t xml:space="preserve"> </w:t>
      </w:r>
      <w:proofErr w:type="spellStart"/>
      <w:r w:rsidRPr="00750617">
        <w:t>Fitzmaurice</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proofErr w:type="spellStart"/>
      <w:r w:rsidRPr="00750617">
        <w:rPr>
          <w:i/>
        </w:rPr>
        <w:t>Fifty</w:t>
      </w:r>
      <w:proofErr w:type="spellEnd"/>
      <w:r w:rsidRPr="00750617">
        <w:rPr>
          <w:i/>
        </w:rPr>
        <w:t xml:space="preserve"> </w:t>
      </w:r>
      <w:proofErr w:type="spellStart"/>
      <w:r w:rsidRPr="00750617">
        <w:rPr>
          <w:i/>
        </w:rPr>
        <w:t>Years</w:t>
      </w:r>
      <w:proofErr w:type="spellEnd"/>
      <w:r w:rsidRPr="00750617">
        <w:rPr>
          <w:i/>
        </w:rPr>
        <w:t xml:space="preserve"> of the International Court of Justice : </w:t>
      </w:r>
      <w:proofErr w:type="spellStart"/>
      <w:r w:rsidRPr="00750617">
        <w:rPr>
          <w:i/>
        </w:rPr>
        <w:t>Essays</w:t>
      </w:r>
      <w:proofErr w:type="spellEnd"/>
      <w:r w:rsidRPr="00750617">
        <w:rPr>
          <w:i/>
        </w:rPr>
        <w:t xml:space="preserve"> in </w:t>
      </w:r>
      <w:proofErr w:type="spellStart"/>
      <w:r w:rsidRPr="00750617">
        <w:rPr>
          <w:i/>
        </w:rPr>
        <w:t>Honour</w:t>
      </w:r>
      <w:proofErr w:type="spellEnd"/>
      <w:r w:rsidRPr="00750617">
        <w:rPr>
          <w:i/>
        </w:rPr>
        <w:t xml:space="preserve"> of Sir Robert </w:t>
      </w:r>
      <w:proofErr w:type="spellStart"/>
      <w:r w:rsidRPr="00750617">
        <w:rPr>
          <w:i/>
        </w:rPr>
        <w:t>Jennings</w:t>
      </w:r>
      <w:proofErr w:type="spellEnd"/>
      <w:r w:rsidRPr="00750617">
        <w:t xml:space="preserve"> (Cambridge, Cambridge </w:t>
      </w:r>
      <w:proofErr w:type="spellStart"/>
      <w:r w:rsidRPr="00750617">
        <w:t>University</w:t>
      </w:r>
      <w:proofErr w:type="spellEnd"/>
      <w:r w:rsidRPr="00750617">
        <w:t xml:space="preserve"> </w:t>
      </w:r>
      <w:proofErr w:type="spellStart"/>
      <w:r w:rsidRPr="00750617">
        <w:t>Press</w:t>
      </w:r>
      <w:proofErr w:type="spellEnd"/>
      <w:r w:rsidRPr="00750617">
        <w:t>, 1996), p</w:t>
      </w:r>
      <w:r w:rsidRPr="00F22925">
        <w:t>.</w:t>
      </w:r>
      <w:r w:rsidRPr="00750617">
        <w:t> 121 à 144 ; F</w:t>
      </w:r>
      <w:r w:rsidRPr="00F22925">
        <w:t>.</w:t>
      </w:r>
      <w:r w:rsidRPr="00750617">
        <w:t> </w:t>
      </w:r>
      <w:proofErr w:type="spellStart"/>
      <w:r w:rsidRPr="00750617">
        <w:t>Francioni</w:t>
      </w:r>
      <w:proofErr w:type="spellEnd"/>
      <w:r w:rsidRPr="00750617">
        <w:t>, « </w:t>
      </w:r>
      <w:proofErr w:type="spellStart"/>
      <w:r w:rsidRPr="00750617">
        <w:t>Equity</w:t>
      </w:r>
      <w:proofErr w:type="spellEnd"/>
      <w:r w:rsidRPr="00750617">
        <w:t xml:space="preserve"> in international </w:t>
      </w:r>
      <w:proofErr w:type="spellStart"/>
      <w:r w:rsidRPr="00750617">
        <w:t>law</w:t>
      </w:r>
      <w:proofErr w:type="spellEnd"/>
      <w:r w:rsidRPr="00750617">
        <w:t> », dans R</w:t>
      </w:r>
      <w:r w:rsidRPr="00F22925">
        <w:t>.</w:t>
      </w:r>
      <w:r w:rsidRPr="00750617">
        <w:t> </w:t>
      </w:r>
      <w:proofErr w:type="spellStart"/>
      <w:r w:rsidRPr="00750617">
        <w:t>Wolfrum</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r w:rsidRPr="00750617">
        <w:rPr>
          <w:i/>
          <w:iCs/>
        </w:rPr>
        <w:t xml:space="preserve">Max </w:t>
      </w:r>
      <w:proofErr w:type="spellStart"/>
      <w:r w:rsidRPr="00750617">
        <w:rPr>
          <w:i/>
          <w:iCs/>
        </w:rPr>
        <w:t>Plank</w:t>
      </w:r>
      <w:proofErr w:type="spellEnd"/>
      <w:r w:rsidRPr="00750617">
        <w:rPr>
          <w:i/>
          <w:iCs/>
        </w:rPr>
        <w:t xml:space="preserve"> </w:t>
      </w:r>
      <w:proofErr w:type="spellStart"/>
      <w:r w:rsidRPr="00750617">
        <w:rPr>
          <w:i/>
          <w:iCs/>
        </w:rPr>
        <w:t>Encyclopedia</w:t>
      </w:r>
      <w:proofErr w:type="spellEnd"/>
      <w:r w:rsidRPr="00750617">
        <w:rPr>
          <w:i/>
          <w:iCs/>
        </w:rPr>
        <w:t xml:space="preserve"> of Public International Law</w:t>
      </w:r>
      <w:r w:rsidRPr="00750617">
        <w:rPr>
          <w:iCs/>
        </w:rPr>
        <w:t>,</w:t>
      </w:r>
      <w:r w:rsidRPr="00750617">
        <w:t xml:space="preserve"> vol</w:t>
      </w:r>
      <w:r w:rsidRPr="00F22925">
        <w:t>.</w:t>
      </w:r>
      <w:r w:rsidRPr="00750617">
        <w:t> </w:t>
      </w:r>
      <w:r w:rsidRPr="000D3559">
        <w:rPr>
          <w:lang w:val="en-US"/>
        </w:rPr>
        <w:t>III (Oxford, Oxford University Press, 2013), p. 632 à 642.</w:t>
      </w:r>
    </w:p>
  </w:footnote>
  <w:footnote w:id="99">
    <w:p w14:paraId="2B102268"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0D3559">
        <w:rPr>
          <w:lang w:val="en-US"/>
        </w:rPr>
        <w:tab/>
        <w:t>C. </w:t>
      </w:r>
      <w:proofErr w:type="spellStart"/>
      <w:r w:rsidRPr="000D3559">
        <w:rPr>
          <w:lang w:val="en-US"/>
        </w:rPr>
        <w:t>Redgwell</w:t>
      </w:r>
      <w:proofErr w:type="spellEnd"/>
      <w:r w:rsidRPr="000D3559">
        <w:rPr>
          <w:lang w:val="en-US"/>
        </w:rPr>
        <w:t xml:space="preserve">, « Principles and emerging norms in international law : intra- and inter-generational equity », dans C. P. </w:t>
      </w:r>
      <w:proofErr w:type="spellStart"/>
      <w:r w:rsidRPr="000D3559">
        <w:rPr>
          <w:lang w:val="en-US"/>
        </w:rPr>
        <w:t>Carlane</w:t>
      </w:r>
      <w:proofErr w:type="spellEnd"/>
      <w:r w:rsidRPr="000D3559">
        <w:rPr>
          <w:lang w:val="en-US"/>
        </w:rPr>
        <w:t xml:space="preserve"> </w:t>
      </w:r>
      <w:r w:rsidRPr="000D3559">
        <w:rPr>
          <w:i/>
          <w:lang w:val="en-US"/>
        </w:rPr>
        <w:t>et al.</w:t>
      </w:r>
      <w:r w:rsidRPr="000D3559">
        <w:rPr>
          <w:lang w:val="en-US"/>
        </w:rPr>
        <w:t xml:space="preserve"> (dir. publ.), </w:t>
      </w:r>
      <w:r w:rsidRPr="000D3559">
        <w:rPr>
          <w:i/>
          <w:lang w:val="en-US"/>
        </w:rPr>
        <w:t>The Oxford Handbook on International Climate Change Law</w:t>
      </w:r>
      <w:r w:rsidRPr="000D3559">
        <w:rPr>
          <w:lang w:val="en-US"/>
        </w:rPr>
        <w:t xml:space="preserve"> (Oxford, Oxford University Press, 2016), p. 185 à 201 ; D. Sheldon, « Equity », dans </w:t>
      </w:r>
      <w:proofErr w:type="spellStart"/>
      <w:r w:rsidRPr="000D3559">
        <w:rPr>
          <w:lang w:val="en-US"/>
        </w:rPr>
        <w:t>Bodansky</w:t>
      </w:r>
      <w:proofErr w:type="spellEnd"/>
      <w:r w:rsidRPr="000D3559">
        <w:rPr>
          <w:lang w:val="en-US"/>
        </w:rPr>
        <w:t xml:space="preserve"> </w:t>
      </w:r>
      <w:r w:rsidRPr="000D3559">
        <w:rPr>
          <w:i/>
          <w:lang w:val="en-US"/>
        </w:rPr>
        <w:t>et al.</w:t>
      </w:r>
      <w:r w:rsidRPr="000D3559">
        <w:rPr>
          <w:lang w:val="en-US"/>
        </w:rPr>
        <w:t xml:space="preserve"> (dir. publ.), </w:t>
      </w:r>
      <w:r w:rsidRPr="000D3559">
        <w:rPr>
          <w:i/>
          <w:lang w:val="en-US"/>
        </w:rPr>
        <w:t>Oxford Handbook of International Environmental Law</w:t>
      </w:r>
      <w:r w:rsidRPr="000D3559">
        <w:rPr>
          <w:lang w:val="en-US"/>
        </w:rPr>
        <w:t xml:space="preserve"> (note </w:t>
      </w:r>
      <w:r w:rsidRPr="00750617">
        <w:fldChar w:fldCharType="begin"/>
      </w:r>
      <w:r w:rsidRPr="000D3559">
        <w:rPr>
          <w:lang w:val="en-US"/>
        </w:rPr>
        <w:instrText xml:space="preserve"> NOTEREF _Ref81559757 \h  \* MERGEFORMAT </w:instrText>
      </w:r>
      <w:r w:rsidRPr="00750617">
        <w:fldChar w:fldCharType="separate"/>
      </w:r>
      <w:r>
        <w:rPr>
          <w:lang w:val="en-US"/>
        </w:rPr>
        <w:t>21</w:t>
      </w:r>
      <w:r w:rsidRPr="00750617">
        <w:fldChar w:fldCharType="end"/>
      </w:r>
      <w:r w:rsidRPr="000D3559">
        <w:rPr>
          <w:lang w:val="en-US"/>
        </w:rPr>
        <w:t xml:space="preserve"> </w:t>
      </w:r>
      <w:r w:rsidRPr="000D3559">
        <w:rPr>
          <w:i/>
          <w:lang w:val="en-US"/>
        </w:rPr>
        <w:t>supra</w:t>
      </w:r>
      <w:r w:rsidRPr="000D3559">
        <w:rPr>
          <w:lang w:val="en-US"/>
        </w:rPr>
        <w:t xml:space="preserve">), p. 639 à 662 ; E. Brown Weiss, “Intergenerational equity”, dans </w:t>
      </w:r>
      <w:r w:rsidRPr="000D3559">
        <w:rPr>
          <w:i/>
          <w:iCs/>
          <w:lang w:val="en-US"/>
        </w:rPr>
        <w:t xml:space="preserve">Max Planck </w:t>
      </w:r>
      <w:proofErr w:type="spellStart"/>
      <w:r w:rsidRPr="000D3559">
        <w:rPr>
          <w:i/>
          <w:iCs/>
          <w:lang w:val="en-US"/>
        </w:rPr>
        <w:t>Encyclopaedias</w:t>
      </w:r>
      <w:proofErr w:type="spellEnd"/>
      <w:r w:rsidRPr="000D3559">
        <w:rPr>
          <w:i/>
          <w:iCs/>
          <w:lang w:val="en-US"/>
        </w:rPr>
        <w:t xml:space="preserve"> of Public International Law</w:t>
      </w:r>
      <w:r w:rsidRPr="000D3559">
        <w:rPr>
          <w:lang w:val="en-US"/>
        </w:rPr>
        <w:t xml:space="preserve"> (</w:t>
      </w:r>
      <w:proofErr w:type="spellStart"/>
      <w:r w:rsidRPr="000D3559">
        <w:rPr>
          <w:lang w:val="en-US"/>
        </w:rPr>
        <w:t>actualisé</w:t>
      </w:r>
      <w:proofErr w:type="spellEnd"/>
      <w:r w:rsidRPr="000D3559">
        <w:rPr>
          <w:lang w:val="en-US"/>
        </w:rPr>
        <w:t xml:space="preserve"> </w:t>
      </w:r>
      <w:proofErr w:type="spellStart"/>
      <w:r w:rsidRPr="000D3559">
        <w:rPr>
          <w:lang w:val="en-US"/>
        </w:rPr>
        <w:t>en</w:t>
      </w:r>
      <w:proofErr w:type="spellEnd"/>
      <w:r w:rsidRPr="000D3559">
        <w:rPr>
          <w:lang w:val="en-US"/>
        </w:rPr>
        <w:t xml:space="preserve"> 2021), disponible à </w:t>
      </w:r>
      <w:proofErr w:type="spellStart"/>
      <w:r w:rsidRPr="000D3559">
        <w:rPr>
          <w:lang w:val="en-US"/>
        </w:rPr>
        <w:t>l’adresse</w:t>
      </w:r>
      <w:proofErr w:type="spellEnd"/>
      <w:r w:rsidRPr="000D3559">
        <w:rPr>
          <w:lang w:val="en-US"/>
        </w:rPr>
        <w:t xml:space="preserve"> </w:t>
      </w:r>
      <w:proofErr w:type="spellStart"/>
      <w:r w:rsidRPr="000D3559">
        <w:rPr>
          <w:lang w:val="en-US"/>
        </w:rPr>
        <w:t>suivante</w:t>
      </w:r>
      <w:proofErr w:type="spellEnd"/>
      <w:r w:rsidRPr="000D3559">
        <w:rPr>
          <w:lang w:val="en-US"/>
        </w:rPr>
        <w:t xml:space="preserve"> : </w:t>
      </w:r>
      <w:hyperlink r:id="rId39" w:history="1">
        <w:r w:rsidRPr="000D3559">
          <w:rPr>
            <w:rStyle w:val="Hyperlink"/>
            <w:lang w:val="en-US"/>
          </w:rPr>
          <w:t>https://opil.ouplaw.com/view/10.1093/law:epil/9780199231690/law-9780199231690-e1421</w:t>
        </w:r>
      </w:hyperlink>
      <w:r w:rsidRPr="000D3559">
        <w:rPr>
          <w:lang w:val="en-US"/>
        </w:rPr>
        <w:t>.</w:t>
      </w:r>
    </w:p>
  </w:footnote>
  <w:footnote w:id="100">
    <w:p w14:paraId="2504B551" w14:textId="77777777" w:rsidR="00D01ECD" w:rsidRPr="00750617" w:rsidRDefault="00D01ECD" w:rsidP="00D01ECD">
      <w:pPr>
        <w:pStyle w:val="FootnoteText"/>
      </w:pPr>
      <w:r w:rsidRPr="000D3559">
        <w:rPr>
          <w:lang w:val="en-US"/>
        </w:rPr>
        <w:tab/>
      </w:r>
      <w:r w:rsidRPr="00750617">
        <w:rPr>
          <w:rStyle w:val="FootnoteReference"/>
        </w:rPr>
        <w:footnoteRef/>
      </w:r>
      <w:r w:rsidRPr="00750617">
        <w:tab/>
        <w:t xml:space="preserve">Convention sur l’interdiction d’utiliser des techniques de modification de l’environnement à des fins militaires ou toutes autres fins hostiles (New York, 10 décembre 1976), Nations Unies, </w:t>
      </w:r>
      <w:r w:rsidRPr="00750617">
        <w:rPr>
          <w:i/>
          <w:iCs/>
        </w:rPr>
        <w:t>Recueil des Traités</w:t>
      </w:r>
      <w:r w:rsidRPr="00750617">
        <w:t>, vol</w:t>
      </w:r>
      <w:r w:rsidRPr="00F22925">
        <w:t>.</w:t>
      </w:r>
      <w:r w:rsidRPr="00750617">
        <w:t xml:space="preserve"> 1108, </w:t>
      </w:r>
      <w:r w:rsidRPr="00750617">
        <w:rPr>
          <w:rFonts w:eastAsia="MS Mincho"/>
        </w:rPr>
        <w:t>n</w:t>
      </w:r>
      <w:r w:rsidRPr="00750617">
        <w:rPr>
          <w:rFonts w:eastAsia="MS Mincho"/>
          <w:vertAlign w:val="superscript"/>
        </w:rPr>
        <w:t>o</w:t>
      </w:r>
      <w:r w:rsidRPr="00750617">
        <w:t> 17119, p</w:t>
      </w:r>
      <w:r w:rsidRPr="00F22925">
        <w:t>.</w:t>
      </w:r>
      <w:r w:rsidRPr="00750617">
        <w:t> 151</w:t>
      </w:r>
      <w:r w:rsidRPr="00F22925">
        <w:t>.</w:t>
      </w:r>
    </w:p>
  </w:footnote>
  <w:footnote w:id="101">
    <w:p w14:paraId="40ACAD7B"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szCs w:val="18"/>
        </w:rPr>
        <w:t>GIEC, Réunion d’experts sur la géo-</w:t>
      </w:r>
      <w:proofErr w:type="spellStart"/>
      <w:r w:rsidRPr="00750617">
        <w:rPr>
          <w:szCs w:val="18"/>
        </w:rPr>
        <w:t>ingéniérie</w:t>
      </w:r>
      <w:proofErr w:type="spellEnd"/>
      <w:r w:rsidRPr="00750617">
        <w:rPr>
          <w:szCs w:val="18"/>
        </w:rPr>
        <w:t>, Lima, 20-22 juin 2011, rapport</w:t>
      </w:r>
      <w:r w:rsidRPr="00F22925">
        <w:rPr>
          <w:szCs w:val="18"/>
        </w:rPr>
        <w:t>.</w:t>
      </w:r>
      <w:r w:rsidRPr="00750617">
        <w:rPr>
          <w:szCs w:val="18"/>
        </w:rPr>
        <w:t xml:space="preserve"> Voir, de manière générale, programme de géo-</w:t>
      </w:r>
      <w:proofErr w:type="spellStart"/>
      <w:r w:rsidRPr="00750617">
        <w:rPr>
          <w:szCs w:val="18"/>
        </w:rPr>
        <w:t>ingéniérie</w:t>
      </w:r>
      <w:proofErr w:type="spellEnd"/>
      <w:r w:rsidRPr="00750617">
        <w:rPr>
          <w:szCs w:val="18"/>
        </w:rPr>
        <w:t xml:space="preserve"> d’Oxford, « </w:t>
      </w:r>
      <w:proofErr w:type="spellStart"/>
      <w:r w:rsidRPr="00750617">
        <w:rPr>
          <w:szCs w:val="18"/>
        </w:rPr>
        <w:t>What</w:t>
      </w:r>
      <w:proofErr w:type="spellEnd"/>
      <w:r w:rsidRPr="00750617">
        <w:rPr>
          <w:szCs w:val="18"/>
        </w:rPr>
        <w:t xml:space="preserve"> </w:t>
      </w:r>
      <w:proofErr w:type="spellStart"/>
      <w:r w:rsidRPr="00750617">
        <w:rPr>
          <w:szCs w:val="18"/>
        </w:rPr>
        <w:t>is</w:t>
      </w:r>
      <w:proofErr w:type="spellEnd"/>
      <w:r w:rsidRPr="00750617">
        <w:rPr>
          <w:szCs w:val="18"/>
        </w:rPr>
        <w:t xml:space="preserve"> </w:t>
      </w:r>
      <w:proofErr w:type="spellStart"/>
      <w:r w:rsidRPr="00750617">
        <w:rPr>
          <w:szCs w:val="18"/>
        </w:rPr>
        <w:t>geoengineering</w:t>
      </w:r>
      <w:proofErr w:type="spellEnd"/>
      <w:r w:rsidRPr="00750617">
        <w:rPr>
          <w:szCs w:val="18"/>
        </w:rPr>
        <w:t xml:space="preserve">? », disponible à l’adresse suivante : </w:t>
      </w:r>
      <w:hyperlink r:id="rId40" w:history="1">
        <w:r w:rsidRPr="00750617">
          <w:rPr>
            <w:rStyle w:val="Hyperlink"/>
          </w:rPr>
          <w:t>www</w:t>
        </w:r>
        <w:r w:rsidRPr="00F22925">
          <w:rPr>
            <w:rStyle w:val="Hyperlink"/>
          </w:rPr>
          <w:t>.</w:t>
        </w:r>
        <w:r w:rsidRPr="00750617">
          <w:rPr>
            <w:rStyle w:val="Hyperlink"/>
          </w:rPr>
          <w:t>geoengineering</w:t>
        </w:r>
        <w:r w:rsidRPr="00F22925">
          <w:rPr>
            <w:rStyle w:val="Hyperlink"/>
          </w:rPr>
          <w:t>.</w:t>
        </w:r>
        <w:r w:rsidRPr="00750617">
          <w:rPr>
            <w:rStyle w:val="Hyperlink"/>
          </w:rPr>
          <w:t>ox</w:t>
        </w:r>
        <w:r w:rsidRPr="00F22925">
          <w:rPr>
            <w:rStyle w:val="Hyperlink"/>
          </w:rPr>
          <w:t>.</w:t>
        </w:r>
        <w:r w:rsidRPr="00750617">
          <w:rPr>
            <w:rStyle w:val="Hyperlink"/>
          </w:rPr>
          <w:t>ac</w:t>
        </w:r>
        <w:r w:rsidRPr="00F22925">
          <w:rPr>
            <w:rStyle w:val="Hyperlink"/>
          </w:rPr>
          <w:t>.</w:t>
        </w:r>
        <w:r w:rsidRPr="00750617">
          <w:rPr>
            <w:rStyle w:val="Hyperlink"/>
          </w:rPr>
          <w:t>uk/what-is-geoengineering/what-is-geoengineering/</w:t>
        </w:r>
      </w:hyperlink>
      <w:r w:rsidRPr="00750617">
        <w:rPr>
          <w:rStyle w:val="Hyperlink"/>
        </w:rPr>
        <w:t> </w:t>
      </w:r>
      <w:r w:rsidRPr="00750617">
        <w:rPr>
          <w:szCs w:val="18"/>
        </w:rPr>
        <w:t>;</w:t>
      </w:r>
      <w:r w:rsidRPr="00750617">
        <w:t xml:space="preserve"> </w:t>
      </w:r>
      <w:r w:rsidRPr="00750617">
        <w:rPr>
          <w:szCs w:val="18"/>
        </w:rPr>
        <w:t>K</w:t>
      </w:r>
      <w:r w:rsidRPr="00F22925">
        <w:rPr>
          <w:szCs w:val="18"/>
        </w:rPr>
        <w:t>.</w:t>
      </w:r>
      <w:r w:rsidRPr="00750617">
        <w:rPr>
          <w:szCs w:val="18"/>
        </w:rPr>
        <w:t> N</w:t>
      </w:r>
      <w:r w:rsidRPr="00F22925">
        <w:rPr>
          <w:szCs w:val="18"/>
        </w:rPr>
        <w:t>.</w:t>
      </w:r>
      <w:r w:rsidRPr="00750617">
        <w:rPr>
          <w:szCs w:val="18"/>
        </w:rPr>
        <w:t xml:space="preserve"> Scott, « International </w:t>
      </w:r>
      <w:proofErr w:type="spellStart"/>
      <w:r w:rsidRPr="00750617">
        <w:rPr>
          <w:szCs w:val="18"/>
        </w:rPr>
        <w:t>law</w:t>
      </w:r>
      <w:proofErr w:type="spellEnd"/>
      <w:r w:rsidRPr="00750617">
        <w:rPr>
          <w:szCs w:val="18"/>
        </w:rPr>
        <w:t xml:space="preserve"> in the </w:t>
      </w:r>
      <w:proofErr w:type="spellStart"/>
      <w:r w:rsidRPr="00750617">
        <w:rPr>
          <w:szCs w:val="18"/>
        </w:rPr>
        <w:t>anthropocene</w:t>
      </w:r>
      <w:proofErr w:type="spellEnd"/>
      <w:r w:rsidRPr="00750617">
        <w:rPr>
          <w:szCs w:val="18"/>
        </w:rPr>
        <w:t xml:space="preserve">: </w:t>
      </w:r>
      <w:proofErr w:type="spellStart"/>
      <w:r w:rsidRPr="00750617">
        <w:rPr>
          <w:szCs w:val="18"/>
        </w:rPr>
        <w:t>responding</w:t>
      </w:r>
      <w:proofErr w:type="spellEnd"/>
      <w:r w:rsidRPr="00750617">
        <w:rPr>
          <w:szCs w:val="18"/>
        </w:rPr>
        <w:t xml:space="preserve"> to the </w:t>
      </w:r>
      <w:proofErr w:type="spellStart"/>
      <w:r w:rsidRPr="00750617">
        <w:rPr>
          <w:szCs w:val="18"/>
        </w:rPr>
        <w:t>geoengineering</w:t>
      </w:r>
      <w:proofErr w:type="spellEnd"/>
      <w:r w:rsidRPr="00750617">
        <w:rPr>
          <w:szCs w:val="18"/>
        </w:rPr>
        <w:t xml:space="preserve"> challenge », </w:t>
      </w:r>
      <w:r w:rsidRPr="00750617">
        <w:rPr>
          <w:i/>
          <w:iCs/>
          <w:szCs w:val="18"/>
        </w:rPr>
        <w:t>Michigan Journal of International Law</w:t>
      </w:r>
      <w:r w:rsidRPr="00750617">
        <w:rPr>
          <w:szCs w:val="18"/>
        </w:rPr>
        <w:t>, vol</w:t>
      </w:r>
      <w:r w:rsidRPr="00F22925">
        <w:rPr>
          <w:szCs w:val="18"/>
        </w:rPr>
        <w:t>.</w:t>
      </w:r>
      <w:r w:rsidRPr="00750617">
        <w:rPr>
          <w:szCs w:val="18"/>
        </w:rPr>
        <w:t xml:space="preserve"> 34, </w:t>
      </w:r>
      <w:r w:rsidRPr="00750617">
        <w:rPr>
          <w:rFonts w:eastAsia="MS Mincho"/>
          <w:szCs w:val="18"/>
        </w:rPr>
        <w:t>n</w:t>
      </w:r>
      <w:r w:rsidRPr="00750617">
        <w:rPr>
          <w:rFonts w:eastAsia="MS Mincho"/>
          <w:szCs w:val="18"/>
          <w:vertAlign w:val="superscript"/>
        </w:rPr>
        <w:t>o</w:t>
      </w:r>
      <w:r w:rsidRPr="00750617">
        <w:rPr>
          <w:szCs w:val="18"/>
        </w:rPr>
        <w:t> 2 (2013), p</w:t>
      </w:r>
      <w:r w:rsidRPr="00F22925">
        <w:rPr>
          <w:szCs w:val="18"/>
        </w:rPr>
        <w:t>.</w:t>
      </w:r>
      <w:r w:rsidRPr="00750617">
        <w:rPr>
          <w:szCs w:val="18"/>
        </w:rPr>
        <w:t xml:space="preserve"> 309 à 358, à la page 322 ; Steve </w:t>
      </w:r>
      <w:proofErr w:type="spellStart"/>
      <w:r w:rsidRPr="00750617">
        <w:rPr>
          <w:szCs w:val="18"/>
        </w:rPr>
        <w:t>Rayner</w:t>
      </w:r>
      <w:proofErr w:type="spellEnd"/>
      <w:r w:rsidRPr="00750617">
        <w:rPr>
          <w:szCs w:val="18"/>
        </w:rPr>
        <w:t xml:space="preserve"> </w:t>
      </w:r>
      <w:r w:rsidRPr="00750617">
        <w:rPr>
          <w:i/>
          <w:iCs/>
          <w:szCs w:val="18"/>
        </w:rPr>
        <w:t>et al</w:t>
      </w:r>
      <w:r w:rsidRPr="00F22925">
        <w:rPr>
          <w:szCs w:val="18"/>
        </w:rPr>
        <w:t>.</w:t>
      </w:r>
      <w:r w:rsidRPr="00750617">
        <w:rPr>
          <w:szCs w:val="18"/>
        </w:rPr>
        <w:t xml:space="preserve">, « The Oxford </w:t>
      </w:r>
      <w:proofErr w:type="spellStart"/>
      <w:r w:rsidRPr="00750617">
        <w:rPr>
          <w:szCs w:val="18"/>
        </w:rPr>
        <w:t>principles</w:t>
      </w:r>
      <w:proofErr w:type="spellEnd"/>
      <w:r w:rsidRPr="00750617">
        <w:rPr>
          <w:szCs w:val="18"/>
        </w:rPr>
        <w:t xml:space="preserve"> », </w:t>
      </w:r>
      <w:proofErr w:type="spellStart"/>
      <w:r w:rsidRPr="00750617">
        <w:rPr>
          <w:szCs w:val="18"/>
        </w:rPr>
        <w:t>Climate</w:t>
      </w:r>
      <w:proofErr w:type="spellEnd"/>
      <w:r w:rsidRPr="00750617">
        <w:rPr>
          <w:szCs w:val="18"/>
        </w:rPr>
        <w:t xml:space="preserve"> </w:t>
      </w:r>
      <w:proofErr w:type="spellStart"/>
      <w:r w:rsidRPr="00750617">
        <w:rPr>
          <w:szCs w:val="18"/>
        </w:rPr>
        <w:t>Geoengineering</w:t>
      </w:r>
      <w:proofErr w:type="spellEnd"/>
      <w:r w:rsidRPr="00750617">
        <w:rPr>
          <w:szCs w:val="18"/>
        </w:rPr>
        <w:t xml:space="preserve"> </w:t>
      </w:r>
      <w:proofErr w:type="spellStart"/>
      <w:r w:rsidRPr="00750617">
        <w:rPr>
          <w:szCs w:val="18"/>
        </w:rPr>
        <w:t>Governance</w:t>
      </w:r>
      <w:proofErr w:type="spellEnd"/>
      <w:r w:rsidRPr="00750617">
        <w:rPr>
          <w:szCs w:val="18"/>
        </w:rPr>
        <w:t xml:space="preserve"> </w:t>
      </w:r>
      <w:proofErr w:type="spellStart"/>
      <w:r w:rsidRPr="00750617">
        <w:rPr>
          <w:szCs w:val="18"/>
        </w:rPr>
        <w:t>Working</w:t>
      </w:r>
      <w:proofErr w:type="spellEnd"/>
      <w:r w:rsidRPr="00750617">
        <w:rPr>
          <w:szCs w:val="18"/>
        </w:rPr>
        <w:t xml:space="preserve"> Paper No</w:t>
      </w:r>
      <w:r w:rsidRPr="00F22925">
        <w:rPr>
          <w:szCs w:val="18"/>
        </w:rPr>
        <w:t>.</w:t>
      </w:r>
      <w:r w:rsidRPr="00750617">
        <w:rPr>
          <w:szCs w:val="18"/>
        </w:rPr>
        <w:t xml:space="preserve"> 1 (Université d’Oxford, 2013), disponible à l’adresse suivante : </w:t>
      </w:r>
      <w:r w:rsidRPr="00750617">
        <w:rPr>
          <w:color w:val="0000FF"/>
          <w:szCs w:val="18"/>
        </w:rPr>
        <w:t>www</w:t>
      </w:r>
      <w:r w:rsidRPr="00F22925">
        <w:rPr>
          <w:color w:val="0000FF"/>
          <w:szCs w:val="18"/>
        </w:rPr>
        <w:t>.</w:t>
      </w:r>
      <w:r w:rsidRPr="00750617">
        <w:rPr>
          <w:color w:val="0000FF"/>
          <w:szCs w:val="18"/>
        </w:rPr>
        <w:t>geoengineering-governance-research</w:t>
      </w:r>
      <w:r w:rsidRPr="00F22925">
        <w:rPr>
          <w:color w:val="0000FF"/>
          <w:szCs w:val="18"/>
        </w:rPr>
        <w:t>.</w:t>
      </w:r>
      <w:r w:rsidRPr="00750617">
        <w:rPr>
          <w:color w:val="0000FF"/>
          <w:szCs w:val="18"/>
        </w:rPr>
        <w:t>org/perch/resources/workingpaper1rayneretaltheoxfordprinciples</w:t>
      </w:r>
      <w:r w:rsidRPr="00F22925">
        <w:rPr>
          <w:color w:val="0000FF"/>
          <w:szCs w:val="18"/>
        </w:rPr>
        <w:t>.</w:t>
      </w:r>
      <w:r w:rsidRPr="00750617">
        <w:rPr>
          <w:color w:val="0000FF"/>
          <w:szCs w:val="18"/>
        </w:rPr>
        <w:t>pdf</w:t>
      </w:r>
      <w:r w:rsidRPr="00F22925">
        <w:rPr>
          <w:szCs w:val="18"/>
        </w:rPr>
        <w:t>.</w:t>
      </w:r>
      <w:r w:rsidRPr="00750617">
        <w:rPr>
          <w:szCs w:val="18"/>
        </w:rPr>
        <w:t xml:space="preserve"> Voir aussi C</w:t>
      </w:r>
      <w:r w:rsidRPr="00F22925">
        <w:rPr>
          <w:szCs w:val="18"/>
        </w:rPr>
        <w:t>.</w:t>
      </w:r>
      <w:r w:rsidRPr="00750617">
        <w:rPr>
          <w:szCs w:val="18"/>
        </w:rPr>
        <w:t xml:space="preserve"> Armani, « Global </w:t>
      </w:r>
      <w:proofErr w:type="spellStart"/>
      <w:r w:rsidRPr="00750617">
        <w:rPr>
          <w:szCs w:val="18"/>
        </w:rPr>
        <w:t>experimental</w:t>
      </w:r>
      <w:proofErr w:type="spellEnd"/>
      <w:r w:rsidRPr="00750617">
        <w:rPr>
          <w:szCs w:val="18"/>
        </w:rPr>
        <w:t xml:space="preserve"> </w:t>
      </w:r>
      <w:proofErr w:type="spellStart"/>
      <w:r w:rsidRPr="00750617">
        <w:rPr>
          <w:szCs w:val="18"/>
        </w:rPr>
        <w:t>governance</w:t>
      </w:r>
      <w:proofErr w:type="spellEnd"/>
      <w:r w:rsidRPr="00750617">
        <w:rPr>
          <w:szCs w:val="18"/>
        </w:rPr>
        <w:t xml:space="preserve">, international </w:t>
      </w:r>
      <w:proofErr w:type="spellStart"/>
      <w:r w:rsidRPr="00750617">
        <w:rPr>
          <w:szCs w:val="18"/>
        </w:rPr>
        <w:t>law</w:t>
      </w:r>
      <w:proofErr w:type="spellEnd"/>
      <w:r w:rsidRPr="00750617">
        <w:rPr>
          <w:szCs w:val="18"/>
        </w:rPr>
        <w:t xml:space="preserve"> and </w:t>
      </w:r>
      <w:proofErr w:type="spellStart"/>
      <w:r w:rsidRPr="00750617">
        <w:rPr>
          <w:szCs w:val="18"/>
        </w:rPr>
        <w:t>climate</w:t>
      </w:r>
      <w:proofErr w:type="spellEnd"/>
      <w:r w:rsidRPr="00750617">
        <w:rPr>
          <w:szCs w:val="18"/>
        </w:rPr>
        <w:t xml:space="preserve"> change technologies », </w:t>
      </w:r>
      <w:r w:rsidRPr="00750617">
        <w:rPr>
          <w:i/>
          <w:iCs/>
          <w:szCs w:val="18"/>
        </w:rPr>
        <w:t xml:space="preserve">International and Comparative Law </w:t>
      </w:r>
      <w:proofErr w:type="spellStart"/>
      <w:r w:rsidRPr="00750617">
        <w:rPr>
          <w:i/>
          <w:iCs/>
          <w:szCs w:val="18"/>
        </w:rPr>
        <w:t>Quarterly</w:t>
      </w:r>
      <w:proofErr w:type="spellEnd"/>
      <w:r w:rsidRPr="00750617">
        <w:rPr>
          <w:i/>
          <w:iCs/>
          <w:szCs w:val="18"/>
        </w:rPr>
        <w:t>,</w:t>
      </w:r>
      <w:r w:rsidRPr="00750617">
        <w:rPr>
          <w:szCs w:val="18"/>
        </w:rPr>
        <w:t xml:space="preserve"> vol</w:t>
      </w:r>
      <w:r w:rsidRPr="00F22925">
        <w:rPr>
          <w:szCs w:val="18"/>
        </w:rPr>
        <w:t>.</w:t>
      </w:r>
      <w:r w:rsidRPr="00750617">
        <w:rPr>
          <w:szCs w:val="18"/>
        </w:rPr>
        <w:t xml:space="preserve"> 64, </w:t>
      </w:r>
      <w:r w:rsidRPr="00750617">
        <w:rPr>
          <w:rFonts w:eastAsia="MS Mincho"/>
          <w:szCs w:val="18"/>
        </w:rPr>
        <w:t>n</w:t>
      </w:r>
      <w:r w:rsidRPr="00750617">
        <w:rPr>
          <w:rFonts w:eastAsia="MS Mincho"/>
          <w:szCs w:val="18"/>
          <w:vertAlign w:val="superscript"/>
        </w:rPr>
        <w:t>o</w:t>
      </w:r>
      <w:r w:rsidRPr="00750617">
        <w:rPr>
          <w:szCs w:val="18"/>
        </w:rPr>
        <w:t> 4 (2015), p</w:t>
      </w:r>
      <w:r w:rsidRPr="00F22925">
        <w:rPr>
          <w:szCs w:val="18"/>
        </w:rPr>
        <w:t>.</w:t>
      </w:r>
      <w:r w:rsidRPr="00750617">
        <w:rPr>
          <w:szCs w:val="18"/>
        </w:rPr>
        <w:t xml:space="preserve"> 875 à 904</w:t>
      </w:r>
      <w:r w:rsidRPr="00F22925">
        <w:rPr>
          <w:szCs w:val="18"/>
        </w:rPr>
        <w:t>.</w:t>
      </w:r>
    </w:p>
  </w:footnote>
  <w:footnote w:id="102">
    <w:p w14:paraId="3B882558" w14:textId="77777777" w:rsidR="00D01ECD" w:rsidRPr="00750617" w:rsidRDefault="00D01ECD" w:rsidP="00D01ECD">
      <w:pPr>
        <w:pStyle w:val="FootnoteText"/>
      </w:pPr>
      <w:r w:rsidRPr="00750617">
        <w:tab/>
      </w:r>
      <w:r w:rsidRPr="00750617">
        <w:rPr>
          <w:rStyle w:val="FootnoteReference"/>
        </w:rPr>
        <w:footnoteRef/>
      </w:r>
      <w:r w:rsidRPr="00750617">
        <w:tab/>
        <w:t>Voir art</w:t>
      </w:r>
      <w:r w:rsidRPr="00F22925">
        <w:t>.</w:t>
      </w:r>
      <w:r w:rsidRPr="00750617">
        <w:t> 1</w:t>
      </w:r>
      <w:r w:rsidRPr="00F22925">
        <w:t>.</w:t>
      </w:r>
    </w:p>
  </w:footnote>
  <w:footnote w:id="103">
    <w:p w14:paraId="710D7CC1" w14:textId="77777777" w:rsidR="00D01ECD" w:rsidRPr="00750617" w:rsidRDefault="00D01ECD" w:rsidP="00D01ECD">
      <w:pPr>
        <w:pStyle w:val="FootnoteText"/>
      </w:pPr>
      <w:r w:rsidRPr="00750617">
        <w:tab/>
      </w:r>
      <w:r w:rsidRPr="00750617">
        <w:rPr>
          <w:rStyle w:val="FootnoteReference"/>
        </w:rPr>
        <w:footnoteRef/>
      </w:r>
      <w:r w:rsidRPr="00750617">
        <w:tab/>
        <w:t xml:space="preserve">Protocole additionnel aux Conventions de Genève du 12 août 1949 relatif à la protection des victimes des conflits armés internationaux (Protocole I), 1977, Nations Unies, </w:t>
      </w:r>
      <w:r w:rsidRPr="00750617">
        <w:rPr>
          <w:i/>
          <w:iCs/>
        </w:rPr>
        <w:t>Recueil des Traités</w:t>
      </w:r>
      <w:r w:rsidRPr="00750617">
        <w:t>, vol</w:t>
      </w:r>
      <w:r w:rsidRPr="00F22925">
        <w:t>.</w:t>
      </w:r>
      <w:r w:rsidRPr="00750617">
        <w:t xml:space="preserve"> 1125, </w:t>
      </w:r>
      <w:r w:rsidRPr="00750617">
        <w:rPr>
          <w:rFonts w:eastAsia="MS Mincho"/>
        </w:rPr>
        <w:t>n</w:t>
      </w:r>
      <w:r w:rsidRPr="00750617">
        <w:rPr>
          <w:rFonts w:eastAsia="MS Mincho"/>
          <w:vertAlign w:val="superscript"/>
        </w:rPr>
        <w:t>o</w:t>
      </w:r>
      <w:r w:rsidRPr="00750617">
        <w:t> 17512, p</w:t>
      </w:r>
      <w:r w:rsidRPr="00F22925">
        <w:t>.</w:t>
      </w:r>
      <w:r w:rsidRPr="00750617">
        <w:t> 3, art</w:t>
      </w:r>
      <w:r w:rsidRPr="00F22925">
        <w:t>.</w:t>
      </w:r>
      <w:r w:rsidRPr="00750617">
        <w:t> 35, par</w:t>
      </w:r>
      <w:r w:rsidRPr="00F22925">
        <w:t>.</w:t>
      </w:r>
      <w:r w:rsidRPr="00750617">
        <w:t xml:space="preserve"> 3 et 55 ; voir aussi Statut de Rome de la Cour pénale internationale (Rome, 17 juillet 1998), Nations Unies, </w:t>
      </w:r>
      <w:r w:rsidRPr="00750617">
        <w:rPr>
          <w:i/>
          <w:iCs/>
        </w:rPr>
        <w:t>Recueil des Traités</w:t>
      </w:r>
      <w:r w:rsidRPr="00750617">
        <w:t>, vol</w:t>
      </w:r>
      <w:r w:rsidRPr="00F22925">
        <w:t>.</w:t>
      </w:r>
      <w:r w:rsidRPr="00750617">
        <w:t> 2187, n</w:t>
      </w:r>
      <w:r w:rsidRPr="00750617">
        <w:rPr>
          <w:vertAlign w:val="superscript"/>
        </w:rPr>
        <w:t>o</w:t>
      </w:r>
      <w:r w:rsidRPr="00750617">
        <w:t> 38544, p</w:t>
      </w:r>
      <w:r w:rsidRPr="00F22925">
        <w:t>.</w:t>
      </w:r>
      <w:r w:rsidRPr="00750617">
        <w:t> 3, art</w:t>
      </w:r>
      <w:r w:rsidRPr="00F22925">
        <w:t>.</w:t>
      </w:r>
      <w:r w:rsidRPr="00750617">
        <w:t> 8, par</w:t>
      </w:r>
      <w:r w:rsidRPr="00F22925">
        <w:t>.</w:t>
      </w:r>
      <w:r w:rsidRPr="00750617">
        <w:t> 2 b) iv)</w:t>
      </w:r>
      <w:r w:rsidRPr="00F22925">
        <w:t>.</w:t>
      </w:r>
    </w:p>
  </w:footnote>
  <w:footnote w:id="104">
    <w:p w14:paraId="2D77E583" w14:textId="77777777" w:rsidR="00D01ECD" w:rsidRPr="00750617" w:rsidRDefault="00D01ECD" w:rsidP="00D01ECD">
      <w:pPr>
        <w:pStyle w:val="FootnoteText"/>
      </w:pPr>
      <w:r w:rsidRPr="00750617">
        <w:tab/>
      </w:r>
      <w:r w:rsidRPr="00750617">
        <w:rPr>
          <w:rStyle w:val="FootnoteReference"/>
        </w:rPr>
        <w:footnoteRef/>
      </w:r>
      <w:r w:rsidRPr="00750617">
        <w:tab/>
        <w:t xml:space="preserve">Protocole de Kyoto à la Convention-cadre des Nations Unies sur les changements climatiques (Kyoto, 11 décembre 1997), Nations Unies, </w:t>
      </w:r>
      <w:r w:rsidRPr="00750617">
        <w:rPr>
          <w:i/>
          <w:iCs/>
        </w:rPr>
        <w:t>Recueil des Traités</w:t>
      </w:r>
      <w:r w:rsidRPr="00750617">
        <w:t>, vol</w:t>
      </w:r>
      <w:r w:rsidRPr="00F22925">
        <w:t>.</w:t>
      </w:r>
      <w:r w:rsidRPr="00750617">
        <w:t xml:space="preserve"> 2303, </w:t>
      </w:r>
      <w:r w:rsidRPr="00750617">
        <w:rPr>
          <w:rFonts w:eastAsia="MS Mincho"/>
        </w:rPr>
        <w:t>n</w:t>
      </w:r>
      <w:r w:rsidRPr="00750617">
        <w:rPr>
          <w:rFonts w:eastAsia="MS Mincho"/>
          <w:vertAlign w:val="superscript"/>
        </w:rPr>
        <w:t>o</w:t>
      </w:r>
      <w:r w:rsidRPr="00750617">
        <w:t> 30822, p</w:t>
      </w:r>
      <w:r w:rsidRPr="00F22925">
        <w:t>.</w:t>
      </w:r>
      <w:r w:rsidRPr="00750617">
        <w:t> 162</w:t>
      </w:r>
      <w:r w:rsidRPr="00F22925">
        <w:t>.</w:t>
      </w:r>
    </w:p>
  </w:footnote>
  <w:footnote w:id="105">
    <w:p w14:paraId="6BAC8D8E" w14:textId="77777777" w:rsidR="00D01ECD" w:rsidRPr="00750617" w:rsidRDefault="00D01ECD" w:rsidP="00D01ECD">
      <w:pPr>
        <w:pStyle w:val="FootnoteText"/>
      </w:pPr>
      <w:r w:rsidRPr="00750617">
        <w:rPr>
          <w:spacing w:val="-2"/>
        </w:rPr>
        <w:tab/>
      </w:r>
      <w:r w:rsidRPr="00750617">
        <w:rPr>
          <w:rStyle w:val="FootnoteReference"/>
        </w:rPr>
        <w:footnoteRef/>
      </w:r>
      <w:r w:rsidRPr="00750617">
        <w:rPr>
          <w:spacing w:val="-2"/>
        </w:rPr>
        <w:tab/>
        <w:t xml:space="preserve">Protocole de 1996 à la Convention de 1972 sur la prévention de la pollution des mers résultant de l’immersion de déchets et autres matières (Londres, 7 novembre 1996), </w:t>
      </w:r>
      <w:r w:rsidRPr="00750617">
        <w:rPr>
          <w:i/>
          <w:spacing w:val="-2"/>
        </w:rPr>
        <w:t xml:space="preserve">International </w:t>
      </w:r>
      <w:proofErr w:type="spellStart"/>
      <w:r w:rsidRPr="00750617">
        <w:rPr>
          <w:i/>
          <w:spacing w:val="-2"/>
        </w:rPr>
        <w:t>Legal</w:t>
      </w:r>
      <w:proofErr w:type="spellEnd"/>
      <w:r w:rsidRPr="00750617">
        <w:rPr>
          <w:i/>
          <w:spacing w:val="-2"/>
        </w:rPr>
        <w:t xml:space="preserve"> </w:t>
      </w:r>
      <w:proofErr w:type="spellStart"/>
      <w:r w:rsidRPr="00750617">
        <w:rPr>
          <w:i/>
          <w:spacing w:val="-2"/>
        </w:rPr>
        <w:t>Materials</w:t>
      </w:r>
      <w:proofErr w:type="spellEnd"/>
      <w:r w:rsidRPr="00750617">
        <w:rPr>
          <w:spacing w:val="-2"/>
        </w:rPr>
        <w:t>,</w:t>
      </w:r>
      <w:r w:rsidRPr="00750617">
        <w:t xml:space="preserve"> vol</w:t>
      </w:r>
      <w:r w:rsidRPr="00F22925">
        <w:t>.</w:t>
      </w:r>
      <w:r w:rsidRPr="00750617">
        <w:t> 36 (1997), p</w:t>
      </w:r>
      <w:r w:rsidRPr="00F22925">
        <w:t>.</w:t>
      </w:r>
      <w:r w:rsidRPr="00750617">
        <w:t> 7</w:t>
      </w:r>
      <w:r w:rsidRPr="00F22925">
        <w:t>.</w:t>
      </w:r>
    </w:p>
  </w:footnote>
  <w:footnote w:id="106">
    <w:p w14:paraId="55BF7EEA" w14:textId="77777777" w:rsidR="00D01ECD" w:rsidRPr="00750617" w:rsidRDefault="00D01ECD" w:rsidP="00D01ECD">
      <w:pPr>
        <w:pStyle w:val="FootnoteText"/>
      </w:pPr>
      <w:r w:rsidRPr="00750617">
        <w:tab/>
      </w:r>
      <w:r w:rsidRPr="00750617">
        <w:rPr>
          <w:rStyle w:val="FootnoteReference"/>
        </w:rPr>
        <w:footnoteRef/>
      </w:r>
      <w:r w:rsidRPr="00750617">
        <w:tab/>
        <w:t xml:space="preserve">Convention sur la prévention de la pollution des mers résultant de l’immersion de déchets et autres matières (Londres, Mexico, Moscou et Washington, 29 décembre 1972), Nations Unies, </w:t>
      </w:r>
      <w:r w:rsidRPr="00750617">
        <w:rPr>
          <w:i/>
        </w:rPr>
        <w:t>Recueil des Traités</w:t>
      </w:r>
      <w:r w:rsidRPr="00750617">
        <w:t>, vol</w:t>
      </w:r>
      <w:r w:rsidRPr="00F22925">
        <w:t>.</w:t>
      </w:r>
      <w:r w:rsidRPr="00750617">
        <w:t xml:space="preserve"> 1046, </w:t>
      </w:r>
      <w:r w:rsidRPr="00750617">
        <w:rPr>
          <w:rFonts w:eastAsia="MS Mincho"/>
        </w:rPr>
        <w:t>n</w:t>
      </w:r>
      <w:r w:rsidRPr="00750617">
        <w:rPr>
          <w:rFonts w:eastAsia="MS Mincho"/>
          <w:vertAlign w:val="superscript"/>
        </w:rPr>
        <w:t>o</w:t>
      </w:r>
      <w:r w:rsidRPr="00750617">
        <w:t> 15749, p</w:t>
      </w:r>
      <w:r w:rsidRPr="00F22925">
        <w:t>.</w:t>
      </w:r>
      <w:r w:rsidRPr="00750617">
        <w:t> 138</w:t>
      </w:r>
      <w:r w:rsidRPr="00F22925">
        <w:t>.</w:t>
      </w:r>
    </w:p>
  </w:footnote>
  <w:footnote w:id="107">
    <w:p w14:paraId="2E74BA70" w14:textId="77777777" w:rsidR="00D01ECD" w:rsidRPr="00750617" w:rsidRDefault="00D01ECD" w:rsidP="00D01ECD">
      <w:pPr>
        <w:pStyle w:val="FootnoteText"/>
      </w:pPr>
      <w:r w:rsidRPr="00750617">
        <w:tab/>
      </w:r>
      <w:r w:rsidRPr="00750617">
        <w:rPr>
          <w:rStyle w:val="FootnoteReference"/>
        </w:rPr>
        <w:footnoteRef/>
      </w:r>
      <w:r w:rsidRPr="00750617">
        <w:tab/>
        <w:t xml:space="preserve">Voir </w:t>
      </w:r>
      <w:r w:rsidRPr="00750617">
        <w:rPr>
          <w:i/>
          <w:iCs/>
        </w:rPr>
        <w:t xml:space="preserve">Second Report on the </w:t>
      </w:r>
      <w:proofErr w:type="spellStart"/>
      <w:r w:rsidRPr="00750617">
        <w:rPr>
          <w:i/>
          <w:iCs/>
        </w:rPr>
        <w:t>Advancement</w:t>
      </w:r>
      <w:proofErr w:type="spellEnd"/>
      <w:r w:rsidRPr="00750617">
        <w:rPr>
          <w:i/>
          <w:iCs/>
        </w:rPr>
        <w:t xml:space="preserve"> of </w:t>
      </w:r>
      <w:proofErr w:type="spellStart"/>
      <w:r w:rsidRPr="00750617">
        <w:rPr>
          <w:i/>
          <w:iCs/>
        </w:rPr>
        <w:t>Atmospheric</w:t>
      </w:r>
      <w:proofErr w:type="spellEnd"/>
      <w:r w:rsidRPr="00750617">
        <w:rPr>
          <w:i/>
          <w:iCs/>
        </w:rPr>
        <w:t xml:space="preserve"> Sciences and </w:t>
      </w:r>
      <w:proofErr w:type="spellStart"/>
      <w:r w:rsidRPr="00750617">
        <w:rPr>
          <w:i/>
          <w:iCs/>
        </w:rPr>
        <w:t>Their</w:t>
      </w:r>
      <w:proofErr w:type="spellEnd"/>
      <w:r w:rsidRPr="00750617">
        <w:rPr>
          <w:i/>
          <w:iCs/>
        </w:rPr>
        <w:t xml:space="preserve"> Application in the Light of </w:t>
      </w:r>
      <w:proofErr w:type="spellStart"/>
      <w:r w:rsidRPr="00750617">
        <w:rPr>
          <w:i/>
          <w:iCs/>
        </w:rPr>
        <w:t>Developments</w:t>
      </w:r>
      <w:proofErr w:type="spellEnd"/>
      <w:r w:rsidRPr="00750617">
        <w:rPr>
          <w:i/>
          <w:iCs/>
        </w:rPr>
        <w:t xml:space="preserve"> in Outer </w:t>
      </w:r>
      <w:proofErr w:type="spellStart"/>
      <w:r w:rsidRPr="00750617">
        <w:rPr>
          <w:i/>
          <w:iCs/>
        </w:rPr>
        <w:t>Space</w:t>
      </w:r>
      <w:proofErr w:type="spellEnd"/>
      <w:r w:rsidRPr="00750617">
        <w:t xml:space="preserve"> (Genève, Organisation météorologique mondiale, 1963) ; voir aussi la décision 8/7 (« </w:t>
      </w:r>
      <w:proofErr w:type="spellStart"/>
      <w:r w:rsidRPr="00750617">
        <w:t>Earthwatch</w:t>
      </w:r>
      <w:proofErr w:type="spellEnd"/>
      <w:r w:rsidRPr="00750617">
        <w:t xml:space="preserve"> : </w:t>
      </w:r>
      <w:proofErr w:type="spellStart"/>
      <w:r w:rsidRPr="00750617">
        <w:t>assessment</w:t>
      </w:r>
      <w:proofErr w:type="spellEnd"/>
      <w:r w:rsidRPr="00750617">
        <w:t xml:space="preserve"> of </w:t>
      </w:r>
      <w:proofErr w:type="spellStart"/>
      <w:r w:rsidRPr="00750617">
        <w:t>outer</w:t>
      </w:r>
      <w:proofErr w:type="spellEnd"/>
      <w:r w:rsidRPr="00750617">
        <w:t xml:space="preserve"> </w:t>
      </w:r>
      <w:proofErr w:type="spellStart"/>
      <w:r w:rsidRPr="00750617">
        <w:t>limits</w:t>
      </w:r>
      <w:proofErr w:type="spellEnd"/>
      <w:r w:rsidRPr="00750617">
        <w:t> ») du Conseil d’administration du Programme des Nations Unies pour l’environnement, partie A (dispositions relatives à la coopération entre États en matière de modification du temps), du 29 avril 1980</w:t>
      </w:r>
      <w:r w:rsidRPr="00F22925">
        <w:t>.</w:t>
      </w:r>
    </w:p>
  </w:footnote>
  <w:footnote w:id="108">
    <w:p w14:paraId="4F2135F3"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iCs/>
        </w:rPr>
        <w:t>Thon à nageoire bleue</w:t>
      </w:r>
      <w:r w:rsidRPr="00750617">
        <w:rPr>
          <w:iCs/>
        </w:rPr>
        <w:t xml:space="preserve"> (</w:t>
      </w:r>
      <w:r w:rsidRPr="00750617">
        <w:rPr>
          <w:i/>
          <w:iCs/>
        </w:rPr>
        <w:t>Nouvelle-Zélande</w:t>
      </w:r>
      <w:r w:rsidRPr="00750617">
        <w:rPr>
          <w:iCs/>
        </w:rPr>
        <w:t xml:space="preserve"> </w:t>
      </w:r>
      <w:r w:rsidRPr="00750617">
        <w:rPr>
          <w:i/>
          <w:iCs/>
        </w:rPr>
        <w:t>c</w:t>
      </w:r>
      <w:r w:rsidRPr="00F22925">
        <w:rPr>
          <w:i/>
          <w:iCs/>
        </w:rPr>
        <w:t>.</w:t>
      </w:r>
      <w:r w:rsidRPr="00750617">
        <w:rPr>
          <w:i/>
          <w:iCs/>
        </w:rPr>
        <w:t xml:space="preserve"> Japon</w:t>
      </w:r>
      <w:r w:rsidRPr="00750617">
        <w:t xml:space="preserve"> ; </w:t>
      </w:r>
      <w:r w:rsidRPr="00750617">
        <w:rPr>
          <w:i/>
        </w:rPr>
        <w:t>Australie</w:t>
      </w:r>
      <w:r w:rsidRPr="00750617">
        <w:t xml:space="preserve"> </w:t>
      </w:r>
      <w:r w:rsidRPr="00750617">
        <w:rPr>
          <w:i/>
        </w:rPr>
        <w:t>c</w:t>
      </w:r>
      <w:r w:rsidRPr="00F22925">
        <w:rPr>
          <w:i/>
        </w:rPr>
        <w:t>.</w:t>
      </w:r>
      <w:r w:rsidRPr="00750617">
        <w:rPr>
          <w:i/>
        </w:rPr>
        <w:t xml:space="preserve"> Japon</w:t>
      </w:r>
      <w:r w:rsidRPr="00750617">
        <w:t xml:space="preserve">), mesures conservatoires, ordonnance du 27 août 1999, </w:t>
      </w:r>
      <w:r w:rsidRPr="00750617">
        <w:rPr>
          <w:i/>
          <w:iCs/>
        </w:rPr>
        <w:t>TIDM Recueil 1999</w:t>
      </w:r>
      <w:r w:rsidRPr="00750617">
        <w:t>, p</w:t>
      </w:r>
      <w:r w:rsidRPr="00F22925">
        <w:t>.</w:t>
      </w:r>
      <w:r w:rsidRPr="00750617">
        <w:t> 280, au paragraphe 77</w:t>
      </w:r>
      <w:r w:rsidRPr="00F22925">
        <w:t>.</w:t>
      </w:r>
      <w:r w:rsidRPr="00750617">
        <w:t xml:space="preserve"> Le Tribunal a dit ce qui suit : « </w:t>
      </w:r>
      <w:r w:rsidRPr="00750617">
        <w:rPr>
          <w:i/>
        </w:rPr>
        <w:t>Considérant</w:t>
      </w:r>
      <w:r w:rsidRPr="00750617">
        <w:t xml:space="preserve"> que, de l’avis du Tribunal, les parties devraient, dans ces conditions, agir avec prudence et précaution et veiller à ce que des mesures de conservation efficaces soient prises dans le but d’empêcher que le stock du thon à nageoire bleue ne subisse des dommages graves […] »</w:t>
      </w:r>
      <w:r w:rsidRPr="00F22925">
        <w:t>.</w:t>
      </w:r>
    </w:p>
  </w:footnote>
  <w:footnote w:id="109">
    <w:p w14:paraId="481F8E42"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Usine MOX</w:t>
      </w:r>
      <w:r w:rsidRPr="00750617">
        <w:rPr>
          <w:iCs/>
        </w:rPr>
        <w:t xml:space="preserve"> (</w:t>
      </w:r>
      <w:r w:rsidRPr="00750617">
        <w:rPr>
          <w:i/>
          <w:iCs/>
        </w:rPr>
        <w:t>Irlande c</w:t>
      </w:r>
      <w:r w:rsidRPr="00F22925">
        <w:rPr>
          <w:i/>
          <w:iCs/>
        </w:rPr>
        <w:t>.</w:t>
      </w:r>
      <w:r w:rsidRPr="00750617">
        <w:rPr>
          <w:i/>
          <w:iCs/>
        </w:rPr>
        <w:t xml:space="preserve"> Royaume-Uni</w:t>
      </w:r>
      <w:r w:rsidRPr="00750617">
        <w:rPr>
          <w:iCs/>
        </w:rPr>
        <w:t>)</w:t>
      </w:r>
      <w:r w:rsidRPr="00750617">
        <w:t xml:space="preserve">, mesures conservatoires, ordonnance du 3 décembre 2001, </w:t>
      </w:r>
      <w:r w:rsidRPr="00750617">
        <w:rPr>
          <w:i/>
          <w:iCs/>
        </w:rPr>
        <w:t>TIDM Recueil 2001</w:t>
      </w:r>
      <w:r w:rsidRPr="00750617">
        <w:t>, p</w:t>
      </w:r>
      <w:r w:rsidRPr="00F22925">
        <w:t>.</w:t>
      </w:r>
      <w:r w:rsidRPr="00750617">
        <w:t> 95, au paragraphe 84 (« </w:t>
      </w:r>
      <w:r w:rsidRPr="00750617">
        <w:rPr>
          <w:i/>
        </w:rPr>
        <w:t>Considérant</w:t>
      </w:r>
      <w:r w:rsidRPr="00750617">
        <w:t xml:space="preserve"> que, de l’avis du Tribunal, la prudence et la précaution exigent que l’Irlande et le Royaume-Uni coopèrent en échangeant des informations relatives aux risques ou effets qui pourraient découler ou résulter des opérations de l’usine MOX et qu’ils élaborent des moyens permettant, le cas échéant, d’y faire face […] »)</w:t>
      </w:r>
      <w:r w:rsidRPr="00F22925">
        <w:t>.</w:t>
      </w:r>
    </w:p>
  </w:footnote>
  <w:footnote w:id="110">
    <w:p w14:paraId="7DA151CA"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iCs/>
        </w:rPr>
        <w:t>Travaux de poldérisation par Singapour à l’intérieur et à proximité du détroit de Johor</w:t>
      </w:r>
      <w:r w:rsidRPr="00750617">
        <w:t xml:space="preserve"> (</w:t>
      </w:r>
      <w:r w:rsidRPr="00750617">
        <w:rPr>
          <w:i/>
        </w:rPr>
        <w:t>Malaisie c</w:t>
      </w:r>
      <w:r w:rsidRPr="00F22925">
        <w:rPr>
          <w:i/>
        </w:rPr>
        <w:t>.</w:t>
      </w:r>
      <w:r w:rsidRPr="00750617">
        <w:rPr>
          <w:i/>
        </w:rPr>
        <w:t> Singapour</w:t>
      </w:r>
      <w:r w:rsidRPr="00750617">
        <w:t xml:space="preserve">), mesures conservatoires, ordonnance du 8 octobre 2003, </w:t>
      </w:r>
      <w:r w:rsidRPr="00750617">
        <w:rPr>
          <w:i/>
        </w:rPr>
        <w:t>TIDM Recueil 2003</w:t>
      </w:r>
      <w:r w:rsidRPr="00750617">
        <w:t>, p</w:t>
      </w:r>
      <w:r w:rsidRPr="00F22925">
        <w:t>.</w:t>
      </w:r>
      <w:r w:rsidRPr="00750617">
        <w:t> 10, au paragraphe 99</w:t>
      </w:r>
      <w:r w:rsidRPr="00F22925">
        <w:t>.</w:t>
      </w:r>
    </w:p>
  </w:footnote>
  <w:footnote w:id="111">
    <w:p w14:paraId="30CBAE17" w14:textId="77777777" w:rsidR="00D01ECD" w:rsidRPr="000D3559" w:rsidRDefault="00D01ECD" w:rsidP="00D01ECD">
      <w:pPr>
        <w:pStyle w:val="FootnoteText"/>
        <w:rPr>
          <w:lang w:val="en-US"/>
        </w:rPr>
      </w:pPr>
      <w:r w:rsidRPr="00750617">
        <w:tab/>
      </w:r>
      <w:r w:rsidRPr="00750617">
        <w:rPr>
          <w:rStyle w:val="FootnoteReference"/>
        </w:rPr>
        <w:footnoteRef/>
      </w:r>
      <w:r w:rsidRPr="000D3559">
        <w:rPr>
          <w:lang w:val="en-US"/>
        </w:rPr>
        <w:tab/>
        <w:t xml:space="preserve">W. Friedmann, </w:t>
      </w:r>
      <w:r w:rsidRPr="000D3559">
        <w:rPr>
          <w:i/>
          <w:lang w:val="en-US"/>
        </w:rPr>
        <w:t>The Changing Structure of International Law</w:t>
      </w:r>
      <w:r w:rsidRPr="000D3559">
        <w:rPr>
          <w:lang w:val="en-US"/>
        </w:rPr>
        <w:t xml:space="preserve"> (</w:t>
      </w:r>
      <w:proofErr w:type="spellStart"/>
      <w:r w:rsidRPr="000D3559">
        <w:rPr>
          <w:lang w:val="en-US"/>
        </w:rPr>
        <w:t>Londres</w:t>
      </w:r>
      <w:proofErr w:type="spellEnd"/>
      <w:r w:rsidRPr="000D3559">
        <w:rPr>
          <w:lang w:val="en-US"/>
        </w:rPr>
        <w:t xml:space="preserve">, Stevens &amp; Sons, 1964), p. 60 à </w:t>
      </w:r>
      <w:proofErr w:type="gramStart"/>
      <w:r w:rsidRPr="000D3559">
        <w:rPr>
          <w:lang w:val="en-US"/>
        </w:rPr>
        <w:t>71 ;</w:t>
      </w:r>
      <w:proofErr w:type="gramEnd"/>
      <w:r w:rsidRPr="000D3559">
        <w:rPr>
          <w:lang w:val="en-US"/>
        </w:rPr>
        <w:t xml:space="preserve"> C. Leben, « The changing structure of international law revisited by way of introduction », </w:t>
      </w:r>
      <w:r w:rsidRPr="000D3559">
        <w:rPr>
          <w:i/>
          <w:lang w:val="en-US"/>
        </w:rPr>
        <w:t>European Journal of International Law</w:t>
      </w:r>
      <w:r w:rsidRPr="000D3559">
        <w:rPr>
          <w:lang w:val="en-US"/>
        </w:rPr>
        <w:t xml:space="preserve">, vol. 3 (1997), p. 399 à 408. </w:t>
      </w:r>
      <w:proofErr w:type="spellStart"/>
      <w:r w:rsidRPr="000D3559">
        <w:rPr>
          <w:lang w:val="en-US"/>
        </w:rPr>
        <w:t>Voir</w:t>
      </w:r>
      <w:proofErr w:type="spellEnd"/>
      <w:r w:rsidRPr="000D3559">
        <w:rPr>
          <w:lang w:val="en-US"/>
        </w:rPr>
        <w:t xml:space="preserve"> </w:t>
      </w:r>
      <w:proofErr w:type="spellStart"/>
      <w:r w:rsidRPr="000D3559">
        <w:rPr>
          <w:lang w:val="en-US"/>
        </w:rPr>
        <w:t>aussi</w:t>
      </w:r>
      <w:proofErr w:type="spellEnd"/>
      <w:r w:rsidRPr="000D3559">
        <w:rPr>
          <w:lang w:val="en-US"/>
        </w:rPr>
        <w:t xml:space="preserve"> J. Delbrück, « The international obligation to cooperate − an empty shell or a hard law principle of international </w:t>
      </w:r>
      <w:proofErr w:type="gramStart"/>
      <w:r w:rsidRPr="000D3559">
        <w:rPr>
          <w:lang w:val="en-US"/>
        </w:rPr>
        <w:t>law ?</w:t>
      </w:r>
      <w:proofErr w:type="gramEnd"/>
      <w:r w:rsidRPr="000D3559">
        <w:rPr>
          <w:lang w:val="en-US"/>
        </w:rPr>
        <w:t xml:space="preserve"> − a critical look at a much debated paradigm of modern international law », H. P. </w:t>
      </w:r>
      <w:proofErr w:type="spellStart"/>
      <w:r w:rsidRPr="000D3559">
        <w:rPr>
          <w:lang w:val="en-US"/>
        </w:rPr>
        <w:t>Hestermeyer</w:t>
      </w:r>
      <w:proofErr w:type="spellEnd"/>
      <w:r w:rsidRPr="000D3559">
        <w:rPr>
          <w:lang w:val="en-US"/>
        </w:rPr>
        <w:t xml:space="preserve"> </w:t>
      </w:r>
      <w:r w:rsidRPr="000D3559">
        <w:rPr>
          <w:i/>
          <w:lang w:val="en-US"/>
        </w:rPr>
        <w:t>et al.</w:t>
      </w:r>
      <w:r w:rsidRPr="000D3559">
        <w:rPr>
          <w:lang w:val="en-US"/>
        </w:rPr>
        <w:t xml:space="preserve"> (dir. publ.), </w:t>
      </w:r>
      <w:r w:rsidRPr="000D3559">
        <w:rPr>
          <w:i/>
          <w:lang w:val="en-US"/>
        </w:rPr>
        <w:t>Coexistence, Cooperation and Solidarity</w:t>
      </w:r>
      <w:r w:rsidRPr="000D3559">
        <w:rPr>
          <w:lang w:val="en-US"/>
        </w:rPr>
        <w:t xml:space="preserve"> (Liber </w:t>
      </w:r>
      <w:proofErr w:type="spellStart"/>
      <w:r w:rsidRPr="000D3559">
        <w:rPr>
          <w:lang w:val="en-US"/>
        </w:rPr>
        <w:t>Amicorum</w:t>
      </w:r>
      <w:proofErr w:type="spellEnd"/>
      <w:r w:rsidRPr="000D3559">
        <w:rPr>
          <w:lang w:val="en-US"/>
        </w:rPr>
        <w:t xml:space="preserve"> </w:t>
      </w:r>
      <w:proofErr w:type="spellStart"/>
      <w:r w:rsidRPr="000D3559">
        <w:rPr>
          <w:lang w:val="en-US"/>
        </w:rPr>
        <w:t>Rüdiger</w:t>
      </w:r>
      <w:proofErr w:type="spellEnd"/>
      <w:r w:rsidRPr="000D3559">
        <w:rPr>
          <w:lang w:val="en-US"/>
        </w:rPr>
        <w:t xml:space="preserve"> </w:t>
      </w:r>
      <w:proofErr w:type="spellStart"/>
      <w:r w:rsidRPr="000D3559">
        <w:rPr>
          <w:lang w:val="en-US"/>
        </w:rPr>
        <w:t>Wolfrum</w:t>
      </w:r>
      <w:proofErr w:type="spellEnd"/>
      <w:r w:rsidRPr="000D3559">
        <w:rPr>
          <w:lang w:val="en-US"/>
        </w:rPr>
        <w:t>), vol. 1 (</w:t>
      </w:r>
      <w:proofErr w:type="spellStart"/>
      <w:r w:rsidRPr="000D3559">
        <w:rPr>
          <w:lang w:val="en-US"/>
        </w:rPr>
        <w:t>Leyde</w:t>
      </w:r>
      <w:proofErr w:type="spellEnd"/>
      <w:r w:rsidRPr="000D3559">
        <w:rPr>
          <w:lang w:val="en-US"/>
        </w:rPr>
        <w:t xml:space="preserve">, </w:t>
      </w:r>
      <w:proofErr w:type="spellStart"/>
      <w:r w:rsidRPr="000D3559">
        <w:rPr>
          <w:lang w:val="en-US"/>
        </w:rPr>
        <w:t>Martinus</w:t>
      </w:r>
      <w:proofErr w:type="spellEnd"/>
      <w:r w:rsidRPr="000D3559">
        <w:rPr>
          <w:lang w:val="en-US"/>
        </w:rPr>
        <w:t xml:space="preserve"> </w:t>
      </w:r>
      <w:proofErr w:type="spellStart"/>
      <w:r w:rsidRPr="000D3559">
        <w:rPr>
          <w:lang w:val="en-US"/>
        </w:rPr>
        <w:t>Njihoff</w:t>
      </w:r>
      <w:proofErr w:type="spellEnd"/>
      <w:r w:rsidRPr="000D3559">
        <w:rPr>
          <w:lang w:val="en-US"/>
        </w:rPr>
        <w:t>, 2012), p. 3 à 16.</w:t>
      </w:r>
    </w:p>
  </w:footnote>
  <w:footnote w:id="112">
    <w:p w14:paraId="10E27E00"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0D3559">
        <w:rPr>
          <w:lang w:val="en-US"/>
        </w:rPr>
        <w:tab/>
        <w:t xml:space="preserve">B. </w:t>
      </w:r>
      <w:proofErr w:type="spellStart"/>
      <w:r w:rsidRPr="000D3559">
        <w:rPr>
          <w:lang w:val="en-US"/>
        </w:rPr>
        <w:t>Simma</w:t>
      </w:r>
      <w:proofErr w:type="spellEnd"/>
      <w:r w:rsidRPr="000D3559">
        <w:rPr>
          <w:lang w:val="en-US"/>
        </w:rPr>
        <w:t xml:space="preserve">, « From bilateralism to community interests in international law », </w:t>
      </w:r>
      <w:proofErr w:type="spellStart"/>
      <w:r w:rsidRPr="000D3559">
        <w:rPr>
          <w:i/>
          <w:iCs/>
          <w:lang w:val="en-US"/>
        </w:rPr>
        <w:t>Recueil</w:t>
      </w:r>
      <w:proofErr w:type="spellEnd"/>
      <w:r w:rsidRPr="000D3559">
        <w:rPr>
          <w:i/>
          <w:iCs/>
          <w:lang w:val="en-US"/>
        </w:rPr>
        <w:t xml:space="preserve"> des </w:t>
      </w:r>
      <w:proofErr w:type="spellStart"/>
      <w:r w:rsidRPr="000D3559">
        <w:rPr>
          <w:i/>
          <w:iCs/>
          <w:lang w:val="en-US"/>
        </w:rPr>
        <w:t>cours</w:t>
      </w:r>
      <w:proofErr w:type="spellEnd"/>
      <w:r w:rsidRPr="000D3559">
        <w:rPr>
          <w:i/>
          <w:iCs/>
          <w:lang w:val="en-US"/>
        </w:rPr>
        <w:t xml:space="preserve"> de </w:t>
      </w:r>
      <w:proofErr w:type="spellStart"/>
      <w:r w:rsidRPr="000D3559">
        <w:rPr>
          <w:i/>
          <w:iCs/>
          <w:lang w:val="en-US"/>
        </w:rPr>
        <w:t>l’Académie</w:t>
      </w:r>
      <w:proofErr w:type="spellEnd"/>
      <w:r w:rsidRPr="000D3559">
        <w:rPr>
          <w:i/>
          <w:iCs/>
          <w:lang w:val="en-US"/>
        </w:rPr>
        <w:t xml:space="preserve"> de droit international de La Haye, 1994-VI</w:t>
      </w:r>
      <w:r w:rsidRPr="000D3559">
        <w:rPr>
          <w:lang w:val="en-US"/>
        </w:rPr>
        <w:t xml:space="preserve">, vol. 250, p. 217 à 384 ; </w:t>
      </w:r>
      <w:proofErr w:type="spellStart"/>
      <w:r w:rsidRPr="000D3559">
        <w:rPr>
          <w:lang w:val="en-US"/>
        </w:rPr>
        <w:t>Naoya</w:t>
      </w:r>
      <w:proofErr w:type="spellEnd"/>
      <w:r w:rsidRPr="000D3559">
        <w:rPr>
          <w:lang w:val="en-US"/>
        </w:rPr>
        <w:t xml:space="preserve"> </w:t>
      </w:r>
      <w:proofErr w:type="spellStart"/>
      <w:r w:rsidRPr="000D3559">
        <w:rPr>
          <w:lang w:val="en-US"/>
        </w:rPr>
        <w:t>Okuwaki</w:t>
      </w:r>
      <w:proofErr w:type="spellEnd"/>
      <w:r w:rsidRPr="000D3559">
        <w:rPr>
          <w:lang w:val="en-US"/>
        </w:rPr>
        <w:t>, « On compliance with the obligation to cooperate : new developments of “international law for cooperation” », dans J. </w:t>
      </w:r>
      <w:proofErr w:type="spellStart"/>
      <w:r w:rsidRPr="000D3559">
        <w:rPr>
          <w:lang w:val="en-US"/>
        </w:rPr>
        <w:t>Eto</w:t>
      </w:r>
      <w:proofErr w:type="spellEnd"/>
      <w:r w:rsidRPr="000D3559">
        <w:rPr>
          <w:lang w:val="en-US"/>
        </w:rPr>
        <w:t xml:space="preserve"> (dir. publ.), </w:t>
      </w:r>
      <w:r w:rsidRPr="000D3559">
        <w:rPr>
          <w:i/>
          <w:lang w:val="en-US"/>
        </w:rPr>
        <w:t>Aspects of International Law Studies</w:t>
      </w:r>
      <w:r w:rsidRPr="000D3559">
        <w:rPr>
          <w:lang w:val="en-US"/>
        </w:rPr>
        <w:t xml:space="preserve"> (Festschrift for Shinya </w:t>
      </w:r>
      <w:proofErr w:type="spellStart"/>
      <w:r w:rsidRPr="000D3559">
        <w:rPr>
          <w:lang w:val="en-US"/>
        </w:rPr>
        <w:t>Murase</w:t>
      </w:r>
      <w:proofErr w:type="spellEnd"/>
      <w:r w:rsidRPr="000D3559">
        <w:rPr>
          <w:lang w:val="en-US"/>
        </w:rPr>
        <w:t xml:space="preserve">) (Tokyo : </w:t>
      </w:r>
      <w:proofErr w:type="spellStart"/>
      <w:r w:rsidRPr="000D3559">
        <w:rPr>
          <w:lang w:val="en-US"/>
        </w:rPr>
        <w:t>Shinzansha</w:t>
      </w:r>
      <w:proofErr w:type="spellEnd"/>
      <w:r w:rsidRPr="000D3559">
        <w:rPr>
          <w:lang w:val="en-US"/>
        </w:rPr>
        <w:t>, 2015), p. 5 à 46, aux pages 16 et 17 (</w:t>
      </w:r>
      <w:proofErr w:type="spellStart"/>
      <w:r w:rsidRPr="000D3559">
        <w:rPr>
          <w:lang w:val="en-US"/>
        </w:rPr>
        <w:t>en</w:t>
      </w:r>
      <w:proofErr w:type="spellEnd"/>
      <w:r w:rsidRPr="000D3559">
        <w:rPr>
          <w:lang w:val="en-US"/>
        </w:rPr>
        <w:t xml:space="preserve"> </w:t>
      </w:r>
      <w:proofErr w:type="spellStart"/>
      <w:r w:rsidRPr="000D3559">
        <w:rPr>
          <w:lang w:val="en-US"/>
        </w:rPr>
        <w:t>japonais</w:t>
      </w:r>
      <w:proofErr w:type="spellEnd"/>
      <w:r w:rsidRPr="000D3559">
        <w:rPr>
          <w:lang w:val="en-US"/>
        </w:rPr>
        <w:t>).</w:t>
      </w:r>
    </w:p>
  </w:footnote>
  <w:footnote w:id="113">
    <w:p w14:paraId="5C089114" w14:textId="77777777" w:rsidR="00D01ECD" w:rsidRPr="00750617" w:rsidRDefault="00D01ECD" w:rsidP="00D01ECD">
      <w:pPr>
        <w:pStyle w:val="FootnoteText"/>
      </w:pPr>
      <w:r w:rsidRPr="000D3559">
        <w:rPr>
          <w:lang w:val="en-US"/>
        </w:rPr>
        <w:tab/>
      </w:r>
      <w:r w:rsidRPr="00750617">
        <w:rPr>
          <w:rStyle w:val="FootnoteReference"/>
        </w:rPr>
        <w:footnoteRef/>
      </w:r>
      <w:r w:rsidRPr="00750617">
        <w:tab/>
      </w:r>
      <w:r w:rsidRPr="00750617">
        <w:rPr>
          <w:i/>
        </w:rPr>
        <w:t>Usines de pâte à papier sur le fleuve Uruguay</w:t>
      </w:r>
      <w:r w:rsidRPr="00750617">
        <w:rPr>
          <w:iCs/>
        </w:rPr>
        <w:t xml:space="preserve"> (voir </w:t>
      </w:r>
      <w:r w:rsidRPr="00750617">
        <w:rPr>
          <w:i/>
        </w:rPr>
        <w:t>supra</w:t>
      </w:r>
      <w:r w:rsidRPr="00750617">
        <w:rPr>
          <w:iCs/>
        </w:rPr>
        <w:t xml:space="preserve"> la note </w:t>
      </w:r>
      <w:r w:rsidRPr="00750617">
        <w:rPr>
          <w:iCs/>
        </w:rPr>
        <w:fldChar w:fldCharType="begin"/>
      </w:r>
      <w:r w:rsidRPr="00750617">
        <w:rPr>
          <w:iCs/>
        </w:rPr>
        <w:instrText xml:space="preserve"> NOTEREF _Ref456789244 \h </w:instrText>
      </w:r>
      <w:r>
        <w:rPr>
          <w:iCs/>
        </w:rPr>
        <w:instrText xml:space="preserve"> \* MERGEFORMAT </w:instrText>
      </w:r>
      <w:r w:rsidRPr="00750617">
        <w:rPr>
          <w:iCs/>
        </w:rPr>
      </w:r>
      <w:r w:rsidRPr="00750617">
        <w:rPr>
          <w:iCs/>
        </w:rPr>
        <w:fldChar w:fldCharType="separate"/>
      </w:r>
      <w:r>
        <w:rPr>
          <w:iCs/>
        </w:rPr>
        <w:t>79</w:t>
      </w:r>
      <w:r w:rsidRPr="00750617">
        <w:rPr>
          <w:iCs/>
        </w:rPr>
        <w:fldChar w:fldCharType="end"/>
      </w:r>
      <w:r w:rsidRPr="00750617">
        <w:rPr>
          <w:iCs/>
        </w:rPr>
        <w:t>)</w:t>
      </w:r>
      <w:r w:rsidRPr="00750617">
        <w:t>, p</w:t>
      </w:r>
      <w:r w:rsidRPr="00F22925">
        <w:t>.</w:t>
      </w:r>
      <w:r w:rsidRPr="00750617">
        <w:t> 49, par</w:t>
      </w:r>
      <w:r w:rsidRPr="00F22925">
        <w:t>.</w:t>
      </w:r>
      <w:r w:rsidRPr="00750617">
        <w:t> 77</w:t>
      </w:r>
      <w:r w:rsidRPr="00F22925">
        <w:t>.</w:t>
      </w:r>
    </w:p>
  </w:footnote>
  <w:footnote w:id="114">
    <w:p w14:paraId="4FB28641" w14:textId="77777777" w:rsidR="00D01ECD" w:rsidRPr="00750617" w:rsidRDefault="00D01ECD" w:rsidP="00D01ECD">
      <w:pPr>
        <w:pStyle w:val="FootnoteText"/>
      </w:pPr>
      <w:r w:rsidRPr="00750617">
        <w:tab/>
      </w:r>
      <w:r w:rsidRPr="00750617">
        <w:rPr>
          <w:rStyle w:val="FootnoteReference"/>
        </w:rPr>
        <w:footnoteRef/>
      </w:r>
      <w:r w:rsidRPr="00750617">
        <w:tab/>
        <w:t>Le principe 24 de la Déclaration de Stockholm se lit ainsi :</w:t>
      </w:r>
    </w:p>
    <w:p w14:paraId="0ED54B3A" w14:textId="77777777" w:rsidR="00D01ECD" w:rsidRPr="00750617" w:rsidRDefault="00D01ECD" w:rsidP="00D01ECD">
      <w:pPr>
        <w:pStyle w:val="FootnoteText"/>
        <w:ind w:left="1418" w:firstLine="284"/>
      </w:pPr>
      <w:r w:rsidRPr="00750617">
        <w:t>« Les questions internationales se rapportant à la protection et à l’amélioration de l’environnement devraient être abordées dans un esprit de coopération par tous les pays, grands ou petits, sur un pied d’égalité</w:t>
      </w:r>
      <w:r w:rsidRPr="00F22925">
        <w:t>.</w:t>
      </w:r>
      <w:r w:rsidRPr="00750617">
        <w:t xml:space="preserve"> Une coopération par voie d’accords multilatéraux ou bilatéraux ou par d’autres moyens appropriés est indispensable pour limiter efficacement, prévenir, réduire et éliminer les atteintes à l’environnement résultant d’activités exercées dans tous les domaines, et ce, dans le respect de la souveraineté et des intérêts de tous les États</w:t>
      </w:r>
      <w:r w:rsidRPr="00F22925">
        <w:t>.</w:t>
      </w:r>
      <w:r w:rsidRPr="00750617">
        <w:t> »</w:t>
      </w:r>
      <w:r w:rsidRPr="00F22925">
        <w:t>.</w:t>
      </w:r>
    </w:p>
    <w:p w14:paraId="27B39ADB" w14:textId="77777777" w:rsidR="00D01ECD" w:rsidRPr="00750617" w:rsidRDefault="00D01ECD" w:rsidP="00D01ECD">
      <w:pPr>
        <w:pStyle w:val="FootnoteText"/>
      </w:pPr>
      <w:r w:rsidRPr="00750617">
        <w:tab/>
      </w:r>
      <w:r w:rsidRPr="00750617">
        <w:tab/>
      </w:r>
      <w:r w:rsidRPr="00750617">
        <w:rPr>
          <w:i/>
        </w:rPr>
        <w:t>Rapport de la Conférence des Nations Unies sur l’environnement</w:t>
      </w:r>
      <w:r w:rsidRPr="00750617">
        <w:t xml:space="preserve">, Stockholm, 5-16 juin 1972 (voir </w:t>
      </w:r>
      <w:r w:rsidRPr="00750617">
        <w:rPr>
          <w:i/>
          <w:iCs/>
        </w:rPr>
        <w:t>supra</w:t>
      </w:r>
      <w:r w:rsidRPr="00750617">
        <w:t xml:space="preserve"> la note </w:t>
      </w:r>
      <w:r w:rsidRPr="00750617">
        <w:fldChar w:fldCharType="begin"/>
      </w:r>
      <w:r w:rsidRPr="00750617">
        <w:instrText xml:space="preserve"> NOTEREF _Ref520288235 \h </w:instrText>
      </w:r>
      <w:r>
        <w:instrText xml:space="preserve"> \* MERGEFORMAT </w:instrText>
      </w:r>
      <w:r w:rsidRPr="00750617">
        <w:fldChar w:fldCharType="separate"/>
      </w:r>
      <w:r>
        <w:t>11</w:t>
      </w:r>
      <w:r w:rsidRPr="00750617">
        <w:fldChar w:fldCharType="end"/>
      </w:r>
      <w:r w:rsidRPr="00750617">
        <w:t>)</w:t>
      </w:r>
      <w:r w:rsidRPr="00F22925">
        <w:t>.</w:t>
      </w:r>
    </w:p>
    <w:p w14:paraId="30489289" w14:textId="77777777" w:rsidR="00D01ECD" w:rsidRPr="00750617" w:rsidRDefault="00D01ECD" w:rsidP="00D01ECD">
      <w:pPr>
        <w:pStyle w:val="FootnoteText"/>
      </w:pPr>
      <w:r w:rsidRPr="00750617">
        <w:tab/>
      </w:r>
      <w:r w:rsidRPr="00750617">
        <w:tab/>
        <w:t>Le principe 27 de la Déclaration de Rio se lit ainsi :</w:t>
      </w:r>
    </w:p>
    <w:p w14:paraId="6B2A567A" w14:textId="77777777" w:rsidR="00D01ECD" w:rsidRPr="00750617" w:rsidRDefault="00D01ECD" w:rsidP="00D01ECD">
      <w:pPr>
        <w:pStyle w:val="FootnoteText"/>
        <w:ind w:left="1418" w:firstLine="284"/>
      </w:pPr>
      <w:r w:rsidRPr="00750617">
        <w:t>« Les États et les peuples doivent coopérer de bonne foi et dans un esprit de solidarité à l’application des principes consacrés dans la présente Déclaration et au développement du droit international dans le domaine du développement durable</w:t>
      </w:r>
      <w:r w:rsidRPr="00F22925">
        <w:t>.</w:t>
      </w:r>
      <w:r w:rsidRPr="00750617">
        <w:t> »</w:t>
      </w:r>
      <w:r w:rsidRPr="00F22925">
        <w:t>.</w:t>
      </w:r>
    </w:p>
    <w:p w14:paraId="524475D0" w14:textId="77777777" w:rsidR="00D01ECD" w:rsidRPr="00750617" w:rsidRDefault="00D01ECD" w:rsidP="00D01ECD">
      <w:pPr>
        <w:pStyle w:val="FootnoteText"/>
      </w:pPr>
      <w:r w:rsidRPr="00750617">
        <w:tab/>
      </w:r>
      <w:r w:rsidRPr="00750617">
        <w:tab/>
      </w:r>
      <w:r w:rsidRPr="00750617">
        <w:rPr>
          <w:i/>
        </w:rPr>
        <w:t>Rapport de la Conférence des Nations Unies sur l’environnement, Rio de Janeiro, 3-14 juin 1992</w:t>
      </w:r>
      <w:r w:rsidRPr="00750617">
        <w:t>, vol</w:t>
      </w:r>
      <w:r w:rsidRPr="00F22925">
        <w:t>.</w:t>
      </w:r>
      <w:r w:rsidRPr="00750617">
        <w:t xml:space="preserve"> I : </w:t>
      </w:r>
      <w:r w:rsidRPr="00750617">
        <w:rPr>
          <w:i/>
        </w:rPr>
        <w:t>Résolutions adoptées par la Conférence</w:t>
      </w:r>
      <w:r w:rsidRPr="00750617">
        <w:t xml:space="preserve"> (Publication des Nations Unies, numéro de vente : F</w:t>
      </w:r>
      <w:r w:rsidRPr="00F22925">
        <w:t>.</w:t>
      </w:r>
      <w:r w:rsidRPr="00750617">
        <w:t>93</w:t>
      </w:r>
      <w:r w:rsidRPr="00F22925">
        <w:t>.</w:t>
      </w:r>
      <w:r w:rsidRPr="00750617">
        <w:t>I</w:t>
      </w:r>
      <w:r w:rsidRPr="00F22925">
        <w:t>.</w:t>
      </w:r>
      <w:r w:rsidRPr="00750617">
        <w:t>8 et rectificatif), résolution 1, annexe I, chap</w:t>
      </w:r>
      <w:r w:rsidRPr="00F22925">
        <w:t>.</w:t>
      </w:r>
      <w:r w:rsidRPr="00750617">
        <w:t> I</w:t>
      </w:r>
      <w:r w:rsidRPr="00F22925">
        <w:t>.</w:t>
      </w:r>
    </w:p>
  </w:footnote>
  <w:footnote w:id="115">
    <w:p w14:paraId="27689131" w14:textId="77777777" w:rsidR="00D01ECD" w:rsidRPr="00750617" w:rsidRDefault="00D01ECD" w:rsidP="00D01ECD">
      <w:pPr>
        <w:pStyle w:val="FootnoteText"/>
      </w:pPr>
      <w:r w:rsidRPr="00750617">
        <w:tab/>
      </w:r>
      <w:r w:rsidRPr="00750617">
        <w:rPr>
          <w:rStyle w:val="FootnoteReference"/>
        </w:rPr>
        <w:footnoteRef/>
      </w:r>
      <w:r w:rsidRPr="00750617">
        <w:tab/>
        <w:t>Voir aussi la section 2 de la partie XII de la Convention des Nations Unies sur le droit de la mer, qui prévoit la « [c]</w:t>
      </w:r>
      <w:proofErr w:type="spellStart"/>
      <w:r w:rsidRPr="00750617">
        <w:t>oopération</w:t>
      </w:r>
      <w:proofErr w:type="spellEnd"/>
      <w:r w:rsidRPr="00750617">
        <w:t xml:space="preserve"> </w:t>
      </w:r>
      <w:proofErr w:type="gramStart"/>
      <w:r w:rsidRPr="00750617">
        <w:t>au</w:t>
      </w:r>
      <w:proofErr w:type="gramEnd"/>
      <w:r w:rsidRPr="00750617">
        <w:t xml:space="preserve"> plan mondial ou régional » (art</w:t>
      </w:r>
      <w:r w:rsidRPr="00F22925">
        <w:t>.</w:t>
      </w:r>
      <w:r w:rsidRPr="00750617">
        <w:t> 197), la « [n]</w:t>
      </w:r>
      <w:proofErr w:type="spellStart"/>
      <w:r w:rsidRPr="00750617">
        <w:t>otification</w:t>
      </w:r>
      <w:proofErr w:type="spellEnd"/>
      <w:r w:rsidRPr="00750617">
        <w:t xml:space="preserve"> d’un risque imminent de dommage ou d’un dommage effectif » (art</w:t>
      </w:r>
      <w:r w:rsidRPr="00F22925">
        <w:t>.</w:t>
      </w:r>
      <w:r w:rsidRPr="00750617">
        <w:t> 198), des « [p]</w:t>
      </w:r>
      <w:proofErr w:type="spellStart"/>
      <w:r w:rsidRPr="00750617">
        <w:t>lans</w:t>
      </w:r>
      <w:proofErr w:type="spellEnd"/>
      <w:r w:rsidRPr="00750617">
        <w:t xml:space="preserve"> d’urgence contre la pollution » (art</w:t>
      </w:r>
      <w:r w:rsidRPr="00F22925">
        <w:t>.</w:t>
      </w:r>
      <w:r w:rsidRPr="00750617">
        <w:t> 199), des « [é]</w:t>
      </w:r>
      <w:proofErr w:type="spellStart"/>
      <w:r w:rsidRPr="00750617">
        <w:t>tudes</w:t>
      </w:r>
      <w:proofErr w:type="spellEnd"/>
      <w:r w:rsidRPr="00750617">
        <w:t>, programmes de recherche et échange de renseignements et de données » (art</w:t>
      </w:r>
      <w:r w:rsidRPr="00F22925">
        <w:t>.</w:t>
      </w:r>
      <w:r w:rsidRPr="00750617">
        <w:t> 200) et des « [c]</w:t>
      </w:r>
      <w:proofErr w:type="spellStart"/>
      <w:r w:rsidRPr="00750617">
        <w:t>ritères</w:t>
      </w:r>
      <w:proofErr w:type="spellEnd"/>
      <w:r w:rsidRPr="00750617">
        <w:t xml:space="preserve"> scientifiques pour l’élaboration de règlements » (art</w:t>
      </w:r>
      <w:r w:rsidRPr="00F22925">
        <w:t>.</w:t>
      </w:r>
      <w:r w:rsidRPr="00750617">
        <w:t> 201)</w:t>
      </w:r>
      <w:r w:rsidRPr="00F22925">
        <w:t>.</w:t>
      </w:r>
      <w:r w:rsidRPr="00750617">
        <w:t xml:space="preserve"> La section 2 (Coopération internationale) de la partie XIII de la Convention des Nations Unies sur le droit de la mer, consacrée à la recherche scientifique marine, prévoit l</w:t>
      </w:r>
      <w:proofErr w:type="gramStart"/>
      <w:r w:rsidRPr="00750617">
        <w:t>’«</w:t>
      </w:r>
      <w:proofErr w:type="gramEnd"/>
      <w:r w:rsidRPr="00750617">
        <w:t> [o]</w:t>
      </w:r>
      <w:proofErr w:type="spellStart"/>
      <w:r w:rsidRPr="00750617">
        <w:t>bligation</w:t>
      </w:r>
      <w:proofErr w:type="spellEnd"/>
      <w:r w:rsidRPr="00750617">
        <w:t xml:space="preserve"> de favoriser la coopération internationale » (art</w:t>
      </w:r>
      <w:r w:rsidRPr="00F22925">
        <w:t>.</w:t>
      </w:r>
      <w:r w:rsidRPr="00750617">
        <w:t> 242), l’« [i]</w:t>
      </w:r>
      <w:proofErr w:type="spellStart"/>
      <w:r w:rsidRPr="00750617">
        <w:t>nstauration</w:t>
      </w:r>
      <w:proofErr w:type="spellEnd"/>
      <w:r w:rsidRPr="00750617">
        <w:t xml:space="preserve"> de conditions favorables » (art</w:t>
      </w:r>
      <w:r w:rsidRPr="00F22925">
        <w:t>.</w:t>
      </w:r>
      <w:r w:rsidRPr="00750617">
        <w:t> 243) et la « [p]</w:t>
      </w:r>
      <w:proofErr w:type="spellStart"/>
      <w:r w:rsidRPr="00750617">
        <w:t>ublication</w:t>
      </w:r>
      <w:proofErr w:type="spellEnd"/>
      <w:r w:rsidRPr="00750617">
        <w:t xml:space="preserve"> et diffusion d’informations et de connaissances » (art</w:t>
      </w:r>
      <w:r w:rsidRPr="00F22925">
        <w:t>.</w:t>
      </w:r>
      <w:r w:rsidRPr="00750617">
        <w:t> 244)</w:t>
      </w:r>
      <w:r w:rsidRPr="00F22925">
        <w:t>.</w:t>
      </w:r>
    </w:p>
  </w:footnote>
  <w:footnote w:id="116">
    <w:p w14:paraId="7196DC77" w14:textId="77777777" w:rsidR="00D01ECD" w:rsidRPr="00750617" w:rsidRDefault="00D01ECD" w:rsidP="00D01ECD">
      <w:pPr>
        <w:pStyle w:val="FootnoteText"/>
        <w:rPr>
          <w:szCs w:val="18"/>
        </w:rPr>
      </w:pPr>
      <w:r w:rsidRPr="00750617">
        <w:tab/>
      </w:r>
      <w:r w:rsidRPr="00750617">
        <w:rPr>
          <w:rStyle w:val="FootnoteReference"/>
        </w:rPr>
        <w:footnoteRef/>
      </w:r>
      <w:r w:rsidRPr="00750617">
        <w:tab/>
      </w:r>
      <w:r w:rsidRPr="00750617">
        <w:rPr>
          <w:szCs w:val="18"/>
        </w:rPr>
        <w:t>Voir l’article</w:t>
      </w:r>
      <w:r w:rsidRPr="00750617">
        <w:t> </w:t>
      </w:r>
      <w:r w:rsidRPr="00750617">
        <w:rPr>
          <w:szCs w:val="18"/>
        </w:rPr>
        <w:t>7 (par</w:t>
      </w:r>
      <w:r w:rsidRPr="00F22925">
        <w:rPr>
          <w:szCs w:val="18"/>
        </w:rPr>
        <w:t>.</w:t>
      </w:r>
      <w:r w:rsidRPr="00750617">
        <w:t> </w:t>
      </w:r>
      <w:r w:rsidRPr="00750617">
        <w:rPr>
          <w:szCs w:val="18"/>
        </w:rPr>
        <w:t>6)</w:t>
      </w:r>
      <w:r w:rsidRPr="00F22925">
        <w:rPr>
          <w:szCs w:val="18"/>
        </w:rPr>
        <w:t>.</w:t>
      </w:r>
      <w:r w:rsidRPr="00750617">
        <w:rPr>
          <w:szCs w:val="18"/>
        </w:rPr>
        <w:t xml:space="preserve"> Voir aussi les articles</w:t>
      </w:r>
      <w:r w:rsidRPr="00750617">
        <w:t> </w:t>
      </w:r>
      <w:r w:rsidRPr="00750617">
        <w:rPr>
          <w:szCs w:val="18"/>
        </w:rPr>
        <w:t>6 (par</w:t>
      </w:r>
      <w:r w:rsidRPr="00F22925">
        <w:rPr>
          <w:szCs w:val="18"/>
        </w:rPr>
        <w:t>.</w:t>
      </w:r>
      <w:r w:rsidRPr="00750617">
        <w:t> </w:t>
      </w:r>
      <w:r w:rsidRPr="00750617">
        <w:rPr>
          <w:szCs w:val="18"/>
        </w:rPr>
        <w:t>1), 7 (par</w:t>
      </w:r>
      <w:r w:rsidRPr="00F22925">
        <w:rPr>
          <w:szCs w:val="18"/>
        </w:rPr>
        <w:t>.</w:t>
      </w:r>
      <w:r w:rsidRPr="00750617">
        <w:t> </w:t>
      </w:r>
      <w:r w:rsidRPr="00750617">
        <w:rPr>
          <w:szCs w:val="18"/>
        </w:rPr>
        <w:t>7), 8 (par</w:t>
      </w:r>
      <w:r w:rsidRPr="00F22925">
        <w:rPr>
          <w:szCs w:val="18"/>
        </w:rPr>
        <w:t>.</w:t>
      </w:r>
      <w:r w:rsidRPr="00750617">
        <w:t> </w:t>
      </w:r>
      <w:r w:rsidRPr="00750617">
        <w:rPr>
          <w:szCs w:val="18"/>
        </w:rPr>
        <w:t>4) et 14 (par</w:t>
      </w:r>
      <w:r w:rsidRPr="00F22925">
        <w:rPr>
          <w:szCs w:val="18"/>
        </w:rPr>
        <w:t>.</w:t>
      </w:r>
      <w:r w:rsidRPr="00750617">
        <w:t> </w:t>
      </w:r>
      <w:r w:rsidRPr="00750617">
        <w:rPr>
          <w:szCs w:val="18"/>
        </w:rPr>
        <w:t>3)</w:t>
      </w:r>
      <w:r w:rsidRPr="00F22925">
        <w:rPr>
          <w:szCs w:val="18"/>
        </w:rPr>
        <w:t>.</w:t>
      </w:r>
    </w:p>
  </w:footnote>
  <w:footnote w:id="117">
    <w:p w14:paraId="4394AF00" w14:textId="77777777" w:rsidR="00D01ECD" w:rsidRPr="00750617" w:rsidRDefault="00D01ECD" w:rsidP="00D01ECD">
      <w:pPr>
        <w:pStyle w:val="FootnoteText"/>
      </w:pPr>
      <w:r w:rsidRPr="00750617">
        <w:tab/>
      </w:r>
      <w:r w:rsidRPr="00750617">
        <w:rPr>
          <w:rStyle w:val="FootnoteReference"/>
        </w:rPr>
        <w:footnoteRef/>
      </w:r>
      <w:r w:rsidRPr="00750617">
        <w:tab/>
        <w:t>Préambule, quatorzième alinéa</w:t>
      </w:r>
      <w:r w:rsidRPr="00F22925">
        <w:t>.</w:t>
      </w:r>
      <w:r w:rsidRPr="00750617">
        <w:t xml:space="preserve"> Voir aussi le paragraphe 1 de l’article 8 de la Convention sur le droit relatif aux utilisations des cours d’eau internationaux à des fins autres que la navigation, portant sur l’obligation générale de coopérer, qui dispose : </w:t>
      </w:r>
    </w:p>
    <w:p w14:paraId="3A0A70E3" w14:textId="77777777" w:rsidR="00D01ECD" w:rsidRPr="00750617" w:rsidRDefault="00D01ECD" w:rsidP="00D01ECD">
      <w:pPr>
        <w:pStyle w:val="FootnoteText"/>
        <w:ind w:left="1418" w:firstLine="284"/>
      </w:pPr>
      <w:r w:rsidRPr="00750617">
        <w:t>« Les États du cours d’eau coopèrent sur la base de l’égalité souveraine, de l’intégrité territoriale, de l’avantage mutuel et de la bonne foi en vue de parvenir à l’utilisation optimale et à la protection adéquate du cours d’eau international</w:t>
      </w:r>
      <w:r w:rsidRPr="00F22925">
        <w:t>.</w:t>
      </w:r>
      <w:r w:rsidRPr="00750617">
        <w:t> ».</w:t>
      </w:r>
    </w:p>
  </w:footnote>
  <w:footnote w:id="118">
    <w:p w14:paraId="3D997ECB" w14:textId="77777777" w:rsidR="00D01ECD" w:rsidRPr="00750617" w:rsidRDefault="00D01ECD" w:rsidP="00D01ECD">
      <w:pPr>
        <w:pStyle w:val="FootnoteText"/>
        <w:rPr>
          <w:szCs w:val="18"/>
        </w:rPr>
      </w:pPr>
      <w:r w:rsidRPr="00750617">
        <w:tab/>
      </w:r>
      <w:r w:rsidRPr="00750617">
        <w:rPr>
          <w:rStyle w:val="FootnoteReference"/>
        </w:rPr>
        <w:footnoteRef/>
      </w:r>
      <w:r w:rsidRPr="00750617">
        <w:tab/>
      </w:r>
      <w:r w:rsidRPr="00750617">
        <w:rPr>
          <w:szCs w:val="18"/>
        </w:rPr>
        <w:t xml:space="preserve">Les articles sur la prévention des dommages transfrontières résultant d’activités dangereuses (2001) prévoient, à l’article 4, relatif à la coopération, que : </w:t>
      </w:r>
    </w:p>
    <w:p w14:paraId="44A212C7" w14:textId="77777777" w:rsidR="00D01ECD" w:rsidRPr="00750617" w:rsidRDefault="00D01ECD" w:rsidP="00D01ECD">
      <w:pPr>
        <w:pStyle w:val="FootnoteText"/>
        <w:ind w:left="1418" w:firstLine="284"/>
        <w:rPr>
          <w:szCs w:val="18"/>
        </w:rPr>
      </w:pPr>
      <w:r w:rsidRPr="00750617">
        <w:rPr>
          <w:szCs w:val="18"/>
        </w:rPr>
        <w:t>« Les États intéressés coopèrent de bonne foi et au besoin cherchent à obtenir l’assistance d’une ou de plusieurs organisations internationales compétentes pour prévenir un dommage transfrontière significatif ou en tout état de cause pour en réduire le risque au minimum</w:t>
      </w:r>
      <w:r w:rsidRPr="00F22925">
        <w:rPr>
          <w:szCs w:val="18"/>
        </w:rPr>
        <w:t>.</w:t>
      </w:r>
      <w:r w:rsidRPr="00750617">
        <w:rPr>
          <w:szCs w:val="18"/>
        </w:rPr>
        <w:t> »</w:t>
      </w:r>
      <w:r w:rsidRPr="00F22925">
        <w:rPr>
          <w:szCs w:val="18"/>
        </w:rPr>
        <w:t>.</w:t>
      </w:r>
    </w:p>
    <w:p w14:paraId="18B73EC0" w14:textId="77777777" w:rsidR="00D01ECD" w:rsidRPr="00750617" w:rsidRDefault="00D01ECD" w:rsidP="00D01ECD">
      <w:pPr>
        <w:pStyle w:val="FootnoteText"/>
        <w:rPr>
          <w:szCs w:val="18"/>
        </w:rPr>
      </w:pPr>
      <w:r w:rsidRPr="00750617">
        <w:rPr>
          <w:szCs w:val="18"/>
        </w:rPr>
        <w:tab/>
      </w:r>
      <w:r w:rsidRPr="00750617">
        <w:rPr>
          <w:szCs w:val="18"/>
        </w:rPr>
        <w:tab/>
        <w:t xml:space="preserve">Les articles sur le droit des aquifères transfrontières (2008) prévoient, à l’article 7, relatif à l’obligation générale de coopérer, que : </w:t>
      </w:r>
    </w:p>
    <w:p w14:paraId="48EF1927" w14:textId="77777777" w:rsidR="00D01ECD" w:rsidRPr="00750617" w:rsidRDefault="00D01ECD" w:rsidP="00D01ECD">
      <w:pPr>
        <w:pStyle w:val="FootnoteText"/>
        <w:ind w:left="1418" w:firstLine="0"/>
        <w:rPr>
          <w:szCs w:val="18"/>
        </w:rPr>
      </w:pPr>
      <w:r w:rsidRPr="00750617">
        <w:rPr>
          <w:szCs w:val="18"/>
        </w:rPr>
        <w:t>« 1</w:t>
      </w:r>
      <w:r w:rsidRPr="00F22925">
        <w:rPr>
          <w:szCs w:val="18"/>
        </w:rPr>
        <w:t>.</w:t>
      </w:r>
      <w:r w:rsidRPr="00750617">
        <w:rPr>
          <w:szCs w:val="18"/>
        </w:rPr>
        <w:tab/>
        <w:t xml:space="preserve"> Les États de l’aquifère coopèrent sur la base de l’égalité souveraine, de l’intégrité territoriale, du développement durable, de l’avantage mutuel et de la bonne foi en vue de parvenir à une utilisation équitable et raisonnable et à une protection appropriée de leurs aquifères ou systèmes aquifères transfrontières ;</w:t>
      </w:r>
    </w:p>
    <w:p w14:paraId="17A4B900" w14:textId="77777777" w:rsidR="00D01ECD" w:rsidRPr="00750617" w:rsidRDefault="00D01ECD" w:rsidP="00D01ECD">
      <w:pPr>
        <w:pStyle w:val="FootnoteText"/>
        <w:ind w:left="1418" w:firstLine="0"/>
        <w:rPr>
          <w:szCs w:val="18"/>
        </w:rPr>
      </w:pPr>
      <w:r w:rsidRPr="00750617">
        <w:rPr>
          <w:szCs w:val="18"/>
        </w:rPr>
        <w:t>2</w:t>
      </w:r>
      <w:r w:rsidRPr="00F22925">
        <w:rPr>
          <w:szCs w:val="18"/>
        </w:rPr>
        <w:t>.</w:t>
      </w:r>
      <w:r w:rsidRPr="00750617">
        <w:rPr>
          <w:szCs w:val="18"/>
        </w:rPr>
        <w:tab/>
        <w:t>Aux fins du paragraphe 1, les États de l’aquifère devraient établir des mécanismes conjoints de coopération</w:t>
      </w:r>
      <w:r w:rsidRPr="00F22925">
        <w:rPr>
          <w:szCs w:val="18"/>
        </w:rPr>
        <w:t>.</w:t>
      </w:r>
      <w:r w:rsidRPr="00750617">
        <w:rPr>
          <w:szCs w:val="18"/>
        </w:rPr>
        <w:t> »</w:t>
      </w:r>
      <w:r w:rsidRPr="00F22925">
        <w:rPr>
          <w:szCs w:val="18"/>
        </w:rPr>
        <w:t>.</w:t>
      </w:r>
    </w:p>
    <w:p w14:paraId="2559E196" w14:textId="77777777" w:rsidR="00D01ECD" w:rsidRPr="00750617" w:rsidRDefault="00D01ECD" w:rsidP="00D01ECD">
      <w:pPr>
        <w:pStyle w:val="FootnoteText"/>
        <w:rPr>
          <w:szCs w:val="18"/>
        </w:rPr>
      </w:pPr>
      <w:r w:rsidRPr="00750617">
        <w:rPr>
          <w:szCs w:val="18"/>
        </w:rPr>
        <w:tab/>
      </w:r>
      <w:r w:rsidRPr="00750617">
        <w:rPr>
          <w:szCs w:val="18"/>
        </w:rPr>
        <w:tab/>
      </w:r>
      <w:r w:rsidRPr="00750617">
        <w:rPr>
          <w:szCs w:val="18"/>
        </w:rPr>
        <w:tab/>
        <w:t>En outre, les articles sur la protection des personnes en cas de catastrophe (2016) prévoient, à l’article 7, une obligation de coopérer</w:t>
      </w:r>
      <w:r w:rsidRPr="00F22925">
        <w:rPr>
          <w:szCs w:val="18"/>
        </w:rPr>
        <w:t>.</w:t>
      </w:r>
      <w:r w:rsidRPr="00750617">
        <w:rPr>
          <w:szCs w:val="18"/>
        </w:rPr>
        <w:t xml:space="preserve"> Cet article se lit comme suit : </w:t>
      </w:r>
    </w:p>
    <w:p w14:paraId="042FEDE5" w14:textId="77777777" w:rsidR="00D01ECD" w:rsidRPr="00750617" w:rsidRDefault="00D01ECD" w:rsidP="00D01ECD">
      <w:pPr>
        <w:pStyle w:val="FootnoteText"/>
        <w:ind w:left="1418" w:firstLine="284"/>
        <w:rPr>
          <w:szCs w:val="18"/>
        </w:rPr>
      </w:pPr>
      <w:r w:rsidRPr="00750617">
        <w:rPr>
          <w:szCs w:val="18"/>
        </w:rPr>
        <w:t>« En appliquant le présent projet d’articles, les États doivent, selon qu’il y a lieu, coopérer entre eux, avec l’Organisation des Nations Unies, avec les composantes du Mouvement de la Croix-Rouge et du Croissant-Rouge et avec les autres acteurs prêtant assistance</w:t>
      </w:r>
      <w:r w:rsidRPr="00F22925">
        <w:rPr>
          <w:szCs w:val="18"/>
        </w:rPr>
        <w:t>.</w:t>
      </w:r>
      <w:r w:rsidRPr="00750617">
        <w:rPr>
          <w:szCs w:val="18"/>
        </w:rPr>
        <w:t> »</w:t>
      </w:r>
      <w:r w:rsidRPr="00F22925">
        <w:rPr>
          <w:szCs w:val="18"/>
        </w:rPr>
        <w:t>.</w:t>
      </w:r>
    </w:p>
  </w:footnote>
  <w:footnote w:id="119">
    <w:p w14:paraId="3DC618B9" w14:textId="77777777" w:rsidR="00D01ECD" w:rsidRPr="00750617" w:rsidRDefault="00D01ECD" w:rsidP="00D01ECD">
      <w:pPr>
        <w:pStyle w:val="FootnoteText"/>
      </w:pPr>
      <w:r w:rsidRPr="00750617">
        <w:tab/>
      </w:r>
      <w:r w:rsidRPr="00750617">
        <w:rPr>
          <w:rStyle w:val="FootnoteReference"/>
        </w:rPr>
        <w:footnoteRef/>
      </w:r>
      <w:r w:rsidRPr="00750617">
        <w:tab/>
        <w:t xml:space="preserve">Disponible à l’adresse suivante : </w:t>
      </w:r>
      <w:hyperlink r:id="rId41" w:history="1">
        <w:r w:rsidRPr="00750617">
          <w:rPr>
            <w:rStyle w:val="Hyperlink"/>
          </w:rPr>
          <w:t>https://web</w:t>
        </w:r>
        <w:r w:rsidRPr="00F22925">
          <w:rPr>
            <w:rStyle w:val="Hyperlink"/>
          </w:rPr>
          <w:t>.</w:t>
        </w:r>
        <w:r w:rsidRPr="00750617">
          <w:rPr>
            <w:rStyle w:val="Hyperlink"/>
          </w:rPr>
          <w:t>archive</w:t>
        </w:r>
        <w:r w:rsidRPr="00F22925">
          <w:rPr>
            <w:rStyle w:val="Hyperlink"/>
          </w:rPr>
          <w:t>.</w:t>
        </w:r>
        <w:r w:rsidRPr="00750617">
          <w:rPr>
            <w:rStyle w:val="Hyperlink"/>
          </w:rPr>
          <w:t>org/web/20111226174901/http://www</w:t>
        </w:r>
        <w:r w:rsidRPr="00F22925">
          <w:rPr>
            <w:rStyle w:val="Hyperlink"/>
          </w:rPr>
          <w:t>.</w:t>
        </w:r>
        <w:r w:rsidRPr="00750617">
          <w:rPr>
            <w:rStyle w:val="Hyperlink"/>
          </w:rPr>
          <w:t>unep</w:t>
        </w:r>
        <w:r w:rsidRPr="00F22925">
          <w:rPr>
            <w:rStyle w:val="Hyperlink"/>
          </w:rPr>
          <w:t>.</w:t>
        </w:r>
        <w:r w:rsidRPr="00750617">
          <w:rPr>
            <w:rStyle w:val="Hyperlink"/>
          </w:rPr>
          <w:t xml:space="preserve">org/ </w:t>
        </w:r>
        <w:proofErr w:type="spellStart"/>
        <w:r w:rsidRPr="00750617">
          <w:rPr>
            <w:rStyle w:val="Hyperlink"/>
          </w:rPr>
          <w:t>urban_environment</w:t>
        </w:r>
        <w:proofErr w:type="spellEnd"/>
        <w:r w:rsidRPr="00750617">
          <w:rPr>
            <w:rStyle w:val="Hyperlink"/>
          </w:rPr>
          <w:t>/</w:t>
        </w:r>
        <w:proofErr w:type="spellStart"/>
        <w:r w:rsidRPr="00750617">
          <w:rPr>
            <w:rStyle w:val="Hyperlink"/>
          </w:rPr>
          <w:t>PDFs</w:t>
        </w:r>
        <w:proofErr w:type="spellEnd"/>
        <w:r w:rsidRPr="00750617">
          <w:rPr>
            <w:rStyle w:val="Hyperlink"/>
          </w:rPr>
          <w:t>/EABAQ2008-AirPollutionAgreementFR</w:t>
        </w:r>
        <w:r w:rsidRPr="00F22925">
          <w:rPr>
            <w:rStyle w:val="Hyperlink"/>
          </w:rPr>
          <w:t>.</w:t>
        </w:r>
        <w:r w:rsidRPr="00750617">
          <w:rPr>
            <w:rStyle w:val="Hyperlink"/>
          </w:rPr>
          <w:t>pdf</w:t>
        </w:r>
      </w:hyperlink>
      <w:r w:rsidRPr="00F22925">
        <w:t>.</w:t>
      </w:r>
    </w:p>
  </w:footnote>
  <w:footnote w:id="120">
    <w:p w14:paraId="73AF4353" w14:textId="77777777" w:rsidR="00D01ECD" w:rsidRPr="00750617" w:rsidRDefault="00D01ECD" w:rsidP="00D01ECD">
      <w:pPr>
        <w:pStyle w:val="FootnoteText"/>
        <w:rPr>
          <w:spacing w:val="2"/>
        </w:rPr>
      </w:pPr>
      <w:r w:rsidRPr="00750617">
        <w:tab/>
      </w:r>
      <w:r w:rsidRPr="00750617">
        <w:rPr>
          <w:rStyle w:val="FootnoteReference"/>
        </w:rPr>
        <w:footnoteRef/>
      </w:r>
      <w:r w:rsidRPr="00750617">
        <w:tab/>
        <w:t>Disponible à l’adresse suivante :</w:t>
      </w:r>
      <w:r w:rsidRPr="00750617">
        <w:rPr>
          <w:rFonts w:eastAsia="PMingLiU"/>
          <w:lang w:eastAsia="zh-TW"/>
        </w:rPr>
        <w:t xml:space="preserve"> </w:t>
      </w:r>
      <w:hyperlink r:id="rId42" w:history="1">
        <w:r w:rsidRPr="00750617">
          <w:rPr>
            <w:rStyle w:val="Hyperlink"/>
          </w:rPr>
          <w:t>https://web</w:t>
        </w:r>
        <w:r w:rsidRPr="00F22925">
          <w:rPr>
            <w:rStyle w:val="Hyperlink"/>
          </w:rPr>
          <w:t>.</w:t>
        </w:r>
        <w:r w:rsidRPr="00750617">
          <w:rPr>
            <w:rStyle w:val="Hyperlink"/>
          </w:rPr>
          <w:t>archive</w:t>
        </w:r>
        <w:r w:rsidRPr="00F22925">
          <w:rPr>
            <w:rStyle w:val="Hyperlink"/>
          </w:rPr>
          <w:t>.</w:t>
        </w:r>
        <w:r w:rsidRPr="00750617">
          <w:rPr>
            <w:rStyle w:val="Hyperlink"/>
          </w:rPr>
          <w:t>org/web/20111224143140/http://www</w:t>
        </w:r>
        <w:r w:rsidRPr="00F22925">
          <w:rPr>
            <w:rStyle w:val="Hyperlink"/>
          </w:rPr>
          <w:t>.</w:t>
        </w:r>
        <w:r w:rsidRPr="00750617">
          <w:rPr>
            <w:rStyle w:val="Hyperlink"/>
          </w:rPr>
          <w:t>unep</w:t>
        </w:r>
        <w:r w:rsidRPr="00F22925">
          <w:rPr>
            <w:rStyle w:val="Hyperlink"/>
          </w:rPr>
          <w:t>.</w:t>
        </w:r>
        <w:r w:rsidRPr="00750617">
          <w:rPr>
            <w:rStyle w:val="Hyperlink"/>
          </w:rPr>
          <w:t xml:space="preserve">org/ </w:t>
        </w:r>
        <w:proofErr w:type="spellStart"/>
        <w:r w:rsidRPr="00750617">
          <w:rPr>
            <w:rStyle w:val="Hyperlink"/>
          </w:rPr>
          <w:t>urban_environment</w:t>
        </w:r>
        <w:proofErr w:type="spellEnd"/>
        <w:r w:rsidRPr="00750617">
          <w:rPr>
            <w:rStyle w:val="Hyperlink"/>
          </w:rPr>
          <w:t>/</w:t>
        </w:r>
        <w:proofErr w:type="spellStart"/>
        <w:r w:rsidRPr="00750617">
          <w:rPr>
            <w:rStyle w:val="Hyperlink"/>
          </w:rPr>
          <w:t>PDFs</w:t>
        </w:r>
        <w:proofErr w:type="spellEnd"/>
        <w:r w:rsidRPr="00750617">
          <w:rPr>
            <w:rStyle w:val="Hyperlink"/>
          </w:rPr>
          <w:t>/BAQ09_AgreementFr</w:t>
        </w:r>
        <w:r w:rsidRPr="00F22925">
          <w:rPr>
            <w:rStyle w:val="Hyperlink"/>
          </w:rPr>
          <w:t>.</w:t>
        </w:r>
        <w:r w:rsidRPr="00750617">
          <w:rPr>
            <w:rStyle w:val="Hyperlink"/>
          </w:rPr>
          <w:t>pdf</w:t>
        </w:r>
      </w:hyperlink>
      <w:r w:rsidRPr="00F22925">
        <w:rPr>
          <w:spacing w:val="2"/>
        </w:rPr>
        <w:t>.</w:t>
      </w:r>
    </w:p>
  </w:footnote>
  <w:footnote w:id="121">
    <w:p w14:paraId="25B6CA5B" w14:textId="77777777" w:rsidR="00D01ECD" w:rsidRPr="00750617" w:rsidRDefault="00D01ECD" w:rsidP="00D01ECD">
      <w:pPr>
        <w:pStyle w:val="FootnoteText"/>
        <w:rPr>
          <w:szCs w:val="18"/>
        </w:rPr>
      </w:pPr>
      <w:r w:rsidRPr="00750617">
        <w:rPr>
          <w:szCs w:val="18"/>
        </w:rPr>
        <w:tab/>
      </w:r>
      <w:r w:rsidRPr="00750617">
        <w:rPr>
          <w:rStyle w:val="FootnoteReference"/>
        </w:rPr>
        <w:footnoteRef/>
      </w:r>
      <w:r w:rsidRPr="00750617">
        <w:tab/>
      </w:r>
      <w:r w:rsidRPr="00750617">
        <w:rPr>
          <w:szCs w:val="18"/>
        </w:rPr>
        <w:t>La deuxième phrase du paragraphe</w:t>
      </w:r>
      <w:r w:rsidRPr="00750617">
        <w:t> </w:t>
      </w:r>
      <w:r w:rsidRPr="00750617">
        <w:rPr>
          <w:szCs w:val="18"/>
        </w:rPr>
        <w:t>4 de l’article</w:t>
      </w:r>
      <w:r w:rsidRPr="00750617">
        <w:t> </w:t>
      </w:r>
      <w:r w:rsidRPr="00750617">
        <w:rPr>
          <w:szCs w:val="18"/>
        </w:rPr>
        <w:t>17 des articles sur le droit des aquifères transfrontières prévoit que la « coopération peut comprendre la coordination des opérations et communications internationales d’urgence et la mise à disposition de personnel d’urgence, de matériel et de fournitures d’urgence, de compétences scientifiques et techniques et d’une aide humanitaire »</w:t>
      </w:r>
      <w:r w:rsidRPr="00F22925">
        <w:rPr>
          <w:szCs w:val="18"/>
        </w:rPr>
        <w:t>.</w:t>
      </w:r>
      <w:r w:rsidRPr="00750617">
        <w:rPr>
          <w:szCs w:val="18"/>
        </w:rPr>
        <w:t xml:space="preserve"> Dans le projet d’articles sur la protection des personnes en cas de catastrophe, le projet d’article</w:t>
      </w:r>
      <w:r w:rsidRPr="00750617">
        <w:t> </w:t>
      </w:r>
      <w:r w:rsidRPr="00750617">
        <w:rPr>
          <w:szCs w:val="18"/>
        </w:rPr>
        <w:t>9 prévoit que « [a]</w:t>
      </w:r>
      <w:proofErr w:type="spellStart"/>
      <w:r w:rsidRPr="00750617">
        <w:rPr>
          <w:szCs w:val="18"/>
        </w:rPr>
        <w:t>ux</w:t>
      </w:r>
      <w:proofErr w:type="spellEnd"/>
      <w:r w:rsidRPr="00750617">
        <w:rPr>
          <w:szCs w:val="18"/>
        </w:rPr>
        <w:t xml:space="preserve"> fins du présent projet d’articles, la coopération inclut notamment l’aide humanitaire, la coordination des opérations de secours et communications internationales et la mise à disposition de personnel, d’équipement et de biens de secours et de ressources scientifiques, médicales et techniques »</w:t>
      </w:r>
      <w:r w:rsidRPr="00F22925">
        <w:rPr>
          <w:szCs w:val="18"/>
        </w:rPr>
        <w:t>.</w:t>
      </w:r>
      <w:r w:rsidRPr="00750617">
        <w:rPr>
          <w:szCs w:val="18"/>
        </w:rPr>
        <w:t xml:space="preserve"> De plus, le projet d’article</w:t>
      </w:r>
      <w:r w:rsidRPr="00750617">
        <w:t> </w:t>
      </w:r>
      <w:r w:rsidRPr="00750617">
        <w:rPr>
          <w:szCs w:val="18"/>
        </w:rPr>
        <w:t>10 (Coopération en matière de prévention des risques de catastrophe) dispose que «</w:t>
      </w:r>
      <w:r w:rsidRPr="00750617">
        <w:t> </w:t>
      </w:r>
      <w:r w:rsidRPr="00750617">
        <w:rPr>
          <w:szCs w:val="18"/>
        </w:rPr>
        <w:t>[l]a coopération porte également sur l’adoption de mesures de nature à prévenir les risques de catastrophe</w:t>
      </w:r>
      <w:r w:rsidRPr="00750617">
        <w:t> </w:t>
      </w:r>
      <w:r w:rsidRPr="00750617">
        <w:rPr>
          <w:szCs w:val="18"/>
        </w:rPr>
        <w:t>»</w:t>
      </w:r>
      <w:r w:rsidRPr="00F22925">
        <w:rPr>
          <w:szCs w:val="18"/>
        </w:rPr>
        <w:t>.</w:t>
      </w:r>
    </w:p>
  </w:footnote>
  <w:footnote w:id="122">
    <w:p w14:paraId="707DBAA1" w14:textId="77777777" w:rsidR="00D01ECD" w:rsidRPr="00750617" w:rsidRDefault="00D01ECD" w:rsidP="00D01ECD">
      <w:pPr>
        <w:pStyle w:val="FootnoteText"/>
        <w:rPr>
          <w:szCs w:val="18"/>
        </w:rPr>
      </w:pPr>
      <w:r w:rsidRPr="00750617">
        <w:rPr>
          <w:szCs w:val="18"/>
        </w:rPr>
        <w:tab/>
      </w:r>
      <w:r w:rsidRPr="00750617">
        <w:rPr>
          <w:rStyle w:val="FootnoteReference"/>
        </w:rPr>
        <w:footnoteRef/>
      </w:r>
      <w:r w:rsidRPr="00750617">
        <w:tab/>
      </w:r>
      <w:r w:rsidRPr="00750617">
        <w:rPr>
          <w:szCs w:val="18"/>
        </w:rPr>
        <w:t>Art</w:t>
      </w:r>
      <w:r w:rsidRPr="00F22925">
        <w:rPr>
          <w:szCs w:val="18"/>
        </w:rPr>
        <w:t>.</w:t>
      </w:r>
      <w:r w:rsidRPr="00750617">
        <w:rPr>
          <w:szCs w:val="18"/>
        </w:rPr>
        <w:t xml:space="preserve"> 8</w:t>
      </w:r>
      <w:r w:rsidRPr="00F22925">
        <w:rPr>
          <w:szCs w:val="18"/>
        </w:rPr>
        <w:t>.</w:t>
      </w:r>
    </w:p>
  </w:footnote>
  <w:footnote w:id="123">
    <w:p w14:paraId="226DADD3" w14:textId="77777777" w:rsidR="00D01ECD" w:rsidRPr="00750617" w:rsidRDefault="00D01ECD" w:rsidP="00D01ECD">
      <w:pPr>
        <w:pStyle w:val="FootnoteText"/>
      </w:pPr>
      <w:r w:rsidRPr="00750617">
        <w:tab/>
      </w:r>
      <w:r w:rsidRPr="00750617">
        <w:rPr>
          <w:rStyle w:val="FootnoteReference"/>
        </w:rPr>
        <w:footnoteRef/>
      </w:r>
      <w:r w:rsidRPr="00750617">
        <w:tab/>
        <w:t xml:space="preserve">Voir le projet d’article 10 (Interrelations) de la résolution 2/2014 sur la déclaration des principes juridiques relatifs au changement climatique adoptée par l’Association de droit international, </w:t>
      </w:r>
      <w:r w:rsidRPr="00750617">
        <w:rPr>
          <w:i/>
        </w:rPr>
        <w:t xml:space="preserve">Report of the </w:t>
      </w:r>
      <w:proofErr w:type="spellStart"/>
      <w:r w:rsidRPr="00750617">
        <w:rPr>
          <w:i/>
        </w:rPr>
        <w:t>Seventy-sixth</w:t>
      </w:r>
      <w:proofErr w:type="spellEnd"/>
      <w:r w:rsidRPr="00750617">
        <w:rPr>
          <w:i/>
        </w:rPr>
        <w:t xml:space="preserve"> </w:t>
      </w:r>
      <w:proofErr w:type="spellStart"/>
      <w:r w:rsidRPr="00750617">
        <w:rPr>
          <w:i/>
        </w:rPr>
        <w:t>Conference</w:t>
      </w:r>
      <w:proofErr w:type="spellEnd"/>
      <w:r w:rsidRPr="00750617">
        <w:rPr>
          <w:i/>
        </w:rPr>
        <w:t xml:space="preserve"> </w:t>
      </w:r>
      <w:proofErr w:type="spellStart"/>
      <w:r w:rsidRPr="00750617">
        <w:rPr>
          <w:i/>
        </w:rPr>
        <w:t>held</w:t>
      </w:r>
      <w:proofErr w:type="spellEnd"/>
      <w:r w:rsidRPr="00750617">
        <w:rPr>
          <w:i/>
        </w:rPr>
        <w:t xml:space="preserve"> in Washington D</w:t>
      </w:r>
      <w:r w:rsidRPr="00F22925">
        <w:rPr>
          <w:i/>
        </w:rPr>
        <w:t>.</w:t>
      </w:r>
      <w:r w:rsidRPr="00750617">
        <w:rPr>
          <w:i/>
        </w:rPr>
        <w:t>C</w:t>
      </w:r>
      <w:r w:rsidRPr="00F22925">
        <w:rPr>
          <w:i/>
        </w:rPr>
        <w:t>.</w:t>
      </w:r>
      <w:r w:rsidRPr="00750617">
        <w:rPr>
          <w:i/>
        </w:rPr>
        <w:t>, August 2014</w:t>
      </w:r>
      <w:r w:rsidRPr="00750617">
        <w:t>, p</w:t>
      </w:r>
      <w:r w:rsidRPr="00F22925">
        <w:t>.</w:t>
      </w:r>
      <w:r w:rsidRPr="00750617">
        <w:t xml:space="preserve"> 26 ; </w:t>
      </w:r>
      <w:r w:rsidRPr="00750617">
        <w:rPr>
          <w:szCs w:val="18"/>
        </w:rPr>
        <w:t>S</w:t>
      </w:r>
      <w:r w:rsidRPr="00F22925">
        <w:rPr>
          <w:szCs w:val="18"/>
        </w:rPr>
        <w:t>.</w:t>
      </w:r>
      <w:r w:rsidRPr="00750617">
        <w:t> </w:t>
      </w:r>
      <w:proofErr w:type="spellStart"/>
      <w:r w:rsidRPr="00750617">
        <w:rPr>
          <w:szCs w:val="18"/>
        </w:rPr>
        <w:t>Murase</w:t>
      </w:r>
      <w:proofErr w:type="spellEnd"/>
      <w:r w:rsidRPr="00750617">
        <w:rPr>
          <w:szCs w:val="18"/>
        </w:rPr>
        <w:t xml:space="preserve"> (Président) et L</w:t>
      </w:r>
      <w:r w:rsidRPr="00F22925">
        <w:rPr>
          <w:szCs w:val="18"/>
        </w:rPr>
        <w:t>.</w:t>
      </w:r>
      <w:r w:rsidRPr="00750617">
        <w:t> </w:t>
      </w:r>
      <w:proofErr w:type="spellStart"/>
      <w:r w:rsidRPr="00750617">
        <w:rPr>
          <w:szCs w:val="18"/>
        </w:rPr>
        <w:t>Rajamani</w:t>
      </w:r>
      <w:proofErr w:type="spellEnd"/>
      <w:r w:rsidRPr="00750617">
        <w:rPr>
          <w:szCs w:val="18"/>
        </w:rPr>
        <w:t xml:space="preserve"> (Rapporteuse), Rapport du Comité sur les principes juridiques relatifs au changement climatique, ibid</w:t>
      </w:r>
      <w:r w:rsidRPr="00F22925">
        <w:rPr>
          <w:i/>
          <w:iCs/>
          <w:szCs w:val="18"/>
        </w:rPr>
        <w:t>.</w:t>
      </w:r>
      <w:r w:rsidRPr="00750617">
        <w:rPr>
          <w:szCs w:val="18"/>
        </w:rPr>
        <w:t>, p</w:t>
      </w:r>
      <w:r w:rsidRPr="00F22925">
        <w:rPr>
          <w:szCs w:val="18"/>
        </w:rPr>
        <w:t>.</w:t>
      </w:r>
      <w:r w:rsidRPr="00750617">
        <w:t> </w:t>
      </w:r>
      <w:r w:rsidRPr="00750617">
        <w:rPr>
          <w:szCs w:val="18"/>
        </w:rPr>
        <w:t>330 à 378, aux pages</w:t>
      </w:r>
      <w:r w:rsidRPr="00750617">
        <w:t> </w:t>
      </w:r>
      <w:r w:rsidRPr="00750617">
        <w:rPr>
          <w:szCs w:val="18"/>
        </w:rPr>
        <w:t>368 à 377</w:t>
      </w:r>
      <w:r w:rsidRPr="00F22925">
        <w:rPr>
          <w:szCs w:val="18"/>
        </w:rPr>
        <w:t>.</w:t>
      </w:r>
    </w:p>
  </w:footnote>
  <w:footnote w:id="124">
    <w:p w14:paraId="64B22A87" w14:textId="77777777" w:rsidR="00D01ECD" w:rsidRPr="00750617" w:rsidRDefault="00D01ECD" w:rsidP="00D01ECD">
      <w:pPr>
        <w:pStyle w:val="FootnoteText"/>
      </w:pPr>
      <w:r w:rsidRPr="00750617">
        <w:tab/>
      </w:r>
      <w:r w:rsidRPr="00750617">
        <w:rPr>
          <w:rStyle w:val="FootnoteReference"/>
        </w:rPr>
        <w:footnoteRef/>
      </w:r>
      <w:r w:rsidRPr="00750617">
        <w:tab/>
      </w:r>
      <w:r w:rsidRPr="00750617">
        <w:rPr>
          <w:i/>
        </w:rPr>
        <w:t>Annuaire</w:t>
      </w:r>
      <w:r w:rsidRPr="00750617">
        <w:t> </w:t>
      </w:r>
      <w:r w:rsidRPr="00750617">
        <w:rPr>
          <w:i/>
        </w:rPr>
        <w:t>…</w:t>
      </w:r>
      <w:r w:rsidRPr="00750617">
        <w:t> </w:t>
      </w:r>
      <w:r w:rsidRPr="00750617">
        <w:rPr>
          <w:i/>
        </w:rPr>
        <w:t>2006</w:t>
      </w:r>
      <w:r w:rsidRPr="00750617">
        <w:t>, vol</w:t>
      </w:r>
      <w:r w:rsidRPr="00F22925">
        <w:t>.</w:t>
      </w:r>
      <w:r w:rsidRPr="00750617">
        <w:t> II (2</w:t>
      </w:r>
      <w:r w:rsidRPr="00750617">
        <w:rPr>
          <w:vertAlign w:val="superscript"/>
        </w:rPr>
        <w:t>e</w:t>
      </w:r>
      <w:r w:rsidRPr="00750617">
        <w:t> partie), par</w:t>
      </w:r>
      <w:r w:rsidRPr="00F22925">
        <w:t>.</w:t>
      </w:r>
      <w:r w:rsidRPr="00750617">
        <w:t> 251</w:t>
      </w:r>
      <w:r w:rsidRPr="00F22925">
        <w:t>.</w:t>
      </w:r>
      <w:r w:rsidRPr="00750617">
        <w:t xml:space="preserve"> Voir la conclusion 2), sur les « relations d’interprétation » et les « relations de conflit »</w:t>
      </w:r>
      <w:r w:rsidRPr="00F22925">
        <w:t>.</w:t>
      </w:r>
      <w:r w:rsidRPr="00750617">
        <w:t xml:space="preserve"> Pour l’étude analytique, voir « Fragmentation du droit international : difficultés découlant de la diversification et du développement du droit international », rapport du Groupe d’étude de la Commission du droit international établi sous sa forme définitive par </w:t>
      </w:r>
      <w:proofErr w:type="spellStart"/>
      <w:r w:rsidRPr="00750617">
        <w:t>Martti</w:t>
      </w:r>
      <w:proofErr w:type="spellEnd"/>
      <w:r w:rsidRPr="00750617">
        <w:t xml:space="preserve"> Koskenniemi (</w:t>
      </w:r>
      <w:hyperlink r:id="rId43" w:history="1">
        <w:r w:rsidRPr="00750617">
          <w:rPr>
            <w:rStyle w:val="Hyperlink"/>
          </w:rPr>
          <w:t>A/CN</w:t>
        </w:r>
        <w:r w:rsidRPr="00F22925">
          <w:rPr>
            <w:rStyle w:val="Hyperlink"/>
          </w:rPr>
          <w:t>.</w:t>
        </w:r>
        <w:r w:rsidRPr="00750617">
          <w:rPr>
            <w:rStyle w:val="Hyperlink"/>
          </w:rPr>
          <w:t>4/L</w:t>
        </w:r>
        <w:r w:rsidRPr="00F22925">
          <w:rPr>
            <w:rStyle w:val="Hyperlink"/>
          </w:rPr>
          <w:t>.</w:t>
        </w:r>
        <w:r w:rsidRPr="00750617">
          <w:rPr>
            <w:rStyle w:val="Hyperlink"/>
          </w:rPr>
          <w:t>682</w:t>
        </w:r>
      </w:hyperlink>
      <w:r w:rsidRPr="00750617">
        <w:t xml:space="preserve"> et </w:t>
      </w:r>
      <w:hyperlink r:id="rId44" w:history="1">
        <w:r w:rsidRPr="00750617">
          <w:rPr>
            <w:rStyle w:val="Hyperlink"/>
          </w:rPr>
          <w:t>Corr</w:t>
        </w:r>
        <w:r w:rsidRPr="00F22925">
          <w:rPr>
            <w:rStyle w:val="Hyperlink"/>
          </w:rPr>
          <w:t>.</w:t>
        </w:r>
        <w:r w:rsidRPr="00750617">
          <w:rPr>
            <w:rStyle w:val="Hyperlink"/>
          </w:rPr>
          <w:t>1</w:t>
        </w:r>
      </w:hyperlink>
      <w:r w:rsidRPr="00750617">
        <w:t xml:space="preserve"> et </w:t>
      </w:r>
      <w:hyperlink r:id="rId45" w:history="1">
        <w:r w:rsidRPr="00750617">
          <w:rPr>
            <w:rStyle w:val="Hyperlink"/>
          </w:rPr>
          <w:t>Add</w:t>
        </w:r>
        <w:r w:rsidRPr="00F22925">
          <w:rPr>
            <w:rStyle w:val="Hyperlink"/>
          </w:rPr>
          <w:t>.</w:t>
        </w:r>
        <w:r w:rsidRPr="00750617">
          <w:rPr>
            <w:rStyle w:val="Hyperlink"/>
          </w:rPr>
          <w:t>1</w:t>
        </w:r>
      </w:hyperlink>
      <w:r w:rsidRPr="00750617">
        <w:t>)</w:t>
      </w:r>
      <w:r w:rsidRPr="00F22925">
        <w:t>.</w:t>
      </w:r>
    </w:p>
  </w:footnote>
  <w:footnote w:id="125">
    <w:p w14:paraId="221663B2" w14:textId="77777777" w:rsidR="00D01ECD" w:rsidRPr="00750617" w:rsidRDefault="00D01ECD" w:rsidP="00D01ECD">
      <w:pPr>
        <w:pStyle w:val="FootnoteText"/>
      </w:pPr>
      <w:r w:rsidRPr="00750617">
        <w:tab/>
      </w:r>
      <w:r w:rsidRPr="00750617">
        <w:rPr>
          <w:rStyle w:val="FootnoteReference"/>
        </w:rPr>
        <w:footnoteRef/>
      </w:r>
      <w:r w:rsidRPr="00750617">
        <w:tab/>
        <w:t xml:space="preserve">Nations Unies, </w:t>
      </w:r>
      <w:r w:rsidRPr="00750617">
        <w:rPr>
          <w:i/>
        </w:rPr>
        <w:t>Recueil des Traités</w:t>
      </w:r>
      <w:r w:rsidRPr="00750617">
        <w:t>, vol</w:t>
      </w:r>
      <w:r w:rsidRPr="00F22925">
        <w:t>.</w:t>
      </w:r>
      <w:r w:rsidRPr="00750617">
        <w:t xml:space="preserve"> 1155, </w:t>
      </w:r>
      <w:r w:rsidRPr="00750617">
        <w:rPr>
          <w:rFonts w:eastAsia="MS Mincho"/>
        </w:rPr>
        <w:t>n</w:t>
      </w:r>
      <w:r w:rsidRPr="00750617">
        <w:rPr>
          <w:rFonts w:eastAsia="MS Mincho"/>
          <w:vertAlign w:val="superscript"/>
        </w:rPr>
        <w:t>o</w:t>
      </w:r>
      <w:r w:rsidRPr="00750617">
        <w:t> 18232, p</w:t>
      </w:r>
      <w:r w:rsidRPr="00F22925">
        <w:t>.</w:t>
      </w:r>
      <w:r w:rsidRPr="00750617">
        <w:t> 331</w:t>
      </w:r>
      <w:r w:rsidRPr="00F22925">
        <w:t>.</w:t>
      </w:r>
    </w:p>
  </w:footnote>
  <w:footnote w:id="126">
    <w:p w14:paraId="4FFB77A8" w14:textId="77777777" w:rsidR="00D01ECD" w:rsidRPr="00750617" w:rsidRDefault="00D01ECD" w:rsidP="00D01ECD">
      <w:pPr>
        <w:pStyle w:val="FootnoteText"/>
      </w:pPr>
      <w:r w:rsidRPr="00750617">
        <w:rPr>
          <w:vertAlign w:val="superscript"/>
        </w:rPr>
        <w:tab/>
      </w:r>
      <w:r w:rsidRPr="00750617">
        <w:rPr>
          <w:rStyle w:val="FootnoteReference"/>
        </w:rPr>
        <w:footnoteRef/>
      </w:r>
      <w:r w:rsidRPr="00750617">
        <w:rPr>
          <w:vertAlign w:val="superscript"/>
        </w:rPr>
        <w:tab/>
      </w:r>
      <w:r w:rsidRPr="00750617">
        <w:t>Voir, par exemple, OMC, Rapport de l’Organe d’appel, États-Unis − Prohibition à l’importation de certaines crevettes et de certains produits à base de crevettes, WT/DS58/AB/R, 6 novembre 1998, par</w:t>
      </w:r>
      <w:r w:rsidRPr="00F22925">
        <w:t>.</w:t>
      </w:r>
      <w:r w:rsidRPr="00750617">
        <w:t> 158</w:t>
      </w:r>
      <w:r w:rsidRPr="00F22925">
        <w:t>.</w:t>
      </w:r>
      <w:r w:rsidRPr="00750617">
        <w:t xml:space="preserve"> Voir aussi </w:t>
      </w:r>
      <w:r w:rsidRPr="00750617">
        <w:rPr>
          <w:i/>
        </w:rPr>
        <w:t>Al-</w:t>
      </w:r>
      <w:proofErr w:type="spellStart"/>
      <w:r w:rsidRPr="00750617">
        <w:rPr>
          <w:i/>
        </w:rPr>
        <w:t>Adsani</w:t>
      </w:r>
      <w:proofErr w:type="spellEnd"/>
      <w:r w:rsidRPr="00750617">
        <w:t xml:space="preserve"> c</w:t>
      </w:r>
      <w:r w:rsidRPr="00F22925">
        <w:t>.</w:t>
      </w:r>
      <w:r w:rsidRPr="00750617">
        <w:t xml:space="preserve"> </w:t>
      </w:r>
      <w:r w:rsidRPr="00750617">
        <w:rPr>
          <w:i/>
        </w:rPr>
        <w:t>Royaume-Uni</w:t>
      </w:r>
      <w:r w:rsidRPr="00750617">
        <w:t xml:space="preserve">, requête </w:t>
      </w:r>
      <w:r w:rsidRPr="00750617">
        <w:rPr>
          <w:rFonts w:eastAsia="MS Mincho"/>
        </w:rPr>
        <w:t>n</w:t>
      </w:r>
      <w:r w:rsidRPr="00750617">
        <w:rPr>
          <w:rFonts w:eastAsia="MS Mincho"/>
          <w:vertAlign w:val="superscript"/>
        </w:rPr>
        <w:t>o</w:t>
      </w:r>
      <w:r w:rsidRPr="00750617">
        <w:t> 35763/97, CEDH 2001-XI, par</w:t>
      </w:r>
      <w:r w:rsidRPr="00F22925">
        <w:t>.</w:t>
      </w:r>
      <w:r w:rsidRPr="00750617">
        <w:t> 55</w:t>
      </w:r>
      <w:r w:rsidRPr="00F22925">
        <w:t>.</w:t>
      </w:r>
    </w:p>
  </w:footnote>
  <w:footnote w:id="127">
    <w:p w14:paraId="7D2A599E" w14:textId="77777777" w:rsidR="00D01ECD" w:rsidRPr="000D3559" w:rsidRDefault="00D01ECD" w:rsidP="00D01ECD">
      <w:pPr>
        <w:pStyle w:val="FootnoteText"/>
        <w:rPr>
          <w:lang w:val="en-US"/>
        </w:rPr>
      </w:pPr>
      <w:r w:rsidRPr="00750617">
        <w:rPr>
          <w:vertAlign w:val="superscript"/>
        </w:rPr>
        <w:tab/>
      </w:r>
      <w:r w:rsidRPr="00750617">
        <w:rPr>
          <w:rStyle w:val="FootnoteReference"/>
        </w:rPr>
        <w:footnoteRef/>
      </w:r>
      <w:r w:rsidRPr="000D3559">
        <w:rPr>
          <w:vertAlign w:val="superscript"/>
          <w:lang w:val="en-US"/>
        </w:rPr>
        <w:tab/>
      </w:r>
      <w:r w:rsidRPr="000D3559">
        <w:rPr>
          <w:lang w:val="en-US"/>
        </w:rPr>
        <w:t xml:space="preserve">P. Sands, « Treaty, custom and the cross-fertilization of international law », </w:t>
      </w:r>
      <w:r w:rsidRPr="000D3559">
        <w:rPr>
          <w:i/>
          <w:lang w:val="en-US"/>
        </w:rPr>
        <w:t>Yale Human Rights and Development Law Journal</w:t>
      </w:r>
      <w:r w:rsidRPr="000D3559">
        <w:rPr>
          <w:lang w:val="en-US"/>
        </w:rPr>
        <w:t xml:space="preserve">, vol. 1 (1998), p. 95, par. 25 ; C. McLachlan, « The principle of systemic integration and article 31 (3) (c) of the Vienna Convention », </w:t>
      </w:r>
      <w:r w:rsidRPr="000D3559">
        <w:rPr>
          <w:i/>
          <w:lang w:val="en-US"/>
        </w:rPr>
        <w:t>International and Comparative Law Quarterly</w:t>
      </w:r>
      <w:r w:rsidRPr="000D3559">
        <w:rPr>
          <w:lang w:val="en-US"/>
        </w:rPr>
        <w:t xml:space="preserve">, vol. 54 (2005), p. 279 ; O. Corten et P. Klein (dir. publ.), </w:t>
      </w:r>
      <w:r w:rsidRPr="000D3559">
        <w:rPr>
          <w:i/>
          <w:lang w:val="en-US"/>
        </w:rPr>
        <w:t>The Vienna Conventions on the Law of Treaties : A Commentary</w:t>
      </w:r>
      <w:r w:rsidRPr="000D3559">
        <w:rPr>
          <w:lang w:val="en-US"/>
        </w:rPr>
        <w:t>, vol. 1 (Oxford, Oxford University Press, 2011), p. 828 et 829.</w:t>
      </w:r>
    </w:p>
  </w:footnote>
  <w:footnote w:id="128">
    <w:p w14:paraId="5CBD10B0" w14:textId="77777777" w:rsidR="00D01ECD" w:rsidRPr="00750617" w:rsidRDefault="00D01ECD" w:rsidP="00D01ECD">
      <w:pPr>
        <w:pStyle w:val="FootnoteText"/>
      </w:pPr>
      <w:r w:rsidRPr="000D3559">
        <w:rPr>
          <w:lang w:val="en-US"/>
        </w:rPr>
        <w:tab/>
      </w:r>
      <w:r w:rsidRPr="00750617">
        <w:rPr>
          <w:rStyle w:val="FootnoteReference"/>
        </w:rPr>
        <w:footnoteRef/>
      </w:r>
      <w:r w:rsidRPr="00750617">
        <w:tab/>
        <w:t>Ibid</w:t>
      </w:r>
      <w:r w:rsidRPr="00F22925">
        <w:t>.</w:t>
      </w:r>
      <w:r w:rsidRPr="00750617">
        <w:t>, p</w:t>
      </w:r>
      <w:r w:rsidRPr="00F22925">
        <w:t>.</w:t>
      </w:r>
      <w:r w:rsidRPr="00750617">
        <w:t> 791 à 798</w:t>
      </w:r>
      <w:r w:rsidRPr="00F22925">
        <w:t>.</w:t>
      </w:r>
    </w:p>
  </w:footnote>
  <w:footnote w:id="129">
    <w:p w14:paraId="5C360761" w14:textId="77777777" w:rsidR="00D01ECD" w:rsidRPr="00750617" w:rsidRDefault="00D01ECD" w:rsidP="00D01ECD">
      <w:pPr>
        <w:pStyle w:val="FootnoteText"/>
      </w:pPr>
      <w:r w:rsidRPr="00750617">
        <w:tab/>
      </w:r>
      <w:r w:rsidRPr="00750617">
        <w:rPr>
          <w:rStyle w:val="FootnoteReference"/>
        </w:rPr>
        <w:footnoteRef/>
      </w:r>
      <w:r w:rsidRPr="00750617">
        <w:tab/>
        <w:t xml:space="preserve">On retiendra qu’aux termes du paragraphe 2 de l’article 3 du Mémorandum d’accord de l’OMC sur les règles et procédures régissant le règlement des différends (Accord de Marrakech instituant l’Organisation mondiale du commerce, Nations Unies, </w:t>
      </w:r>
      <w:r w:rsidRPr="00750617">
        <w:rPr>
          <w:i/>
        </w:rPr>
        <w:t>Recueil des Traités</w:t>
      </w:r>
      <w:r w:rsidRPr="00750617">
        <w:t>, vol</w:t>
      </w:r>
      <w:r w:rsidRPr="00F22925">
        <w:t>.</w:t>
      </w:r>
      <w:r w:rsidRPr="00750617">
        <w:t xml:space="preserve"> 1869, </w:t>
      </w:r>
      <w:r w:rsidRPr="00750617">
        <w:rPr>
          <w:rFonts w:eastAsia="MS Mincho"/>
        </w:rPr>
        <w:t>n</w:t>
      </w:r>
      <w:r w:rsidRPr="00750617">
        <w:rPr>
          <w:rFonts w:eastAsia="MS Mincho"/>
          <w:vertAlign w:val="superscript"/>
        </w:rPr>
        <w:t>o</w:t>
      </w:r>
      <w:r w:rsidRPr="00750617">
        <w:t> 31874, p</w:t>
      </w:r>
      <w:r w:rsidRPr="00F22925">
        <w:t>.</w:t>
      </w:r>
      <w:r w:rsidRPr="00750617">
        <w:t> 3, annexe 2, p</w:t>
      </w:r>
      <w:r w:rsidRPr="00F22925">
        <w:t>.</w:t>
      </w:r>
      <w:r w:rsidRPr="00750617">
        <w:t xml:space="preserve"> 427), « [l]e système de règlement des différends de l’OMC […] a pour but […] de clarifier les dispositions existantes de ces accords conformément aux règles </w:t>
      </w:r>
      <w:r w:rsidRPr="00750617">
        <w:rPr>
          <w:i/>
        </w:rPr>
        <w:t>coutumières</w:t>
      </w:r>
      <w:r w:rsidRPr="00750617">
        <w:t xml:space="preserve"> d’interprétation du droit international public » [non souligné dans l’original]</w:t>
      </w:r>
      <w:r w:rsidRPr="00F22925">
        <w:t>.</w:t>
      </w:r>
    </w:p>
  </w:footnote>
  <w:footnote w:id="130">
    <w:p w14:paraId="1FC5ED1B" w14:textId="77777777" w:rsidR="00D01ECD" w:rsidRPr="00750617" w:rsidRDefault="00D01ECD" w:rsidP="00D01ECD">
      <w:pPr>
        <w:pStyle w:val="FootnoteText"/>
      </w:pPr>
      <w:r w:rsidRPr="00750617">
        <w:tab/>
      </w:r>
      <w:r w:rsidRPr="00750617">
        <w:rPr>
          <w:rStyle w:val="FootnoteReference"/>
        </w:rPr>
        <w:footnoteRef/>
      </w:r>
      <w:r w:rsidRPr="00750617">
        <w:tab/>
        <w:t>Voir Association de droit international, résolution 2/2014 sur la déclaration des principes juridiques relatifs au changement climatique, projet d’article 10 (Interrelations)</w:t>
      </w:r>
      <w:r w:rsidRPr="00750617" w:rsidDel="00D06CA7">
        <w:rPr>
          <w:i/>
        </w:rPr>
        <w:t xml:space="preserve"> </w:t>
      </w:r>
      <w:r w:rsidRPr="00750617">
        <w:t>(note </w:t>
      </w:r>
      <w:r w:rsidRPr="00750617">
        <w:fldChar w:fldCharType="begin"/>
      </w:r>
      <w:r w:rsidRPr="00750617">
        <w:instrText xml:space="preserve"> NOTEREF _Ref520443638 \h </w:instrText>
      </w:r>
      <w:r>
        <w:instrText xml:space="preserve"> \* MERGEFORMAT </w:instrText>
      </w:r>
      <w:r w:rsidRPr="00750617">
        <w:fldChar w:fldCharType="separate"/>
      </w:r>
      <w:r>
        <w:t>131</w:t>
      </w:r>
      <w:r w:rsidRPr="00750617">
        <w:fldChar w:fldCharType="end"/>
      </w:r>
      <w:r w:rsidRPr="00750617">
        <w:t xml:space="preserve"> </w:t>
      </w:r>
      <w:r w:rsidRPr="00750617">
        <w:rPr>
          <w:i/>
        </w:rPr>
        <w:t>supra</w:t>
      </w:r>
      <w:r w:rsidRPr="00750617">
        <w:t>) ; A</w:t>
      </w:r>
      <w:r w:rsidRPr="00F22925">
        <w:t>.</w:t>
      </w:r>
      <w:r w:rsidRPr="00750617">
        <w:t xml:space="preserve"> Boyle, « Relationship </w:t>
      </w:r>
      <w:proofErr w:type="spellStart"/>
      <w:r w:rsidRPr="00750617">
        <w:t>between</w:t>
      </w:r>
      <w:proofErr w:type="spellEnd"/>
      <w:r w:rsidRPr="00750617">
        <w:t xml:space="preserve"> international </w:t>
      </w:r>
      <w:proofErr w:type="spellStart"/>
      <w:r w:rsidRPr="00750617">
        <w:t>environmental</w:t>
      </w:r>
      <w:proofErr w:type="spellEnd"/>
      <w:r w:rsidRPr="00750617">
        <w:t xml:space="preserve"> </w:t>
      </w:r>
      <w:proofErr w:type="spellStart"/>
      <w:r w:rsidRPr="00750617">
        <w:t>law</w:t>
      </w:r>
      <w:proofErr w:type="spellEnd"/>
      <w:r w:rsidRPr="00750617">
        <w:t xml:space="preserve"> and </w:t>
      </w:r>
      <w:proofErr w:type="spellStart"/>
      <w:r w:rsidRPr="00750617">
        <w:t>other</w:t>
      </w:r>
      <w:proofErr w:type="spellEnd"/>
      <w:r w:rsidRPr="00750617">
        <w:t xml:space="preserve"> branches of international </w:t>
      </w:r>
      <w:proofErr w:type="spellStart"/>
      <w:r w:rsidRPr="00750617">
        <w:t>law</w:t>
      </w:r>
      <w:proofErr w:type="spellEnd"/>
      <w:r w:rsidRPr="00750617">
        <w:t xml:space="preserve"> », dans </w:t>
      </w:r>
      <w:proofErr w:type="spellStart"/>
      <w:r w:rsidRPr="00750617">
        <w:t>Bodansky</w:t>
      </w:r>
      <w:proofErr w:type="spellEnd"/>
      <w:r w:rsidRPr="00750617">
        <w:t xml:space="preserve"> </w:t>
      </w:r>
      <w:r w:rsidRPr="00750617">
        <w:rPr>
          <w:i/>
        </w:rPr>
        <w:t>et al</w:t>
      </w:r>
      <w:r w:rsidRPr="00F22925">
        <w:rPr>
          <w:i/>
        </w:rPr>
        <w:t>.</w:t>
      </w:r>
      <w:r w:rsidRPr="00750617">
        <w:t xml:space="preserve">, </w:t>
      </w:r>
      <w:r w:rsidRPr="00750617">
        <w:rPr>
          <w:i/>
        </w:rPr>
        <w:t xml:space="preserve">The Oxford </w:t>
      </w:r>
      <w:proofErr w:type="spellStart"/>
      <w:r w:rsidRPr="00750617">
        <w:rPr>
          <w:i/>
        </w:rPr>
        <w:t>Handbook</w:t>
      </w:r>
      <w:proofErr w:type="spellEnd"/>
      <w:r w:rsidRPr="00750617">
        <w:rPr>
          <w:i/>
        </w:rPr>
        <w:t xml:space="preserve"> of International </w:t>
      </w:r>
      <w:proofErr w:type="spellStart"/>
      <w:r w:rsidRPr="00750617">
        <w:rPr>
          <w:i/>
        </w:rPr>
        <w:t>Environmental</w:t>
      </w:r>
      <w:proofErr w:type="spellEnd"/>
      <w:r w:rsidRPr="00750617">
        <w:rPr>
          <w:i/>
        </w:rPr>
        <w:t xml:space="preserve"> Law</w:t>
      </w:r>
      <w:r w:rsidRPr="00750617">
        <w:t xml:space="preserve"> (note </w:t>
      </w:r>
      <w:r w:rsidRPr="00750617">
        <w:fldChar w:fldCharType="begin"/>
      </w:r>
      <w:r w:rsidRPr="00750617">
        <w:instrText xml:space="preserve"> NOTEREF _Ref81559757 \h </w:instrText>
      </w:r>
      <w:r>
        <w:instrText xml:space="preserve"> \* MERGEFORMAT </w:instrText>
      </w:r>
      <w:r w:rsidRPr="00750617">
        <w:fldChar w:fldCharType="separate"/>
      </w:r>
      <w:r>
        <w:t>21</w:t>
      </w:r>
      <w:r w:rsidRPr="00750617">
        <w:fldChar w:fldCharType="end"/>
      </w:r>
      <w:r w:rsidRPr="00750617">
        <w:t xml:space="preserve"> </w:t>
      </w:r>
      <w:r w:rsidRPr="00750617">
        <w:rPr>
          <w:i/>
        </w:rPr>
        <w:t>supra</w:t>
      </w:r>
      <w:r w:rsidRPr="00750617">
        <w:t>), p</w:t>
      </w:r>
      <w:r w:rsidRPr="00F22925">
        <w:t>.</w:t>
      </w:r>
      <w:r w:rsidRPr="00750617">
        <w:t> 126 à 146</w:t>
      </w:r>
      <w:r w:rsidRPr="00F22925">
        <w:t>.</w:t>
      </w:r>
    </w:p>
  </w:footnote>
  <w:footnote w:id="131">
    <w:p w14:paraId="0725E89F" w14:textId="77777777" w:rsidR="00D01ECD" w:rsidRPr="00750617" w:rsidRDefault="00D01ECD" w:rsidP="00D01ECD">
      <w:pPr>
        <w:pStyle w:val="FootnoteText"/>
      </w:pPr>
      <w:r w:rsidRPr="00750617">
        <w:tab/>
      </w:r>
      <w:r w:rsidRPr="00750617">
        <w:rPr>
          <w:rStyle w:val="FootnoteReference"/>
        </w:rPr>
        <w:footnoteRef/>
      </w:r>
      <w:r w:rsidRPr="00750617">
        <w:tab/>
        <w:t xml:space="preserve">Nations Unies, </w:t>
      </w:r>
      <w:r w:rsidRPr="00750617">
        <w:rPr>
          <w:i/>
        </w:rPr>
        <w:t>Recueil des Traités</w:t>
      </w:r>
      <w:r w:rsidRPr="00750617">
        <w:t>, vol</w:t>
      </w:r>
      <w:r w:rsidRPr="00F22925">
        <w:t>.</w:t>
      </w:r>
      <w:r w:rsidRPr="00750617">
        <w:t xml:space="preserve"> 1867 à 1869, </w:t>
      </w:r>
      <w:r w:rsidRPr="00750617">
        <w:rPr>
          <w:rFonts w:eastAsia="MS Mincho"/>
        </w:rPr>
        <w:t>n</w:t>
      </w:r>
      <w:r w:rsidRPr="00750617">
        <w:rPr>
          <w:rFonts w:eastAsia="MS Mincho"/>
          <w:vertAlign w:val="superscript"/>
        </w:rPr>
        <w:t>o</w:t>
      </w:r>
      <w:r w:rsidRPr="00750617">
        <w:t> 31874</w:t>
      </w:r>
      <w:r w:rsidRPr="00F22925">
        <w:t>.</w:t>
      </w:r>
    </w:p>
  </w:footnote>
  <w:footnote w:id="132">
    <w:p w14:paraId="5459DDFF" w14:textId="77777777" w:rsidR="00D01ECD" w:rsidRPr="00750617" w:rsidRDefault="00D01ECD" w:rsidP="00D01ECD">
      <w:pPr>
        <w:pStyle w:val="FootnoteText"/>
      </w:pPr>
      <w:r w:rsidRPr="00750617">
        <w:tab/>
      </w:r>
      <w:r w:rsidRPr="00750617">
        <w:rPr>
          <w:rStyle w:val="FootnoteReference"/>
        </w:rPr>
        <w:footnoteRef/>
      </w:r>
      <w:r w:rsidRPr="00750617">
        <w:tab/>
        <w:t>Ibid</w:t>
      </w:r>
      <w:r w:rsidRPr="00F22925">
        <w:t>.</w:t>
      </w:r>
      <w:r w:rsidRPr="00750617">
        <w:t>, vol</w:t>
      </w:r>
      <w:r w:rsidRPr="00F22925">
        <w:t>.</w:t>
      </w:r>
      <w:r w:rsidRPr="00750617">
        <w:t xml:space="preserve"> 1867, </w:t>
      </w:r>
      <w:r w:rsidRPr="00750617">
        <w:rPr>
          <w:rFonts w:eastAsia="MS Mincho"/>
        </w:rPr>
        <w:t>n</w:t>
      </w:r>
      <w:r w:rsidRPr="00750617">
        <w:rPr>
          <w:rFonts w:eastAsia="MS Mincho"/>
          <w:vertAlign w:val="superscript"/>
        </w:rPr>
        <w:t>o</w:t>
      </w:r>
      <w:r w:rsidRPr="00750617">
        <w:t> 31874, p</w:t>
      </w:r>
      <w:r w:rsidRPr="00F22925">
        <w:t>.</w:t>
      </w:r>
      <w:r w:rsidRPr="00750617">
        <w:t> 154</w:t>
      </w:r>
      <w:r w:rsidRPr="00F22925">
        <w:t>.</w:t>
      </w:r>
    </w:p>
  </w:footnote>
  <w:footnote w:id="133">
    <w:p w14:paraId="16A66F5C" w14:textId="77777777" w:rsidR="00D01ECD" w:rsidRPr="00750617" w:rsidRDefault="00D01ECD" w:rsidP="00D01ECD">
      <w:pPr>
        <w:pStyle w:val="FootnoteText"/>
      </w:pPr>
      <w:r w:rsidRPr="00750617">
        <w:tab/>
      </w:r>
      <w:r w:rsidRPr="00750617">
        <w:rPr>
          <w:rStyle w:val="FootnoteReference"/>
        </w:rPr>
        <w:footnoteRef/>
      </w:r>
      <w:r w:rsidRPr="00750617">
        <w:tab/>
        <w:t>Comité des négociations commerciales, décision du 14 avril 1994, MTN</w:t>
      </w:r>
      <w:r w:rsidRPr="00F22925">
        <w:t>.</w:t>
      </w:r>
      <w:r w:rsidRPr="00750617">
        <w:t>TNC/45(MIN), annexe II, p</w:t>
      </w:r>
      <w:r w:rsidRPr="00F22925">
        <w:t>.</w:t>
      </w:r>
      <w:r w:rsidRPr="00750617">
        <w:t> 17</w:t>
      </w:r>
      <w:r w:rsidRPr="00F22925">
        <w:t>.</w:t>
      </w:r>
    </w:p>
  </w:footnote>
  <w:footnote w:id="134">
    <w:p w14:paraId="0A0AC93C" w14:textId="77777777" w:rsidR="00D01ECD" w:rsidRPr="00750617" w:rsidRDefault="00D01ECD" w:rsidP="00D01ECD">
      <w:pPr>
        <w:pStyle w:val="FootnoteText"/>
      </w:pPr>
      <w:r w:rsidRPr="00750617">
        <w:tab/>
      </w:r>
      <w:r w:rsidRPr="00750617">
        <w:rPr>
          <w:rStyle w:val="FootnoteReference"/>
        </w:rPr>
        <w:footnoteRef/>
      </w:r>
      <w:r w:rsidRPr="00750617">
        <w:tab/>
        <w:t>OMC, Comité du commerce et de l’environnement, Rapport (1996), WT/CTE/1 (12 novembre 1996), par</w:t>
      </w:r>
      <w:r w:rsidRPr="00F22925">
        <w:t>.</w:t>
      </w:r>
      <w:r w:rsidRPr="00750617">
        <w:t> 167</w:t>
      </w:r>
      <w:r w:rsidRPr="00F22925">
        <w:t>.</w:t>
      </w:r>
    </w:p>
  </w:footnote>
  <w:footnote w:id="135">
    <w:p w14:paraId="5AD6A7BC" w14:textId="77777777" w:rsidR="00D01ECD" w:rsidRPr="000D3559" w:rsidRDefault="00D01ECD" w:rsidP="00D01ECD">
      <w:pPr>
        <w:pStyle w:val="FootnoteText"/>
        <w:rPr>
          <w:lang w:val="en-US"/>
        </w:rPr>
      </w:pPr>
      <w:r w:rsidRPr="00750617">
        <w:rPr>
          <w:vertAlign w:val="superscript"/>
        </w:rPr>
        <w:tab/>
      </w:r>
      <w:r w:rsidRPr="00750617">
        <w:rPr>
          <w:rStyle w:val="FootnoteReference"/>
        </w:rPr>
        <w:footnoteRef/>
      </w:r>
      <w:r w:rsidRPr="000D3559">
        <w:rPr>
          <w:vertAlign w:val="superscript"/>
          <w:lang w:val="en-US"/>
        </w:rPr>
        <w:tab/>
      </w:r>
      <w:r w:rsidRPr="000D3559">
        <w:rPr>
          <w:lang w:val="en-US"/>
        </w:rPr>
        <w:t>J. </w:t>
      </w:r>
      <w:proofErr w:type="spellStart"/>
      <w:r w:rsidRPr="000D3559">
        <w:rPr>
          <w:lang w:val="en-US"/>
        </w:rPr>
        <w:t>Pauwelyn</w:t>
      </w:r>
      <w:proofErr w:type="spellEnd"/>
      <w:r w:rsidRPr="000D3559">
        <w:rPr>
          <w:lang w:val="en-US"/>
        </w:rPr>
        <w:t xml:space="preserve">, </w:t>
      </w:r>
      <w:r w:rsidRPr="000D3559">
        <w:rPr>
          <w:i/>
          <w:lang w:val="en-US"/>
        </w:rPr>
        <w:t xml:space="preserve">Conflict of Norms in Public International </w:t>
      </w:r>
      <w:proofErr w:type="gramStart"/>
      <w:r w:rsidRPr="000D3559">
        <w:rPr>
          <w:i/>
          <w:lang w:val="en-US"/>
        </w:rPr>
        <w:t>Law :</w:t>
      </w:r>
      <w:proofErr w:type="gramEnd"/>
      <w:r w:rsidRPr="000D3559">
        <w:rPr>
          <w:i/>
          <w:lang w:val="en-US"/>
        </w:rPr>
        <w:t xml:space="preserve"> How WTO Law Relates to Other Rules of International Law</w:t>
      </w:r>
      <w:r w:rsidRPr="000D3559">
        <w:rPr>
          <w:lang w:val="en-US"/>
        </w:rPr>
        <w:t xml:space="preserve"> (Cambridge, Cambridge University Press, 2003) ; R. </w:t>
      </w:r>
      <w:proofErr w:type="spellStart"/>
      <w:r w:rsidRPr="000D3559">
        <w:rPr>
          <w:lang w:val="en-US"/>
        </w:rPr>
        <w:t>Pavoni</w:t>
      </w:r>
      <w:proofErr w:type="spellEnd"/>
      <w:r w:rsidRPr="000D3559">
        <w:rPr>
          <w:lang w:val="en-US"/>
        </w:rPr>
        <w:t>, « Mutual supportiveness as a principle of interpretation and law-making : a watershed for the “WTO</w:t>
      </w:r>
      <w:r w:rsidRPr="000D3559">
        <w:rPr>
          <w:lang w:val="en-US"/>
        </w:rPr>
        <w:noBreakHyphen/>
        <w:t xml:space="preserve">and-competing regimes” debate? », </w:t>
      </w:r>
      <w:r w:rsidRPr="000D3559">
        <w:rPr>
          <w:i/>
          <w:lang w:val="en-US"/>
        </w:rPr>
        <w:t>European Journal of International Law</w:t>
      </w:r>
      <w:r w:rsidRPr="000D3559">
        <w:rPr>
          <w:lang w:val="en-US"/>
        </w:rPr>
        <w:t xml:space="preserve">, vol. 21 (2010), p. 651 et 652. </w:t>
      </w:r>
      <w:proofErr w:type="spellStart"/>
      <w:r w:rsidRPr="000D3559">
        <w:rPr>
          <w:lang w:val="en-US"/>
        </w:rPr>
        <w:t>Voir</w:t>
      </w:r>
      <w:proofErr w:type="spellEnd"/>
      <w:r w:rsidRPr="000D3559">
        <w:rPr>
          <w:lang w:val="en-US"/>
        </w:rPr>
        <w:t xml:space="preserve"> </w:t>
      </w:r>
      <w:proofErr w:type="spellStart"/>
      <w:r w:rsidRPr="000D3559">
        <w:rPr>
          <w:lang w:val="en-US"/>
        </w:rPr>
        <w:t>aussi</w:t>
      </w:r>
      <w:proofErr w:type="spellEnd"/>
      <w:r w:rsidRPr="000D3559">
        <w:rPr>
          <w:lang w:val="en-US"/>
        </w:rPr>
        <w:t xml:space="preserve"> S. </w:t>
      </w:r>
      <w:proofErr w:type="spellStart"/>
      <w:r w:rsidRPr="000D3559">
        <w:rPr>
          <w:lang w:val="en-US"/>
        </w:rPr>
        <w:t>Murase</w:t>
      </w:r>
      <w:proofErr w:type="spellEnd"/>
      <w:r w:rsidRPr="000D3559">
        <w:rPr>
          <w:lang w:val="en-US"/>
        </w:rPr>
        <w:t xml:space="preserve">, « Perspectives from international economic law on transnational environmental issues », </w:t>
      </w:r>
      <w:r w:rsidRPr="000D3559">
        <w:rPr>
          <w:i/>
          <w:lang w:val="en-US"/>
        </w:rPr>
        <w:t>Collected Courses of The Hague Academy of International Law</w:t>
      </w:r>
      <w:r w:rsidRPr="000D3559">
        <w:rPr>
          <w:lang w:val="en-US"/>
        </w:rPr>
        <w:t>, vol. 253 (</w:t>
      </w:r>
      <w:proofErr w:type="spellStart"/>
      <w:r w:rsidRPr="000D3559">
        <w:rPr>
          <w:lang w:val="en-US"/>
        </w:rPr>
        <w:t>Leyde</w:t>
      </w:r>
      <w:proofErr w:type="spellEnd"/>
      <w:r w:rsidRPr="000D3559">
        <w:rPr>
          <w:lang w:val="en-US"/>
        </w:rPr>
        <w:t xml:space="preserve">, </w:t>
      </w:r>
      <w:proofErr w:type="spellStart"/>
      <w:r w:rsidRPr="000D3559">
        <w:rPr>
          <w:lang w:val="en-US"/>
        </w:rPr>
        <w:t>Martinus</w:t>
      </w:r>
      <w:proofErr w:type="spellEnd"/>
      <w:r w:rsidRPr="000D3559">
        <w:rPr>
          <w:lang w:val="en-US"/>
        </w:rPr>
        <w:t xml:space="preserve"> </w:t>
      </w:r>
      <w:proofErr w:type="spellStart"/>
      <w:r w:rsidRPr="000D3559">
        <w:rPr>
          <w:lang w:val="en-US"/>
        </w:rPr>
        <w:t>Nijhoff</w:t>
      </w:r>
      <w:proofErr w:type="spellEnd"/>
      <w:r w:rsidRPr="000D3559">
        <w:rPr>
          <w:lang w:val="en-US"/>
        </w:rPr>
        <w:t xml:space="preserve">, 1996), p. 283 à 431, </w:t>
      </w:r>
      <w:proofErr w:type="spellStart"/>
      <w:r w:rsidRPr="000D3559">
        <w:rPr>
          <w:lang w:val="en-US"/>
        </w:rPr>
        <w:t>reproduit</w:t>
      </w:r>
      <w:proofErr w:type="spellEnd"/>
      <w:r w:rsidRPr="000D3559">
        <w:rPr>
          <w:lang w:val="en-US"/>
        </w:rPr>
        <w:t xml:space="preserve"> dans S. </w:t>
      </w:r>
      <w:proofErr w:type="spellStart"/>
      <w:r w:rsidRPr="000D3559">
        <w:rPr>
          <w:lang w:val="en-US"/>
        </w:rPr>
        <w:t>Murase</w:t>
      </w:r>
      <w:proofErr w:type="spellEnd"/>
      <w:r w:rsidRPr="000D3559">
        <w:rPr>
          <w:lang w:val="en-US"/>
        </w:rPr>
        <w:t xml:space="preserve">, </w:t>
      </w:r>
      <w:r w:rsidRPr="000D3559">
        <w:rPr>
          <w:i/>
          <w:lang w:val="en-US"/>
        </w:rPr>
        <w:t xml:space="preserve">International </w:t>
      </w:r>
      <w:proofErr w:type="gramStart"/>
      <w:r w:rsidRPr="000D3559">
        <w:rPr>
          <w:i/>
          <w:lang w:val="en-US"/>
        </w:rPr>
        <w:t>Law :</w:t>
      </w:r>
      <w:proofErr w:type="gramEnd"/>
      <w:r w:rsidRPr="000D3559">
        <w:rPr>
          <w:i/>
          <w:lang w:val="en-US"/>
        </w:rPr>
        <w:t xml:space="preserve"> </w:t>
      </w:r>
      <w:r w:rsidRPr="000D3559">
        <w:rPr>
          <w:i/>
          <w:spacing w:val="-3"/>
          <w:lang w:val="en-US"/>
        </w:rPr>
        <w:t xml:space="preserve">An Integrative Perspective on Transboundary Issues </w:t>
      </w:r>
      <w:r w:rsidRPr="000D3559">
        <w:rPr>
          <w:spacing w:val="-3"/>
          <w:lang w:val="en-US"/>
        </w:rPr>
        <w:t xml:space="preserve">(Tokyo, Sophia University Press, 2011), p. 1 à 127 ; </w:t>
      </w:r>
      <w:r w:rsidRPr="000D3559">
        <w:rPr>
          <w:spacing w:val="-2"/>
          <w:lang w:val="en-US"/>
        </w:rPr>
        <w:t>et S. </w:t>
      </w:r>
      <w:proofErr w:type="spellStart"/>
      <w:r w:rsidRPr="000D3559">
        <w:rPr>
          <w:spacing w:val="-2"/>
          <w:lang w:val="en-US"/>
        </w:rPr>
        <w:t>Murase</w:t>
      </w:r>
      <w:proofErr w:type="spellEnd"/>
      <w:r w:rsidRPr="000D3559">
        <w:rPr>
          <w:spacing w:val="-2"/>
          <w:lang w:val="en-US"/>
        </w:rPr>
        <w:t>, « Conflict of international regimes : trade and the environment », ibid., p. 130 à 166.</w:t>
      </w:r>
    </w:p>
  </w:footnote>
  <w:footnote w:id="136">
    <w:p w14:paraId="77EDC630" w14:textId="77777777" w:rsidR="00D01ECD" w:rsidRPr="00750617" w:rsidRDefault="00D01ECD" w:rsidP="00D01ECD">
      <w:pPr>
        <w:pStyle w:val="FootnoteText"/>
      </w:pPr>
      <w:r w:rsidRPr="000D3559">
        <w:rPr>
          <w:lang w:val="en-US"/>
        </w:rPr>
        <w:tab/>
      </w:r>
      <w:r w:rsidRPr="00750617">
        <w:rPr>
          <w:rStyle w:val="FootnoteReference"/>
        </w:rPr>
        <w:footnoteRef/>
      </w:r>
      <w:r w:rsidRPr="00750617">
        <w:tab/>
        <w:t>Adoptée le 14 novembre 2001 à la quatrième session de la Conférence ministérielle de l’OMC tenue à Doha, WT/</w:t>
      </w:r>
      <w:proofErr w:type="gramStart"/>
      <w:r w:rsidRPr="00750617">
        <w:t>MIN(</w:t>
      </w:r>
      <w:proofErr w:type="gramEnd"/>
      <w:r w:rsidRPr="00750617">
        <w:t>01)/DEC/1, par</w:t>
      </w:r>
      <w:r w:rsidRPr="00F22925">
        <w:t>.</w:t>
      </w:r>
      <w:r w:rsidRPr="00750617">
        <w:t> 6</w:t>
      </w:r>
      <w:r w:rsidRPr="00F22925">
        <w:t>.</w:t>
      </w:r>
      <w:r w:rsidRPr="00750617">
        <w:t xml:space="preserve"> Dans la Déclaration ministérielle de Hong Kong, adoptée en 2005, il est réaffirmé que « le mandat énoncé au paragraphe 31 de la Déclaration ministérielle de Doha […] vis[ait] à renforcer le soutien mutuel du commerce et de l’environnement » (adoptée le 18 décembre 2005 à la sixième session de la Conférence ministérielle, tenue à Hong Kong (Chine), WT/</w:t>
      </w:r>
      <w:proofErr w:type="gramStart"/>
      <w:r w:rsidRPr="00750617">
        <w:t>MIN(</w:t>
      </w:r>
      <w:proofErr w:type="gramEnd"/>
      <w:r w:rsidRPr="00750617">
        <w:t>05)/DEC, par</w:t>
      </w:r>
      <w:r w:rsidRPr="00F22925">
        <w:t>.</w:t>
      </w:r>
      <w:r w:rsidRPr="00750617">
        <w:t> 31)</w:t>
      </w:r>
      <w:r w:rsidRPr="00F22925">
        <w:t>.</w:t>
      </w:r>
    </w:p>
  </w:footnote>
  <w:footnote w:id="137">
    <w:p w14:paraId="77D9190B" w14:textId="77777777" w:rsidR="00D01ECD" w:rsidRPr="00750617" w:rsidRDefault="00D01ECD" w:rsidP="00D01ECD">
      <w:pPr>
        <w:pStyle w:val="FootnoteText"/>
      </w:pPr>
      <w:r w:rsidRPr="00750617">
        <w:rPr>
          <w:vertAlign w:val="superscript"/>
        </w:rPr>
        <w:tab/>
      </w:r>
      <w:r w:rsidRPr="00750617">
        <w:rPr>
          <w:rStyle w:val="FootnoteReference"/>
        </w:rPr>
        <w:footnoteRef/>
      </w:r>
      <w:r w:rsidRPr="00750617">
        <w:rPr>
          <w:vertAlign w:val="superscript"/>
        </w:rPr>
        <w:tab/>
      </w:r>
      <w:r w:rsidRPr="00750617">
        <w:t xml:space="preserve">OMC, rapport de l’Organe d’appel, </w:t>
      </w:r>
      <w:r w:rsidRPr="00750617">
        <w:rPr>
          <w:i/>
        </w:rPr>
        <w:t xml:space="preserve">États-Unis − Normes concernant l’essence nouvelle et </w:t>
      </w:r>
      <w:proofErr w:type="gramStart"/>
      <w:r w:rsidRPr="00750617">
        <w:rPr>
          <w:i/>
        </w:rPr>
        <w:t>ancienne formules</w:t>
      </w:r>
      <w:proofErr w:type="gramEnd"/>
      <w:r w:rsidRPr="00750617">
        <w:t>, WT/DS2/AB/R, 29 avril 1996, p</w:t>
      </w:r>
      <w:r w:rsidRPr="00F22925">
        <w:t>.</w:t>
      </w:r>
      <w:r w:rsidRPr="00750617">
        <w:t> 19</w:t>
      </w:r>
      <w:r w:rsidRPr="00F22925">
        <w:t>.</w:t>
      </w:r>
      <w:r w:rsidRPr="00750617">
        <w:t xml:space="preserve"> Voir aussi S</w:t>
      </w:r>
      <w:r w:rsidRPr="00F22925">
        <w:t>.</w:t>
      </w:r>
      <w:r w:rsidRPr="00750617">
        <w:t> </w:t>
      </w:r>
      <w:proofErr w:type="spellStart"/>
      <w:r w:rsidRPr="00750617">
        <w:t>Murase</w:t>
      </w:r>
      <w:proofErr w:type="spellEnd"/>
      <w:r w:rsidRPr="00750617">
        <w:t>, « </w:t>
      </w:r>
      <w:proofErr w:type="spellStart"/>
      <w:r w:rsidRPr="00750617">
        <w:t>Unilateral</w:t>
      </w:r>
      <w:proofErr w:type="spellEnd"/>
      <w:r w:rsidRPr="00750617">
        <w:t xml:space="preserve"> </w:t>
      </w:r>
      <w:proofErr w:type="spellStart"/>
      <w:r w:rsidRPr="00750617">
        <w:t>measures</w:t>
      </w:r>
      <w:proofErr w:type="spellEnd"/>
      <w:r w:rsidRPr="00750617">
        <w:t xml:space="preserve"> and the WTO dispute </w:t>
      </w:r>
      <w:proofErr w:type="spellStart"/>
      <w:r w:rsidRPr="00750617">
        <w:t>settlement</w:t>
      </w:r>
      <w:proofErr w:type="spellEnd"/>
      <w:r w:rsidRPr="00750617">
        <w:t> » (concernant l’affaire de l’</w:t>
      </w:r>
      <w:r w:rsidRPr="00750617">
        <w:rPr>
          <w:i/>
        </w:rPr>
        <w:t>Essence</w:t>
      </w:r>
      <w:r w:rsidRPr="00750617">
        <w:t>), dans S</w:t>
      </w:r>
      <w:r w:rsidRPr="00F22925">
        <w:t>.</w:t>
      </w:r>
      <w:r w:rsidRPr="00750617">
        <w:t> C</w:t>
      </w:r>
      <w:r w:rsidRPr="00F22925">
        <w:t>.</w:t>
      </w:r>
      <w:r w:rsidRPr="00750617">
        <w:t> Tay et D</w:t>
      </w:r>
      <w:r w:rsidRPr="00F22925">
        <w:t>.</w:t>
      </w:r>
      <w:r w:rsidRPr="00750617">
        <w:t> C</w:t>
      </w:r>
      <w:r w:rsidRPr="00F22925">
        <w:t>.</w:t>
      </w:r>
      <w:r w:rsidRPr="00750617">
        <w:t> </w:t>
      </w:r>
      <w:proofErr w:type="spellStart"/>
      <w:r w:rsidRPr="00750617">
        <w:t>Esty</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r w:rsidRPr="00750617">
        <w:rPr>
          <w:i/>
        </w:rPr>
        <w:t xml:space="preserve">Asian Dragons and Green Trade : </w:t>
      </w:r>
      <w:proofErr w:type="spellStart"/>
      <w:r w:rsidRPr="00750617">
        <w:rPr>
          <w:i/>
        </w:rPr>
        <w:t>Environment</w:t>
      </w:r>
      <w:proofErr w:type="spellEnd"/>
      <w:r w:rsidRPr="00750617">
        <w:rPr>
          <w:i/>
        </w:rPr>
        <w:t xml:space="preserve">, </w:t>
      </w:r>
      <w:proofErr w:type="spellStart"/>
      <w:r w:rsidRPr="00750617">
        <w:rPr>
          <w:i/>
        </w:rPr>
        <w:t>Economics</w:t>
      </w:r>
      <w:proofErr w:type="spellEnd"/>
      <w:r w:rsidRPr="00750617">
        <w:rPr>
          <w:i/>
        </w:rPr>
        <w:t xml:space="preserve"> and International Law</w:t>
      </w:r>
      <w:r w:rsidRPr="00750617">
        <w:t xml:space="preserve"> (Singapour, Times </w:t>
      </w:r>
      <w:proofErr w:type="spellStart"/>
      <w:r w:rsidRPr="00750617">
        <w:t>Academic</w:t>
      </w:r>
      <w:proofErr w:type="spellEnd"/>
      <w:r w:rsidRPr="00750617">
        <w:t xml:space="preserve"> </w:t>
      </w:r>
      <w:proofErr w:type="spellStart"/>
      <w:r w:rsidRPr="00750617">
        <w:t>Press</w:t>
      </w:r>
      <w:proofErr w:type="spellEnd"/>
      <w:r w:rsidRPr="00750617">
        <w:t>, 1996), p</w:t>
      </w:r>
      <w:r w:rsidRPr="00F22925">
        <w:t>.</w:t>
      </w:r>
      <w:r w:rsidRPr="00750617">
        <w:t> 137 à 144</w:t>
      </w:r>
      <w:r w:rsidRPr="00F22925">
        <w:t>.</w:t>
      </w:r>
    </w:p>
  </w:footnote>
  <w:footnote w:id="138">
    <w:p w14:paraId="5EA2B3B4" w14:textId="77777777" w:rsidR="00D01ECD" w:rsidRPr="00750617" w:rsidRDefault="00D01ECD" w:rsidP="00D01ECD">
      <w:pPr>
        <w:pStyle w:val="FootnoteText"/>
      </w:pPr>
      <w:r w:rsidRPr="00750617">
        <w:tab/>
      </w:r>
      <w:r w:rsidRPr="00750617">
        <w:rPr>
          <w:rStyle w:val="FootnoteReference"/>
        </w:rPr>
        <w:footnoteRef/>
      </w:r>
      <w:r w:rsidRPr="00750617">
        <w:tab/>
        <w:t>Voir, par exemple, Accord Canada-États-Unis-Mexique, 1</w:t>
      </w:r>
      <w:r w:rsidRPr="00750617">
        <w:rPr>
          <w:vertAlign w:val="superscript"/>
        </w:rPr>
        <w:t>er</w:t>
      </w:r>
      <w:r w:rsidRPr="00750617">
        <w:t xml:space="preserve"> juillet 2020, art</w:t>
      </w:r>
      <w:r w:rsidRPr="00F22925">
        <w:t>.</w:t>
      </w:r>
      <w:r w:rsidRPr="00750617">
        <w:t xml:space="preserve"> 1</w:t>
      </w:r>
      <w:r w:rsidRPr="00F22925">
        <w:t>.</w:t>
      </w:r>
      <w:r w:rsidRPr="00750617">
        <w:t>3 et chap</w:t>
      </w:r>
      <w:r w:rsidRPr="00F22925">
        <w:t>.</w:t>
      </w:r>
      <w:r w:rsidRPr="00750617">
        <w:t xml:space="preserve"> 14 (« Investissement »), disponible sur le site Web du Gouvernement du Canada à l’adresse suivante : </w:t>
      </w:r>
      <w:hyperlink r:id="rId46" w:history="1">
        <w:r w:rsidRPr="00750617">
          <w:rPr>
            <w:rStyle w:val="Hyperlink"/>
          </w:rPr>
          <w:t>https://www</w:t>
        </w:r>
        <w:r w:rsidRPr="00F22925">
          <w:rPr>
            <w:rStyle w:val="Hyperlink"/>
          </w:rPr>
          <w:t>.</w:t>
        </w:r>
        <w:r w:rsidRPr="00750617">
          <w:rPr>
            <w:rStyle w:val="Hyperlink"/>
          </w:rPr>
          <w:t>international</w:t>
        </w:r>
        <w:r w:rsidRPr="00F22925">
          <w:rPr>
            <w:rStyle w:val="Hyperlink"/>
          </w:rPr>
          <w:t>.</w:t>
        </w:r>
        <w:r w:rsidRPr="00750617">
          <w:rPr>
            <w:rStyle w:val="Hyperlink"/>
          </w:rPr>
          <w:t>gc</w:t>
        </w:r>
        <w:r w:rsidRPr="00F22925">
          <w:rPr>
            <w:rStyle w:val="Hyperlink"/>
          </w:rPr>
          <w:t>.</w:t>
        </w:r>
        <w:r w:rsidRPr="00750617">
          <w:rPr>
            <w:rStyle w:val="Hyperlink"/>
          </w:rPr>
          <w:t xml:space="preserve">ca/trade-commerce/trade-agreements-accords-commerciaux/agr-acc/ </w:t>
        </w:r>
        <w:proofErr w:type="spellStart"/>
        <w:r w:rsidRPr="00750617">
          <w:rPr>
            <w:rStyle w:val="Hyperlink"/>
          </w:rPr>
          <w:t>cusma-aceum</w:t>
        </w:r>
        <w:proofErr w:type="spellEnd"/>
        <w:r w:rsidRPr="00750617">
          <w:rPr>
            <w:rStyle w:val="Hyperlink"/>
          </w:rPr>
          <w:t>/</w:t>
        </w:r>
        <w:proofErr w:type="spellStart"/>
        <w:r w:rsidRPr="00750617">
          <w:rPr>
            <w:rStyle w:val="Hyperlink"/>
          </w:rPr>
          <w:t>text</w:t>
        </w:r>
        <w:proofErr w:type="spellEnd"/>
        <w:r w:rsidRPr="00750617">
          <w:rPr>
            <w:rStyle w:val="Hyperlink"/>
          </w:rPr>
          <w:t>-texte/</w:t>
        </w:r>
        <w:proofErr w:type="spellStart"/>
        <w:r w:rsidRPr="00750617">
          <w:rPr>
            <w:rStyle w:val="Hyperlink"/>
          </w:rPr>
          <w:t>toc-tdm</w:t>
        </w:r>
        <w:r w:rsidRPr="00F22925">
          <w:rPr>
            <w:rStyle w:val="Hyperlink"/>
          </w:rPr>
          <w:t>.</w:t>
        </w:r>
        <w:r w:rsidRPr="00750617">
          <w:rPr>
            <w:rStyle w:val="Hyperlink"/>
          </w:rPr>
          <w:t>aspx?lang</w:t>
        </w:r>
        <w:proofErr w:type="spellEnd"/>
        <w:r w:rsidRPr="00750617">
          <w:rPr>
            <w:rStyle w:val="Hyperlink"/>
          </w:rPr>
          <w:t>=fra</w:t>
        </w:r>
      </w:hyperlink>
      <w:r w:rsidRPr="00F22925">
        <w:t>.</w:t>
      </w:r>
    </w:p>
  </w:footnote>
  <w:footnote w:id="139">
    <w:p w14:paraId="22D4F235" w14:textId="77777777" w:rsidR="00D01ECD" w:rsidRPr="00750617" w:rsidRDefault="00D01ECD" w:rsidP="00D01ECD">
      <w:pPr>
        <w:pStyle w:val="FootnoteText"/>
      </w:pPr>
      <w:r w:rsidRPr="00750617">
        <w:rPr>
          <w:spacing w:val="-2"/>
        </w:rPr>
        <w:tab/>
      </w:r>
      <w:r w:rsidRPr="00750617">
        <w:rPr>
          <w:rStyle w:val="FootnoteReference"/>
        </w:rPr>
        <w:footnoteRef/>
      </w:r>
      <w:r w:rsidRPr="00750617">
        <w:rPr>
          <w:spacing w:val="-2"/>
        </w:rPr>
        <w:tab/>
        <w:t>Il existe divers modèles de traités d’investissement bilatéraux, notamment : les modèles établis par le Canada (2004), la Colombie (2007) et les États-Unis (2012), disponibles à l’adresse suivante :</w:t>
      </w:r>
      <w:hyperlink r:id="rId47" w:history="1">
        <w:r w:rsidRPr="00750617">
          <w:rPr>
            <w:rStyle w:val="Hyperlink"/>
          </w:rPr>
          <w:t>http://www</w:t>
        </w:r>
        <w:r w:rsidRPr="00F22925">
          <w:rPr>
            <w:rStyle w:val="Hyperlink"/>
          </w:rPr>
          <w:t>.</w:t>
        </w:r>
        <w:r w:rsidRPr="00750617">
          <w:rPr>
            <w:rStyle w:val="Hyperlink"/>
          </w:rPr>
          <w:t>italaw</w:t>
        </w:r>
        <w:r w:rsidRPr="00F22925">
          <w:rPr>
            <w:rStyle w:val="Hyperlink"/>
          </w:rPr>
          <w:t>.</w:t>
        </w:r>
        <w:r w:rsidRPr="00750617">
          <w:rPr>
            <w:rStyle w:val="Hyperlink"/>
          </w:rPr>
          <w:t>com</w:t>
        </w:r>
      </w:hyperlink>
      <w:r w:rsidRPr="00750617">
        <w:t> ; le Modèle d’accord international sur l’investissement pour le développement durable, établi par l’Institut international du développement durable (IIDD) en 2005, dans H</w:t>
      </w:r>
      <w:r w:rsidRPr="00F22925">
        <w:t>.</w:t>
      </w:r>
      <w:r w:rsidRPr="00750617">
        <w:t xml:space="preserve"> Mann </w:t>
      </w:r>
      <w:r w:rsidRPr="00750617">
        <w:rPr>
          <w:i/>
        </w:rPr>
        <w:t>et al</w:t>
      </w:r>
      <w:r w:rsidRPr="00F22925">
        <w:rPr>
          <w:i/>
        </w:rPr>
        <w:t>.</w:t>
      </w:r>
      <w:r w:rsidRPr="00750617">
        <w:t xml:space="preserve">, </w:t>
      </w:r>
      <w:r w:rsidRPr="00750617">
        <w:rPr>
          <w:i/>
        </w:rPr>
        <w:t>Modèle d’accord international sur l’investissement pour le développement durable</w:t>
      </w:r>
      <w:r w:rsidRPr="00750617">
        <w:t xml:space="preserve"> (IIDD) (2</w:t>
      </w:r>
      <w:r w:rsidRPr="00750617">
        <w:rPr>
          <w:vertAlign w:val="superscript"/>
        </w:rPr>
        <w:t>e</w:t>
      </w:r>
      <w:r w:rsidRPr="00750617">
        <w:t> éd</w:t>
      </w:r>
      <w:r w:rsidRPr="00F22925">
        <w:t>.</w:t>
      </w:r>
      <w:r w:rsidRPr="00750617">
        <w:t>) (Winnipeg, 2005), art</w:t>
      </w:r>
      <w:r w:rsidRPr="00F22925">
        <w:t>.</w:t>
      </w:r>
      <w:r w:rsidRPr="00750617">
        <w:t> 34</w:t>
      </w:r>
      <w:r w:rsidRPr="00F22925">
        <w:t>.</w:t>
      </w:r>
      <w:r w:rsidRPr="00750617">
        <w:t xml:space="preserve"> Voir aussi Conférence des Nations Unies sur le commerce et</w:t>
      </w:r>
      <w:r>
        <w:t xml:space="preserve"> </w:t>
      </w:r>
      <w:r w:rsidRPr="00750617">
        <w:t xml:space="preserve">le développement, </w:t>
      </w:r>
      <w:r w:rsidRPr="00750617">
        <w:rPr>
          <w:i/>
        </w:rPr>
        <w:t>Cadre de politique de l’investissement pour un développement durable</w:t>
      </w:r>
      <w:r w:rsidRPr="00750617">
        <w:t xml:space="preserve"> (2015), p</w:t>
      </w:r>
      <w:r w:rsidRPr="00F22925">
        <w:t>.</w:t>
      </w:r>
      <w:r w:rsidRPr="00750617">
        <w:t xml:space="preserve"> 91 à 121, disponible à l’adresse suivante : </w:t>
      </w:r>
      <w:hyperlink r:id="rId48" w:history="1">
        <w:r w:rsidRPr="00750617">
          <w:rPr>
            <w:rStyle w:val="Hyperlink"/>
          </w:rPr>
          <w:t>http://unctad</w:t>
        </w:r>
        <w:r w:rsidRPr="00F22925">
          <w:rPr>
            <w:rStyle w:val="Hyperlink"/>
          </w:rPr>
          <w:t>.</w:t>
        </w:r>
        <w:r w:rsidRPr="00750617">
          <w:rPr>
            <w:rStyle w:val="Hyperlink"/>
          </w:rPr>
          <w:t>org/en /</w:t>
        </w:r>
        <w:proofErr w:type="spellStart"/>
        <w:r w:rsidRPr="00750617">
          <w:rPr>
            <w:rStyle w:val="Hyperlink"/>
          </w:rPr>
          <w:t>PublicationsLibrary</w:t>
        </w:r>
        <w:proofErr w:type="spellEnd"/>
        <w:r w:rsidRPr="00750617">
          <w:rPr>
            <w:rStyle w:val="Hyperlink"/>
          </w:rPr>
          <w:t>/diaepcb2015d5_en</w:t>
        </w:r>
        <w:r w:rsidRPr="00F22925">
          <w:rPr>
            <w:rStyle w:val="Hyperlink"/>
          </w:rPr>
          <w:t>.</w:t>
        </w:r>
        <w:r w:rsidRPr="00750617">
          <w:rPr>
            <w:rStyle w:val="Hyperlink"/>
          </w:rPr>
          <w:t>pdf</w:t>
        </w:r>
      </w:hyperlink>
      <w:r w:rsidRPr="00750617">
        <w:t xml:space="preserve"> [en anglais seulement] ; P</w:t>
      </w:r>
      <w:r w:rsidRPr="00F22925">
        <w:t>.</w:t>
      </w:r>
      <w:r w:rsidRPr="00750617">
        <w:t> </w:t>
      </w:r>
      <w:proofErr w:type="spellStart"/>
      <w:r w:rsidRPr="00750617">
        <w:t>Muchlinski</w:t>
      </w:r>
      <w:proofErr w:type="spellEnd"/>
      <w:r w:rsidRPr="00750617">
        <w:t>, « </w:t>
      </w:r>
      <w:proofErr w:type="spellStart"/>
      <w:r w:rsidRPr="00750617">
        <w:t>Negotiating</w:t>
      </w:r>
      <w:proofErr w:type="spellEnd"/>
      <w:r w:rsidRPr="00750617">
        <w:t xml:space="preserve"> new </w:t>
      </w:r>
      <w:proofErr w:type="spellStart"/>
      <w:r w:rsidRPr="00750617">
        <w:t>generation</w:t>
      </w:r>
      <w:proofErr w:type="spellEnd"/>
      <w:r w:rsidRPr="00750617">
        <w:t xml:space="preserve"> international </w:t>
      </w:r>
      <w:proofErr w:type="spellStart"/>
      <w:r w:rsidRPr="00750617">
        <w:t>investment</w:t>
      </w:r>
      <w:proofErr w:type="spellEnd"/>
      <w:r w:rsidRPr="00750617">
        <w:t xml:space="preserve"> </w:t>
      </w:r>
      <w:proofErr w:type="spellStart"/>
      <w:r w:rsidRPr="00750617">
        <w:t>agreements</w:t>
      </w:r>
      <w:proofErr w:type="spellEnd"/>
      <w:r w:rsidRPr="00750617">
        <w:t xml:space="preserve"> : new </w:t>
      </w:r>
      <w:proofErr w:type="spellStart"/>
      <w:r w:rsidRPr="00750617">
        <w:t>sustainable</w:t>
      </w:r>
      <w:proofErr w:type="spellEnd"/>
      <w:r w:rsidRPr="00750617">
        <w:t xml:space="preserve"> </w:t>
      </w:r>
      <w:proofErr w:type="spellStart"/>
      <w:r w:rsidRPr="00750617">
        <w:t>development-oriented</w:t>
      </w:r>
      <w:proofErr w:type="spellEnd"/>
      <w:r w:rsidRPr="00750617">
        <w:t xml:space="preserve"> initiatives », dans S</w:t>
      </w:r>
      <w:r w:rsidRPr="00F22925">
        <w:t>.</w:t>
      </w:r>
      <w:r w:rsidRPr="00750617">
        <w:t> </w:t>
      </w:r>
      <w:proofErr w:type="spellStart"/>
      <w:r w:rsidRPr="00750617">
        <w:t>Hindelang</w:t>
      </w:r>
      <w:proofErr w:type="spellEnd"/>
      <w:r w:rsidRPr="00750617">
        <w:t xml:space="preserve"> et M</w:t>
      </w:r>
      <w:r w:rsidRPr="00F22925">
        <w:t>.</w:t>
      </w:r>
      <w:r w:rsidRPr="00750617">
        <w:t> </w:t>
      </w:r>
      <w:proofErr w:type="spellStart"/>
      <w:r w:rsidRPr="00750617">
        <w:t>Krajewski</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proofErr w:type="spellStart"/>
      <w:r w:rsidRPr="00750617">
        <w:rPr>
          <w:i/>
        </w:rPr>
        <w:t>Shifting</w:t>
      </w:r>
      <w:proofErr w:type="spellEnd"/>
      <w:r w:rsidRPr="00750617">
        <w:rPr>
          <w:i/>
        </w:rPr>
        <w:t xml:space="preserve"> </w:t>
      </w:r>
      <w:proofErr w:type="spellStart"/>
      <w:r w:rsidRPr="00750617">
        <w:rPr>
          <w:i/>
        </w:rPr>
        <w:t>Paradigms</w:t>
      </w:r>
      <w:proofErr w:type="spellEnd"/>
      <w:r w:rsidRPr="00750617">
        <w:rPr>
          <w:i/>
        </w:rPr>
        <w:t xml:space="preserve"> in International Investment Law : More </w:t>
      </w:r>
      <w:proofErr w:type="spellStart"/>
      <w:r w:rsidRPr="00750617">
        <w:rPr>
          <w:i/>
        </w:rPr>
        <w:t>Balanced</w:t>
      </w:r>
      <w:proofErr w:type="spellEnd"/>
      <w:r w:rsidRPr="00750617">
        <w:rPr>
          <w:i/>
        </w:rPr>
        <w:t xml:space="preserve">, </w:t>
      </w:r>
      <w:proofErr w:type="spellStart"/>
      <w:r w:rsidRPr="00750617">
        <w:rPr>
          <w:i/>
        </w:rPr>
        <w:t>Less</w:t>
      </w:r>
      <w:proofErr w:type="spellEnd"/>
      <w:r w:rsidRPr="00750617">
        <w:rPr>
          <w:i/>
        </w:rPr>
        <w:t xml:space="preserve"> </w:t>
      </w:r>
      <w:proofErr w:type="spellStart"/>
      <w:r w:rsidRPr="00750617">
        <w:rPr>
          <w:i/>
        </w:rPr>
        <w:t>Isolated</w:t>
      </w:r>
      <w:proofErr w:type="spellEnd"/>
      <w:r w:rsidRPr="00750617">
        <w:rPr>
          <w:i/>
        </w:rPr>
        <w:t xml:space="preserve">, </w:t>
      </w:r>
      <w:proofErr w:type="spellStart"/>
      <w:r w:rsidRPr="00750617">
        <w:rPr>
          <w:i/>
        </w:rPr>
        <w:t>Increasingly</w:t>
      </w:r>
      <w:proofErr w:type="spellEnd"/>
      <w:r w:rsidRPr="00750617">
        <w:rPr>
          <w:i/>
        </w:rPr>
        <w:t xml:space="preserve"> </w:t>
      </w:r>
      <w:proofErr w:type="spellStart"/>
      <w:r w:rsidRPr="00750617">
        <w:rPr>
          <w:i/>
        </w:rPr>
        <w:t>Diversified</w:t>
      </w:r>
      <w:proofErr w:type="spellEnd"/>
      <w:r w:rsidRPr="00750617">
        <w:t xml:space="preserve"> (Oxford : Oxford </w:t>
      </w:r>
      <w:proofErr w:type="spellStart"/>
      <w:r w:rsidRPr="00750617">
        <w:t>University</w:t>
      </w:r>
      <w:proofErr w:type="spellEnd"/>
      <w:r w:rsidRPr="00750617">
        <w:t xml:space="preserve"> </w:t>
      </w:r>
      <w:proofErr w:type="spellStart"/>
      <w:r w:rsidRPr="00750617">
        <w:t>Press</w:t>
      </w:r>
      <w:proofErr w:type="spellEnd"/>
      <w:r w:rsidRPr="00750617">
        <w:t>, 2016), p</w:t>
      </w:r>
      <w:r w:rsidRPr="00F22925">
        <w:t>.</w:t>
      </w:r>
      <w:r w:rsidRPr="00750617">
        <w:t> 41 à 64</w:t>
      </w:r>
      <w:r w:rsidRPr="00F22925">
        <w:t>.</w:t>
      </w:r>
    </w:p>
  </w:footnote>
  <w:footnote w:id="140">
    <w:p w14:paraId="5E5CB1B8" w14:textId="77777777" w:rsidR="00D01ECD" w:rsidRPr="00750617" w:rsidRDefault="00D01ECD" w:rsidP="00D01ECD">
      <w:pPr>
        <w:pStyle w:val="FootnoteText"/>
        <w:rPr>
          <w:spacing w:val="-2"/>
        </w:rPr>
      </w:pPr>
      <w:r w:rsidRPr="00750617">
        <w:rPr>
          <w:spacing w:val="-2"/>
        </w:rPr>
        <w:tab/>
      </w:r>
      <w:r w:rsidRPr="00750617">
        <w:rPr>
          <w:rStyle w:val="FootnoteReference"/>
        </w:rPr>
        <w:footnoteRef/>
      </w:r>
      <w:r w:rsidRPr="00750617">
        <w:rPr>
          <w:spacing w:val="-2"/>
        </w:rPr>
        <w:tab/>
      </w:r>
      <w:r w:rsidRPr="00750617">
        <w:rPr>
          <w:i/>
          <w:spacing w:val="-2"/>
        </w:rPr>
        <w:t>Phoenix Action Ltd</w:t>
      </w:r>
      <w:r w:rsidRPr="00F22925">
        <w:rPr>
          <w:i/>
          <w:spacing w:val="-2"/>
        </w:rPr>
        <w:t>.</w:t>
      </w:r>
      <w:r w:rsidRPr="00750617">
        <w:rPr>
          <w:i/>
          <w:spacing w:val="-2"/>
        </w:rPr>
        <w:t xml:space="preserve"> v</w:t>
      </w:r>
      <w:r w:rsidRPr="00F22925">
        <w:rPr>
          <w:i/>
          <w:spacing w:val="-2"/>
        </w:rPr>
        <w:t>.</w:t>
      </w:r>
      <w:r w:rsidRPr="00750617">
        <w:rPr>
          <w:i/>
          <w:spacing w:val="-2"/>
        </w:rPr>
        <w:t xml:space="preserve"> the </w:t>
      </w:r>
      <w:proofErr w:type="spellStart"/>
      <w:r w:rsidRPr="00750617">
        <w:rPr>
          <w:i/>
          <w:spacing w:val="-2"/>
        </w:rPr>
        <w:t>Czech</w:t>
      </w:r>
      <w:proofErr w:type="spellEnd"/>
      <w:r w:rsidRPr="00750617">
        <w:rPr>
          <w:i/>
          <w:spacing w:val="-2"/>
        </w:rPr>
        <w:t xml:space="preserve"> </w:t>
      </w:r>
      <w:proofErr w:type="spellStart"/>
      <w:r w:rsidRPr="00750617">
        <w:rPr>
          <w:i/>
          <w:spacing w:val="-2"/>
        </w:rPr>
        <w:t>Republic</w:t>
      </w:r>
      <w:proofErr w:type="spellEnd"/>
      <w:r w:rsidRPr="00750617">
        <w:rPr>
          <w:spacing w:val="-2"/>
        </w:rPr>
        <w:t xml:space="preserve">, CIRDI, affaire </w:t>
      </w:r>
      <w:r w:rsidRPr="00750617">
        <w:rPr>
          <w:rFonts w:eastAsia="MS Mincho"/>
          <w:spacing w:val="-2"/>
        </w:rPr>
        <w:t>n</w:t>
      </w:r>
      <w:r w:rsidRPr="00750617">
        <w:rPr>
          <w:rFonts w:eastAsia="MS Mincho"/>
          <w:spacing w:val="-2"/>
          <w:vertAlign w:val="superscript"/>
        </w:rPr>
        <w:t>o</w:t>
      </w:r>
      <w:r w:rsidRPr="00750617">
        <w:rPr>
          <w:spacing w:val="-2"/>
        </w:rPr>
        <w:t> ARB/06/5, sentence, 15 avril 2009, par</w:t>
      </w:r>
      <w:r w:rsidRPr="00F22925">
        <w:rPr>
          <w:spacing w:val="-2"/>
        </w:rPr>
        <w:t>.</w:t>
      </w:r>
      <w:r w:rsidRPr="00750617">
        <w:rPr>
          <w:spacing w:val="-2"/>
        </w:rPr>
        <w:t> 78</w:t>
      </w:r>
      <w:r w:rsidRPr="00F22925">
        <w:rPr>
          <w:spacing w:val="-2"/>
        </w:rPr>
        <w:t>.</w:t>
      </w:r>
    </w:p>
  </w:footnote>
  <w:footnote w:id="141">
    <w:p w14:paraId="251AD136" w14:textId="77777777" w:rsidR="00D01ECD" w:rsidRPr="00750617" w:rsidRDefault="00D01ECD" w:rsidP="00D01ECD">
      <w:pPr>
        <w:pStyle w:val="FootnoteText"/>
      </w:pPr>
      <w:r w:rsidRPr="00750617">
        <w:tab/>
      </w:r>
      <w:r w:rsidRPr="00750617">
        <w:rPr>
          <w:rStyle w:val="FootnoteReference"/>
        </w:rPr>
        <w:footnoteRef/>
      </w:r>
      <w:r w:rsidRPr="00750617">
        <w:tab/>
        <w:t>Jusqu’à l’adoption de la Convention, le seul véritable instrument international de référence était le Traité de 1963 interdisant les essais d’armes nucléaires dans l’atmosphère, dans l’espace extra</w:t>
      </w:r>
      <w:r w:rsidRPr="00750617">
        <w:noBreakHyphen/>
        <w:t xml:space="preserve">atmosphérique et sous l’eau (Moscou, 5 août 1963, Nations Unies, </w:t>
      </w:r>
      <w:r w:rsidRPr="00750617">
        <w:rPr>
          <w:i/>
        </w:rPr>
        <w:t>Recueil des Traités</w:t>
      </w:r>
      <w:r w:rsidRPr="00750617">
        <w:t>, vol</w:t>
      </w:r>
      <w:r w:rsidRPr="00F22925">
        <w:t>.</w:t>
      </w:r>
      <w:r w:rsidRPr="00750617">
        <w:t> 480, n</w:t>
      </w:r>
      <w:r w:rsidRPr="00750617">
        <w:rPr>
          <w:vertAlign w:val="superscript"/>
        </w:rPr>
        <w:t>o</w:t>
      </w:r>
      <w:r w:rsidRPr="00750617">
        <w:t> 6964, p</w:t>
      </w:r>
      <w:r w:rsidRPr="00F22925">
        <w:t>.</w:t>
      </w:r>
      <w:r w:rsidRPr="00750617">
        <w:t> 43)</w:t>
      </w:r>
      <w:r w:rsidRPr="00F22925">
        <w:t>.</w:t>
      </w:r>
    </w:p>
  </w:footnote>
  <w:footnote w:id="142">
    <w:p w14:paraId="10D8D7A4" w14:textId="77777777" w:rsidR="00D01ECD" w:rsidRPr="00750617" w:rsidRDefault="00D01ECD" w:rsidP="00D01ECD">
      <w:pPr>
        <w:pStyle w:val="FootnoteText"/>
      </w:pPr>
      <w:r w:rsidRPr="00750617">
        <w:tab/>
      </w:r>
      <w:r w:rsidRPr="00750617">
        <w:rPr>
          <w:rStyle w:val="FootnoteReference"/>
        </w:rPr>
        <w:footnoteRef/>
      </w:r>
      <w:r w:rsidRPr="00750617">
        <w:tab/>
        <w:t>M</w:t>
      </w:r>
      <w:r w:rsidRPr="00F22925">
        <w:t>.</w:t>
      </w:r>
      <w:r w:rsidRPr="00750617">
        <w:t> H</w:t>
      </w:r>
      <w:r w:rsidRPr="00F22925">
        <w:t>.</w:t>
      </w:r>
      <w:r w:rsidRPr="00750617">
        <w:t> </w:t>
      </w:r>
      <w:proofErr w:type="spellStart"/>
      <w:r w:rsidRPr="00750617">
        <w:t>Nordquist</w:t>
      </w:r>
      <w:proofErr w:type="spellEnd"/>
      <w:r w:rsidRPr="00750617">
        <w:t xml:space="preserve"> </w:t>
      </w:r>
      <w:r w:rsidRPr="00750617">
        <w:rPr>
          <w:i/>
        </w:rPr>
        <w:t>et al</w:t>
      </w:r>
      <w:r w:rsidRPr="00F22925">
        <w:rPr>
          <w:i/>
        </w:rPr>
        <w:t>.</w:t>
      </w:r>
      <w:r w:rsidRPr="00750617">
        <w:t xml:space="preserve"> </w:t>
      </w:r>
      <w:r w:rsidRPr="000D3559">
        <w:rPr>
          <w:lang w:val="en-US"/>
        </w:rPr>
        <w:t xml:space="preserve">(dir. publ.), </w:t>
      </w:r>
      <w:r w:rsidRPr="000D3559">
        <w:rPr>
          <w:i/>
          <w:lang w:val="en-US"/>
        </w:rPr>
        <w:t xml:space="preserve">United Nations Convention on the Law of the Sea </w:t>
      </w:r>
      <w:proofErr w:type="gramStart"/>
      <w:r w:rsidRPr="000D3559">
        <w:rPr>
          <w:i/>
          <w:lang w:val="en-US"/>
        </w:rPr>
        <w:t>1982 :</w:t>
      </w:r>
      <w:proofErr w:type="gramEnd"/>
      <w:r w:rsidRPr="000D3559">
        <w:rPr>
          <w:i/>
          <w:lang w:val="en-US"/>
        </w:rPr>
        <w:t xml:space="preserve"> A Commentary</w:t>
      </w:r>
      <w:r w:rsidRPr="000D3559">
        <w:rPr>
          <w:lang w:val="en-US"/>
        </w:rPr>
        <w:t>, vol. </w:t>
      </w:r>
      <w:r w:rsidRPr="00750617">
        <w:t xml:space="preserve">II (Dordrecht, </w:t>
      </w:r>
      <w:proofErr w:type="spellStart"/>
      <w:r w:rsidRPr="00750617">
        <w:t>Martinus</w:t>
      </w:r>
      <w:proofErr w:type="spellEnd"/>
      <w:r w:rsidRPr="00750617">
        <w:t xml:space="preserve"> </w:t>
      </w:r>
      <w:proofErr w:type="spellStart"/>
      <w:r w:rsidRPr="00750617">
        <w:t>Nijhoff</w:t>
      </w:r>
      <w:proofErr w:type="spellEnd"/>
      <w:r w:rsidRPr="00750617">
        <w:t>, 1991), p</w:t>
      </w:r>
      <w:r w:rsidRPr="00F22925">
        <w:t>.</w:t>
      </w:r>
      <w:r w:rsidRPr="00750617">
        <w:t> 41 et 42</w:t>
      </w:r>
      <w:r w:rsidRPr="00F22925">
        <w:t>.</w:t>
      </w:r>
    </w:p>
  </w:footnote>
  <w:footnote w:id="143">
    <w:p w14:paraId="69D56BF1" w14:textId="77777777" w:rsidR="00D01ECD" w:rsidRPr="00750617" w:rsidRDefault="00D01ECD" w:rsidP="00D01ECD">
      <w:pPr>
        <w:pStyle w:val="FootnoteText"/>
      </w:pPr>
      <w:r w:rsidRPr="00750617">
        <w:tab/>
      </w:r>
      <w:r w:rsidRPr="00750617">
        <w:rPr>
          <w:rStyle w:val="FootnoteReference"/>
        </w:rPr>
        <w:footnoteRef/>
      </w:r>
      <w:r w:rsidRPr="00750617">
        <w:tab/>
        <w:t xml:space="preserve">Par exemple, la Convention pour la protection du milieu marin de l’Atlantique du Nord-Est (Nations Unies, </w:t>
      </w:r>
      <w:r w:rsidRPr="00750617">
        <w:rPr>
          <w:i/>
        </w:rPr>
        <w:t>Recueil des Traités</w:t>
      </w:r>
      <w:r w:rsidRPr="00750617">
        <w:t>, vol</w:t>
      </w:r>
      <w:r w:rsidRPr="00F22925">
        <w:t>.</w:t>
      </w:r>
      <w:r w:rsidRPr="00750617">
        <w:t xml:space="preserve"> 2354, </w:t>
      </w:r>
      <w:r w:rsidRPr="00750617">
        <w:rPr>
          <w:rFonts w:eastAsia="MS Mincho"/>
        </w:rPr>
        <w:t>n</w:t>
      </w:r>
      <w:r w:rsidRPr="00750617">
        <w:rPr>
          <w:rFonts w:eastAsia="MS Mincho"/>
          <w:vertAlign w:val="superscript"/>
        </w:rPr>
        <w:t>o</w:t>
      </w:r>
      <w:r w:rsidRPr="00750617">
        <w:t> 42279, p</w:t>
      </w:r>
      <w:r w:rsidRPr="00F22925">
        <w:t>.</w:t>
      </w:r>
      <w:r w:rsidRPr="00750617">
        <w:t> 67, à la page 71, art</w:t>
      </w:r>
      <w:r w:rsidRPr="00F22925">
        <w:t>.</w:t>
      </w:r>
      <w:r w:rsidRPr="00750617">
        <w:t> 1, par</w:t>
      </w:r>
      <w:r w:rsidRPr="00F22925">
        <w:t>.</w:t>
      </w:r>
      <w:r w:rsidRPr="00750617">
        <w:t> </w:t>
      </w:r>
      <w:proofErr w:type="gramStart"/>
      <w:r w:rsidRPr="00750617">
        <w:t>e</w:t>
      </w:r>
      <w:proofErr w:type="gramEnd"/>
      <w:r w:rsidRPr="00750617">
        <w:t>)) ; la Convention sur la protection du milieu marin dans la zone de la mer Baltique (Helsinki, 9 avril 1992, ibid</w:t>
      </w:r>
      <w:r w:rsidRPr="00F22925">
        <w:t>.</w:t>
      </w:r>
      <w:r w:rsidRPr="00750617">
        <w:t>, vol</w:t>
      </w:r>
      <w:r w:rsidRPr="00F22925">
        <w:t>.</w:t>
      </w:r>
      <w:r w:rsidRPr="00750617">
        <w:t xml:space="preserve"> 1507, </w:t>
      </w:r>
      <w:r w:rsidRPr="00750617">
        <w:rPr>
          <w:rFonts w:eastAsia="MS Mincho"/>
        </w:rPr>
        <w:t>n</w:t>
      </w:r>
      <w:r w:rsidRPr="00750617">
        <w:rPr>
          <w:rFonts w:eastAsia="MS Mincho"/>
          <w:vertAlign w:val="superscript"/>
        </w:rPr>
        <w:t>o</w:t>
      </w:r>
      <w:r w:rsidRPr="00750617">
        <w:t> 25986, p</w:t>
      </w:r>
      <w:r w:rsidRPr="00F22925">
        <w:t>.</w:t>
      </w:r>
      <w:r w:rsidRPr="00750617">
        <w:t> 166, à la page 169, art</w:t>
      </w:r>
      <w:r w:rsidRPr="00F22925">
        <w:t>.</w:t>
      </w:r>
      <w:r w:rsidRPr="00750617">
        <w:t> 2, par</w:t>
      </w:r>
      <w:r w:rsidRPr="00F22925">
        <w:t>.</w:t>
      </w:r>
      <w:r w:rsidRPr="00750617">
        <w:t> 2) ; le Protocole relatif à la protection de la mer Méditerranée contre la pollution provenant de sources et activités situées à terre (ibid</w:t>
      </w:r>
      <w:r w:rsidRPr="00F22925">
        <w:t>.</w:t>
      </w:r>
      <w:r w:rsidRPr="00750617">
        <w:t>, vol</w:t>
      </w:r>
      <w:r w:rsidRPr="00F22925">
        <w:t>.</w:t>
      </w:r>
      <w:r w:rsidRPr="00750617">
        <w:t xml:space="preserve"> 1328, </w:t>
      </w:r>
      <w:r w:rsidRPr="00750617">
        <w:rPr>
          <w:rFonts w:eastAsia="MS Mincho"/>
        </w:rPr>
        <w:t>n</w:t>
      </w:r>
      <w:r w:rsidRPr="00750617">
        <w:rPr>
          <w:rFonts w:eastAsia="MS Mincho"/>
          <w:vertAlign w:val="superscript"/>
        </w:rPr>
        <w:t>o</w:t>
      </w:r>
      <w:r w:rsidRPr="00750617">
        <w:t> 22281, p</w:t>
      </w:r>
      <w:r w:rsidRPr="00F22925">
        <w:t>.</w:t>
      </w:r>
      <w:r w:rsidRPr="00750617">
        <w:t> 105, à la page 121, art</w:t>
      </w:r>
      <w:r w:rsidRPr="00F22925">
        <w:t>.</w:t>
      </w:r>
      <w:r w:rsidRPr="00750617">
        <w:t> 4, par</w:t>
      </w:r>
      <w:r w:rsidRPr="00F22925">
        <w:t>.</w:t>
      </w:r>
      <w:r w:rsidRPr="00750617">
        <w:t> 1 b)) ; le Protocole relatif à la protection du Pacifique du Sud-Est contre la pollution d’origine tellurique (Quito, 22 juillet 1983, ibid</w:t>
      </w:r>
      <w:r w:rsidRPr="00F22925">
        <w:t>.</w:t>
      </w:r>
      <w:r w:rsidRPr="00750617">
        <w:t>, vol</w:t>
      </w:r>
      <w:r w:rsidRPr="00F22925">
        <w:t>.</w:t>
      </w:r>
      <w:r w:rsidRPr="00750617">
        <w:t xml:space="preserve"> 1648, </w:t>
      </w:r>
      <w:r w:rsidRPr="00750617">
        <w:rPr>
          <w:rFonts w:eastAsia="MS Mincho"/>
        </w:rPr>
        <w:t>n</w:t>
      </w:r>
      <w:r w:rsidRPr="00750617">
        <w:rPr>
          <w:rFonts w:eastAsia="MS Mincho"/>
          <w:vertAlign w:val="superscript"/>
        </w:rPr>
        <w:t>o</w:t>
      </w:r>
      <w:r w:rsidRPr="00750617">
        <w:t> 28327, p</w:t>
      </w:r>
      <w:r w:rsidRPr="00F22925">
        <w:t>.</w:t>
      </w:r>
      <w:r w:rsidRPr="00750617">
        <w:t> 73, à la page 90, art</w:t>
      </w:r>
      <w:r w:rsidRPr="00F22925">
        <w:t>.</w:t>
      </w:r>
      <w:r w:rsidRPr="00750617">
        <w:t> II c)) ; et le Protocole sur la protection du milieu marin contre la pollution d’origine tellurique relatif à la Convention régionale de Koweït pour la coopération en vue de la protection du milieu marin contre la pollution (Koweït, 21 février 1990, ibid</w:t>
      </w:r>
      <w:r w:rsidRPr="00F22925">
        <w:t>.</w:t>
      </w:r>
      <w:r w:rsidRPr="00750617">
        <w:t>, vol</w:t>
      </w:r>
      <w:r w:rsidRPr="00F22925">
        <w:t>.</w:t>
      </w:r>
      <w:r w:rsidRPr="00750617">
        <w:t xml:space="preserve"> 2399, </w:t>
      </w:r>
      <w:r w:rsidRPr="00750617">
        <w:rPr>
          <w:rFonts w:eastAsia="MS Mincho"/>
        </w:rPr>
        <w:t>n</w:t>
      </w:r>
      <w:r w:rsidRPr="00750617">
        <w:rPr>
          <w:rFonts w:eastAsia="MS Mincho"/>
          <w:vertAlign w:val="superscript"/>
        </w:rPr>
        <w:t>o</w:t>
      </w:r>
      <w:r w:rsidRPr="00750617">
        <w:t> 17898, p</w:t>
      </w:r>
      <w:r w:rsidRPr="00F22925">
        <w:t>.</w:t>
      </w:r>
      <w:r w:rsidRPr="00750617">
        <w:t> 3, à la page 40, art</w:t>
      </w:r>
      <w:r w:rsidRPr="00F22925">
        <w:t>.</w:t>
      </w:r>
      <w:r w:rsidRPr="00750617">
        <w:t> III)</w:t>
      </w:r>
      <w:r w:rsidRPr="00F22925">
        <w:t>.</w:t>
      </w:r>
    </w:p>
  </w:footnote>
  <w:footnote w:id="144">
    <w:p w14:paraId="3B9AF3B0" w14:textId="77777777" w:rsidR="00D01ECD" w:rsidRPr="00750617" w:rsidRDefault="00D01ECD" w:rsidP="00D01ECD">
      <w:pPr>
        <w:pStyle w:val="FootnoteText"/>
      </w:pPr>
      <w:r w:rsidRPr="00750617">
        <w:tab/>
      </w:r>
      <w:r w:rsidRPr="00750617">
        <w:rPr>
          <w:rStyle w:val="FootnoteReference"/>
        </w:rPr>
        <w:footnoteRef/>
      </w:r>
      <w:r w:rsidRPr="00750617">
        <w:tab/>
        <w:t>À la cinquante-huitième session du Comité de la protection du milieu marin, en 2008, l’OMI a ainsi adopté l’annexe VI modifiée de la Convention internationale pour la prévention de la pollution par les navires (ibid</w:t>
      </w:r>
      <w:r w:rsidRPr="00F22925">
        <w:t>.</w:t>
      </w:r>
      <w:r w:rsidRPr="00750617">
        <w:t>, vol</w:t>
      </w:r>
      <w:r w:rsidRPr="00F22925">
        <w:t>.</w:t>
      </w:r>
      <w:r w:rsidRPr="00750617">
        <w:t xml:space="preserve"> 1340, </w:t>
      </w:r>
      <w:r w:rsidRPr="00750617">
        <w:rPr>
          <w:rFonts w:eastAsia="MS Mincho"/>
        </w:rPr>
        <w:t>n</w:t>
      </w:r>
      <w:r w:rsidRPr="00750617">
        <w:rPr>
          <w:rFonts w:eastAsia="MS Mincho"/>
          <w:vertAlign w:val="superscript"/>
        </w:rPr>
        <w:t>o</w:t>
      </w:r>
      <w:r w:rsidRPr="00750617">
        <w:t> 22484, p</w:t>
      </w:r>
      <w:r w:rsidRPr="00F22925">
        <w:t>.</w:t>
      </w:r>
      <w:r w:rsidRPr="00750617">
        <w:t xml:space="preserve"> 61), qui porte notamment sur les émissions de </w:t>
      </w:r>
      <w:proofErr w:type="spellStart"/>
      <w:r w:rsidRPr="00750617">
        <w:t>SO</w:t>
      </w:r>
      <w:r w:rsidRPr="00750617">
        <w:rPr>
          <w:vertAlign w:val="subscript"/>
        </w:rPr>
        <w:t>x</w:t>
      </w:r>
      <w:proofErr w:type="spellEnd"/>
      <w:r w:rsidRPr="00750617">
        <w:t xml:space="preserve"> et de </w:t>
      </w:r>
      <w:proofErr w:type="spellStart"/>
      <w:r w:rsidRPr="00750617">
        <w:t>NO</w:t>
      </w:r>
      <w:r w:rsidRPr="00750617">
        <w:rPr>
          <w:vertAlign w:val="subscript"/>
        </w:rPr>
        <w:t>x</w:t>
      </w:r>
      <w:proofErr w:type="spellEnd"/>
      <w:r w:rsidRPr="00F22925">
        <w:t>.</w:t>
      </w:r>
      <w:r w:rsidRPr="00750617">
        <w:t xml:space="preserve"> La Convention est à présent assortie de six annexes : l’annexe I, sur les règles relatives à la prévention de la pollution par les hydrocarbures (entrée en vigueur le 2 octobre 1983) ; l’annexe II, sur les règles </w:t>
      </w:r>
      <w:r w:rsidRPr="00750617">
        <w:rPr>
          <w:spacing w:val="-2"/>
        </w:rPr>
        <w:t xml:space="preserve">relatives à la prévention de la pollution par les substances liquides nocives transportées en vrac (entrée en vigueur le 6 avril 1987) ; l’annexe III, sur les règles relatives à la prévention de la pollution par les substances nuisibles transportées par mer en colis, ou dans des conteneurs, des citernes mobiles, des </w:t>
      </w:r>
      <w:proofErr w:type="spellStart"/>
      <w:r w:rsidRPr="00750617">
        <w:rPr>
          <w:spacing w:val="-2"/>
        </w:rPr>
        <w:t>camions-citernes</w:t>
      </w:r>
      <w:proofErr w:type="spellEnd"/>
      <w:r w:rsidRPr="00750617">
        <w:rPr>
          <w:spacing w:val="-2"/>
        </w:rPr>
        <w:t xml:space="preserve"> ou des wagons-citernes (entrée en vigueur le 1</w:t>
      </w:r>
      <w:r w:rsidRPr="00750617">
        <w:rPr>
          <w:spacing w:val="-2"/>
          <w:vertAlign w:val="superscript"/>
        </w:rPr>
        <w:t>er</w:t>
      </w:r>
      <w:r w:rsidRPr="00750617">
        <w:rPr>
          <w:spacing w:val="-2"/>
        </w:rPr>
        <w:t> juillet 1992) ; l’annexe IV, sur les règles relatives à la prévention de la pollution par les eaux usées des navires (entrée en vigueur le 27 septembre 2003) ; l’annexe V, sur les règles relatives à la prévention de la pollution par les ordures des navires (entrée en vigueur le 31 décembre 1988) ; et l’annexe VI, sur les règles relatives à la prévention de la pollution de l’atmosphère par les navires (entrée en vigueur le 19 mai 2005)</w:t>
      </w:r>
      <w:r w:rsidRPr="00F22925">
        <w:rPr>
          <w:spacing w:val="-2"/>
        </w:rPr>
        <w:t>.</w:t>
      </w:r>
      <w:r w:rsidRPr="00750617">
        <w:t xml:space="preserve"> </w:t>
      </w:r>
    </w:p>
  </w:footnote>
  <w:footnote w:id="145">
    <w:p w14:paraId="4283796F" w14:textId="77777777" w:rsidR="00D01ECD" w:rsidRPr="00750617" w:rsidRDefault="00D01ECD" w:rsidP="00D01ECD">
      <w:pPr>
        <w:pStyle w:val="FootnoteText"/>
      </w:pPr>
      <w:r w:rsidRPr="00750617">
        <w:tab/>
      </w:r>
      <w:r w:rsidRPr="00750617">
        <w:rPr>
          <w:rStyle w:val="FootnoteReference"/>
        </w:rPr>
        <w:footnoteRef/>
      </w:r>
      <w:r w:rsidRPr="000D3559">
        <w:rPr>
          <w:lang w:val="en-US"/>
        </w:rPr>
        <w:tab/>
        <w:t xml:space="preserve">S. Karim, </w:t>
      </w:r>
      <w:r w:rsidRPr="000D3559">
        <w:rPr>
          <w:i/>
          <w:iCs/>
          <w:lang w:val="en-US"/>
        </w:rPr>
        <w:t>Prevention of Pollution of the Marine Environment from Vessels : The Potential and Limits of the International Maritime Organization</w:t>
      </w:r>
      <w:r w:rsidRPr="000D3559">
        <w:rPr>
          <w:lang w:val="en-US"/>
        </w:rPr>
        <w:t xml:space="preserve"> (Dordrecht, Springer, 2015), p. 107 à 126 ; S. Karim et S. </w:t>
      </w:r>
      <w:proofErr w:type="spellStart"/>
      <w:r w:rsidRPr="000D3559">
        <w:rPr>
          <w:lang w:val="en-US"/>
        </w:rPr>
        <w:t>Alam</w:t>
      </w:r>
      <w:proofErr w:type="spellEnd"/>
      <w:r w:rsidRPr="000D3559">
        <w:rPr>
          <w:lang w:val="en-US"/>
        </w:rPr>
        <w:t xml:space="preserve">, « Climate change and reduction of emissions of greenhouse gases from ships : an appraisal », </w:t>
      </w:r>
      <w:r w:rsidRPr="000D3559">
        <w:rPr>
          <w:i/>
          <w:iCs/>
          <w:lang w:val="en-US"/>
        </w:rPr>
        <w:t>Asian Journal of International Law</w:t>
      </w:r>
      <w:r w:rsidRPr="000D3559">
        <w:rPr>
          <w:lang w:val="en-US"/>
        </w:rPr>
        <w:t xml:space="preserve">, vol. 1 (2011), p. 131 à 148 ; Y. Shi, « Are greenhouse gas emissions from international shipping a type of marine pollution? », </w:t>
      </w:r>
      <w:r w:rsidRPr="000D3559">
        <w:rPr>
          <w:i/>
          <w:iCs/>
          <w:lang w:val="en-US"/>
        </w:rPr>
        <w:t>Marine Pollution Bulletin</w:t>
      </w:r>
      <w:r w:rsidRPr="000D3559">
        <w:rPr>
          <w:lang w:val="en-US"/>
        </w:rPr>
        <w:t xml:space="preserve">, vol. 113 (2016), p. 187 à 192 ; J. Harrison, « Recent developments and continuing challenges in the regulation of greenhouse gas emissions from international shipping » (2012), </w:t>
      </w:r>
      <w:proofErr w:type="spellStart"/>
      <w:r w:rsidRPr="000D3559">
        <w:rPr>
          <w:lang w:val="en-US"/>
        </w:rPr>
        <w:t>faculté</w:t>
      </w:r>
      <w:proofErr w:type="spellEnd"/>
      <w:r w:rsidRPr="000D3559">
        <w:rPr>
          <w:lang w:val="en-US"/>
        </w:rPr>
        <w:t xml:space="preserve"> de droit de </w:t>
      </w:r>
      <w:proofErr w:type="spellStart"/>
      <w:r w:rsidRPr="000D3559">
        <w:rPr>
          <w:lang w:val="en-US"/>
        </w:rPr>
        <w:t>l’Université</w:t>
      </w:r>
      <w:proofErr w:type="spellEnd"/>
      <w:r w:rsidRPr="000D3559">
        <w:rPr>
          <w:lang w:val="en-US"/>
        </w:rPr>
        <w:t xml:space="preserve"> </w:t>
      </w:r>
      <w:proofErr w:type="spellStart"/>
      <w:r w:rsidRPr="000D3559">
        <w:rPr>
          <w:lang w:val="en-US"/>
        </w:rPr>
        <w:t>d’Édimbourg</w:t>
      </w:r>
      <w:proofErr w:type="spellEnd"/>
      <w:r w:rsidRPr="000D3559">
        <w:rPr>
          <w:lang w:val="en-US"/>
        </w:rPr>
        <w:t xml:space="preserve">, rapport de recherche </w:t>
      </w:r>
      <w:r w:rsidRPr="000D3559">
        <w:rPr>
          <w:rFonts w:eastAsia="MS Mincho"/>
          <w:lang w:val="en-US"/>
        </w:rPr>
        <w:t>n</w:t>
      </w:r>
      <w:r w:rsidRPr="000D3559">
        <w:rPr>
          <w:rFonts w:eastAsia="MS Mincho"/>
          <w:vertAlign w:val="superscript"/>
          <w:lang w:val="en-US"/>
        </w:rPr>
        <w:t>o</w:t>
      </w:r>
      <w:r w:rsidRPr="000D3559">
        <w:rPr>
          <w:lang w:val="en-US"/>
        </w:rPr>
        <w:t xml:space="preserve"> 2012/12, p. 20. </w:t>
      </w:r>
      <w:r w:rsidRPr="00750617">
        <w:t xml:space="preserve">Disponible à l’adresse suivante : </w:t>
      </w:r>
      <w:hyperlink r:id="rId49" w:history="1">
        <w:r w:rsidRPr="00750617">
          <w:rPr>
            <w:rStyle w:val="Hyperlink"/>
          </w:rPr>
          <w:t>https://ssrn</w:t>
        </w:r>
        <w:r w:rsidRPr="00F22925">
          <w:rPr>
            <w:rStyle w:val="Hyperlink"/>
          </w:rPr>
          <w:t>.</w:t>
        </w:r>
        <w:r w:rsidRPr="00750617">
          <w:rPr>
            <w:rStyle w:val="Hyperlink"/>
          </w:rPr>
          <w:t>com/abstract=2037038</w:t>
        </w:r>
      </w:hyperlink>
      <w:r w:rsidRPr="00F22925">
        <w:t>.</w:t>
      </w:r>
    </w:p>
  </w:footnote>
  <w:footnote w:id="146">
    <w:p w14:paraId="48D670A3" w14:textId="77777777" w:rsidR="00D01ECD" w:rsidRPr="00750617" w:rsidRDefault="00D01ECD" w:rsidP="00D01ECD">
      <w:pPr>
        <w:pStyle w:val="FootnoteText"/>
      </w:pPr>
      <w:r w:rsidRPr="00750617">
        <w:tab/>
      </w:r>
      <w:r w:rsidRPr="00750617">
        <w:rPr>
          <w:rStyle w:val="FootnoteReference"/>
        </w:rPr>
        <w:footnoteRef/>
      </w:r>
      <w:r w:rsidRPr="00750617">
        <w:tab/>
        <w:t>« Étude analytique sur les liens entre les droits de l’homme et l’environnement », rapport du Haut</w:t>
      </w:r>
      <w:r w:rsidRPr="00750617">
        <w:noBreakHyphen/>
        <w:t>Commissaire des Nations Unies aux droits de l’homme (</w:t>
      </w:r>
      <w:hyperlink r:id="rId50" w:history="1">
        <w:r w:rsidRPr="00750617">
          <w:rPr>
            <w:rStyle w:val="Hyperlink"/>
          </w:rPr>
          <w:t>A/HRC/19/34</w:t>
        </w:r>
      </w:hyperlink>
      <w:r w:rsidRPr="00750617">
        <w:t>), par</w:t>
      </w:r>
      <w:r w:rsidRPr="00F22925">
        <w:t>.</w:t>
      </w:r>
      <w:r w:rsidRPr="00750617">
        <w:t> 15</w:t>
      </w:r>
      <w:r w:rsidRPr="00F22925">
        <w:t>.</w:t>
      </w:r>
      <w:r w:rsidRPr="00750617">
        <w:t xml:space="preserve"> Voir aussi la résolution </w:t>
      </w:r>
      <w:hyperlink r:id="rId51" w:history="1">
        <w:r w:rsidRPr="00750617">
          <w:t>19/10</w:t>
        </w:r>
      </w:hyperlink>
      <w:r w:rsidRPr="00750617">
        <w:t xml:space="preserve"> du Conseil des droits de l’homme, du 19 avril 2012, sur les droits de l’homme et l’environnement</w:t>
      </w:r>
      <w:r w:rsidRPr="00F22925">
        <w:t>.</w:t>
      </w:r>
    </w:p>
  </w:footnote>
  <w:footnote w:id="147">
    <w:p w14:paraId="65AC0AD5" w14:textId="77777777" w:rsidR="00D01ECD" w:rsidRPr="000D3559" w:rsidRDefault="00D01ECD" w:rsidP="00D01ECD">
      <w:pPr>
        <w:pStyle w:val="FootnoteText"/>
        <w:rPr>
          <w:lang w:val="en-US"/>
        </w:rPr>
      </w:pPr>
      <w:r w:rsidRPr="00750617">
        <w:rPr>
          <w:vertAlign w:val="superscript"/>
        </w:rPr>
        <w:tab/>
      </w:r>
      <w:r w:rsidRPr="00750617">
        <w:rPr>
          <w:rStyle w:val="FootnoteReference"/>
        </w:rPr>
        <w:footnoteRef/>
      </w:r>
      <w:r w:rsidRPr="000D3559">
        <w:rPr>
          <w:vertAlign w:val="superscript"/>
          <w:lang w:val="en-US"/>
        </w:rPr>
        <w:tab/>
      </w:r>
      <w:proofErr w:type="spellStart"/>
      <w:r w:rsidRPr="000D3559">
        <w:rPr>
          <w:lang w:val="en-US"/>
        </w:rPr>
        <w:t>Voir</w:t>
      </w:r>
      <w:proofErr w:type="spellEnd"/>
      <w:r w:rsidRPr="000D3559">
        <w:rPr>
          <w:lang w:val="en-US"/>
        </w:rPr>
        <w:t xml:space="preserve"> L. B. Sohn, « The Stockholm Declaration on the Human Environment » (note </w:t>
      </w:r>
      <w:r w:rsidRPr="00750617">
        <w:fldChar w:fldCharType="begin"/>
      </w:r>
      <w:r w:rsidRPr="000D3559">
        <w:rPr>
          <w:lang w:val="en-US"/>
        </w:rPr>
        <w:instrText xml:space="preserve"> NOTEREF _Ref74827396 \h  \* MERGEFORMAT </w:instrText>
      </w:r>
      <w:r w:rsidRPr="00750617">
        <w:fldChar w:fldCharType="separate"/>
      </w:r>
      <w:r>
        <w:rPr>
          <w:lang w:val="en-US"/>
        </w:rPr>
        <w:t>23</w:t>
      </w:r>
      <w:r w:rsidRPr="00750617">
        <w:fldChar w:fldCharType="end"/>
      </w:r>
      <w:r w:rsidRPr="000D3559">
        <w:rPr>
          <w:lang w:val="en-US"/>
        </w:rPr>
        <w:t xml:space="preserve"> </w:t>
      </w:r>
      <w:r w:rsidRPr="000D3559">
        <w:rPr>
          <w:i/>
          <w:lang w:val="en-US"/>
        </w:rPr>
        <w:t>supra</w:t>
      </w:r>
      <w:r w:rsidRPr="000D3559">
        <w:rPr>
          <w:lang w:val="en-US"/>
        </w:rPr>
        <w:t>), p. 451 à 455.</w:t>
      </w:r>
    </w:p>
  </w:footnote>
  <w:footnote w:id="148">
    <w:p w14:paraId="1428839E"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0D3559">
        <w:rPr>
          <w:lang w:val="en-US"/>
        </w:rPr>
        <w:tab/>
        <w:t>F. </w:t>
      </w:r>
      <w:proofErr w:type="spellStart"/>
      <w:r w:rsidRPr="000D3559">
        <w:rPr>
          <w:lang w:val="en-US"/>
        </w:rPr>
        <w:t>Francioni</w:t>
      </w:r>
      <w:proofErr w:type="spellEnd"/>
      <w:r w:rsidRPr="000D3559">
        <w:rPr>
          <w:lang w:val="en-US"/>
        </w:rPr>
        <w:t xml:space="preserve">, « Principle </w:t>
      </w:r>
      <w:proofErr w:type="gramStart"/>
      <w:r w:rsidRPr="000D3559">
        <w:rPr>
          <w:lang w:val="en-US"/>
        </w:rPr>
        <w:t>1 :</w:t>
      </w:r>
      <w:proofErr w:type="gramEnd"/>
      <w:r w:rsidRPr="000D3559">
        <w:rPr>
          <w:lang w:val="en-US"/>
        </w:rPr>
        <w:t xml:space="preserve"> human beings and the environment », dans J. E. Viñuales (dir. publ.). </w:t>
      </w:r>
      <w:r w:rsidRPr="000D3559">
        <w:rPr>
          <w:i/>
          <w:lang w:val="en-US"/>
        </w:rPr>
        <w:t xml:space="preserve">The Rio Declaration on Environment and </w:t>
      </w:r>
      <w:proofErr w:type="gramStart"/>
      <w:r w:rsidRPr="000D3559">
        <w:rPr>
          <w:i/>
          <w:lang w:val="en-US"/>
        </w:rPr>
        <w:t>Development :</w:t>
      </w:r>
      <w:proofErr w:type="gramEnd"/>
      <w:r w:rsidRPr="000D3559">
        <w:rPr>
          <w:i/>
          <w:lang w:val="en-US"/>
        </w:rPr>
        <w:t xml:space="preserve"> A Commentary</w:t>
      </w:r>
      <w:r w:rsidRPr="000D3559">
        <w:rPr>
          <w:lang w:val="en-US"/>
        </w:rPr>
        <w:t xml:space="preserve"> (Oxford, Oxford University Press, 2015), p. 93 à 106, aux pages 97 et 98.</w:t>
      </w:r>
    </w:p>
  </w:footnote>
  <w:footnote w:id="149">
    <w:p w14:paraId="714E1000" w14:textId="77777777" w:rsidR="00D01ECD" w:rsidRPr="00750617" w:rsidRDefault="00D01ECD" w:rsidP="00D01ECD">
      <w:pPr>
        <w:pStyle w:val="FootnoteText"/>
      </w:pPr>
      <w:r w:rsidRPr="000D3559">
        <w:rPr>
          <w:vertAlign w:val="superscript"/>
          <w:lang w:val="en-US"/>
        </w:rPr>
        <w:tab/>
      </w:r>
      <w:r w:rsidRPr="00750617">
        <w:rPr>
          <w:rStyle w:val="FootnoteReference"/>
        </w:rPr>
        <w:footnoteRef/>
      </w:r>
      <w:r w:rsidRPr="00750617">
        <w:rPr>
          <w:vertAlign w:val="superscript"/>
        </w:rPr>
        <w:tab/>
      </w:r>
      <w:r w:rsidRPr="00750617">
        <w:t xml:space="preserve">Nations Unies, </w:t>
      </w:r>
      <w:r w:rsidRPr="00750617">
        <w:rPr>
          <w:i/>
        </w:rPr>
        <w:t>Recueil des Traités</w:t>
      </w:r>
      <w:r w:rsidRPr="00750617">
        <w:t>, vol</w:t>
      </w:r>
      <w:r w:rsidRPr="00F22925">
        <w:t>.</w:t>
      </w:r>
      <w:r w:rsidRPr="00750617">
        <w:t xml:space="preserve"> 1302, </w:t>
      </w:r>
      <w:r w:rsidRPr="00750617">
        <w:rPr>
          <w:rFonts w:eastAsia="MS Mincho"/>
        </w:rPr>
        <w:t>n</w:t>
      </w:r>
      <w:r w:rsidRPr="00750617">
        <w:rPr>
          <w:rFonts w:eastAsia="MS Mincho"/>
          <w:vertAlign w:val="superscript"/>
        </w:rPr>
        <w:t>o</w:t>
      </w:r>
      <w:r w:rsidRPr="00750617">
        <w:t> 21623, p</w:t>
      </w:r>
      <w:r w:rsidRPr="00F22925">
        <w:t>.</w:t>
      </w:r>
      <w:r w:rsidRPr="00750617">
        <w:t> 217, à la page 226, art</w:t>
      </w:r>
      <w:r w:rsidRPr="00F22925">
        <w:t>.</w:t>
      </w:r>
      <w:r w:rsidRPr="00750617">
        <w:t> 1 et 2</w:t>
      </w:r>
      <w:r w:rsidRPr="00F22925">
        <w:t>.</w:t>
      </w:r>
    </w:p>
  </w:footnote>
  <w:footnote w:id="150">
    <w:p w14:paraId="5AC8B467" w14:textId="77777777" w:rsidR="00D01ECD" w:rsidRPr="00750617" w:rsidRDefault="00D01ECD" w:rsidP="00D01ECD">
      <w:pPr>
        <w:pStyle w:val="FootnoteText"/>
      </w:pPr>
      <w:r w:rsidRPr="00750617">
        <w:tab/>
      </w:r>
      <w:r w:rsidRPr="00750617">
        <w:rPr>
          <w:rStyle w:val="FootnoteReference"/>
        </w:rPr>
        <w:footnoteRef/>
      </w:r>
      <w:r w:rsidRPr="00750617">
        <w:tab/>
        <w:t>Ibid</w:t>
      </w:r>
      <w:r w:rsidRPr="00F22925">
        <w:t>.</w:t>
      </w:r>
      <w:r w:rsidRPr="00750617">
        <w:t>, vol</w:t>
      </w:r>
      <w:r w:rsidRPr="00F22925">
        <w:t>.</w:t>
      </w:r>
      <w:r w:rsidRPr="00750617">
        <w:t xml:space="preserve"> 1513, </w:t>
      </w:r>
      <w:r w:rsidRPr="00750617">
        <w:rPr>
          <w:rFonts w:eastAsia="MS Mincho"/>
        </w:rPr>
        <w:t>n</w:t>
      </w:r>
      <w:r w:rsidRPr="00750617">
        <w:rPr>
          <w:rFonts w:eastAsia="MS Mincho"/>
          <w:vertAlign w:val="superscript"/>
        </w:rPr>
        <w:t>o</w:t>
      </w:r>
      <w:r w:rsidRPr="00750617">
        <w:t> 26164, p</w:t>
      </w:r>
      <w:r w:rsidRPr="00F22925">
        <w:t>.</w:t>
      </w:r>
      <w:r w:rsidRPr="00750617">
        <w:t> 293, à la page 326, art</w:t>
      </w:r>
      <w:r w:rsidRPr="00F22925">
        <w:t>.</w:t>
      </w:r>
      <w:r w:rsidRPr="00750617">
        <w:t> 2</w:t>
      </w:r>
      <w:r w:rsidRPr="00F22925">
        <w:t>.</w:t>
      </w:r>
    </w:p>
  </w:footnote>
  <w:footnote w:id="151">
    <w:p w14:paraId="60BDBC8A" w14:textId="77777777" w:rsidR="00D01ECD" w:rsidRPr="00750617" w:rsidRDefault="00D01ECD" w:rsidP="00D01ECD">
      <w:pPr>
        <w:pStyle w:val="FootnoteText"/>
      </w:pPr>
      <w:r w:rsidRPr="00750617">
        <w:tab/>
      </w:r>
      <w:r w:rsidRPr="00750617">
        <w:rPr>
          <w:rStyle w:val="FootnoteReference"/>
        </w:rPr>
        <w:footnoteRef/>
      </w:r>
      <w:r w:rsidRPr="00750617">
        <w:tab/>
        <w:t>Art</w:t>
      </w:r>
      <w:r w:rsidRPr="00F22925">
        <w:t>.</w:t>
      </w:r>
      <w:r w:rsidRPr="00750617">
        <w:t> 1</w:t>
      </w:r>
      <w:r w:rsidRPr="00F22925">
        <w:t>.</w:t>
      </w:r>
    </w:p>
  </w:footnote>
  <w:footnote w:id="152">
    <w:p w14:paraId="69F6F444" w14:textId="77777777" w:rsidR="00D01ECD" w:rsidRPr="00750617" w:rsidRDefault="00D01ECD" w:rsidP="00D01ECD">
      <w:pPr>
        <w:pStyle w:val="FootnoteText"/>
      </w:pPr>
      <w:r w:rsidRPr="00750617">
        <w:rPr>
          <w:spacing w:val="-2"/>
        </w:rPr>
        <w:tab/>
      </w:r>
      <w:r w:rsidRPr="00750617">
        <w:rPr>
          <w:rStyle w:val="FootnoteReference"/>
        </w:rPr>
        <w:footnoteRef/>
      </w:r>
      <w:r w:rsidRPr="00750617">
        <w:rPr>
          <w:spacing w:val="-2"/>
        </w:rPr>
        <w:tab/>
        <w:t>Art</w:t>
      </w:r>
      <w:r w:rsidRPr="00F22925">
        <w:rPr>
          <w:spacing w:val="-2"/>
        </w:rPr>
        <w:t>.</w:t>
      </w:r>
      <w:r w:rsidRPr="00750617">
        <w:rPr>
          <w:spacing w:val="-2"/>
        </w:rPr>
        <w:t> 6 du Pacte international de 1966 relatif aux droits civils et politiques (New York, 16 décembre 1966,</w:t>
      </w:r>
      <w:r w:rsidRPr="00750617">
        <w:t xml:space="preserve"> Nations Unies, </w:t>
      </w:r>
      <w:r w:rsidRPr="00750617">
        <w:rPr>
          <w:i/>
        </w:rPr>
        <w:t>Recueil des Traités</w:t>
      </w:r>
      <w:r w:rsidRPr="00750617">
        <w:t>, vol</w:t>
      </w:r>
      <w:r w:rsidRPr="00F22925">
        <w:t>.</w:t>
      </w:r>
      <w:r w:rsidRPr="00750617">
        <w:t xml:space="preserve"> 999, </w:t>
      </w:r>
      <w:r w:rsidRPr="00750617">
        <w:rPr>
          <w:rFonts w:eastAsia="MS Mincho"/>
        </w:rPr>
        <w:t>n</w:t>
      </w:r>
      <w:r w:rsidRPr="00750617">
        <w:rPr>
          <w:rFonts w:eastAsia="MS Mincho"/>
          <w:vertAlign w:val="superscript"/>
        </w:rPr>
        <w:t>o</w:t>
      </w:r>
      <w:r w:rsidRPr="00750617">
        <w:t> 14668, p</w:t>
      </w:r>
      <w:r w:rsidRPr="00F22925">
        <w:t>.</w:t>
      </w:r>
      <w:r w:rsidRPr="00750617">
        <w:t> 171) ; art</w:t>
      </w:r>
      <w:r w:rsidRPr="00F22925">
        <w:t>.</w:t>
      </w:r>
      <w:r w:rsidRPr="00750617">
        <w:t> 6 de la Convention de 1989 relative aux droits de l’enfant (New York, 20 décembre 1989, ibid</w:t>
      </w:r>
      <w:r w:rsidRPr="00F22925">
        <w:t>.</w:t>
      </w:r>
      <w:r w:rsidRPr="00750617">
        <w:t>, vol</w:t>
      </w:r>
      <w:r w:rsidRPr="00F22925">
        <w:t>.</w:t>
      </w:r>
      <w:r w:rsidRPr="00750617">
        <w:t xml:space="preserve"> 1577, </w:t>
      </w:r>
      <w:r w:rsidRPr="00750617">
        <w:rPr>
          <w:rFonts w:eastAsia="MS Mincho"/>
        </w:rPr>
        <w:t>n</w:t>
      </w:r>
      <w:r w:rsidRPr="00750617">
        <w:rPr>
          <w:rFonts w:eastAsia="MS Mincho"/>
          <w:vertAlign w:val="superscript"/>
        </w:rPr>
        <w:t>o</w:t>
      </w:r>
      <w:r w:rsidRPr="00750617">
        <w:t> 27531, p</w:t>
      </w:r>
      <w:r w:rsidRPr="00F22925">
        <w:t>.</w:t>
      </w:r>
      <w:r w:rsidRPr="00750617">
        <w:t> 3) ; art</w:t>
      </w:r>
      <w:r w:rsidRPr="00F22925">
        <w:t>.</w:t>
      </w:r>
      <w:r w:rsidRPr="00750617">
        <w:t> 10 de la Convention de 2006 relative aux droits des personnes handicapées (New York, 20 décembre 2006, ibid</w:t>
      </w:r>
      <w:r w:rsidRPr="00F22925">
        <w:t>.</w:t>
      </w:r>
      <w:r w:rsidRPr="00750617">
        <w:t>, vol</w:t>
      </w:r>
      <w:r w:rsidRPr="00F22925">
        <w:t>.</w:t>
      </w:r>
      <w:r w:rsidRPr="00750617">
        <w:t xml:space="preserve"> 2515, </w:t>
      </w:r>
      <w:r w:rsidRPr="00750617">
        <w:rPr>
          <w:rFonts w:eastAsia="MS Mincho"/>
        </w:rPr>
        <w:t>n</w:t>
      </w:r>
      <w:r w:rsidRPr="00750617">
        <w:rPr>
          <w:rFonts w:eastAsia="MS Mincho"/>
          <w:vertAlign w:val="superscript"/>
        </w:rPr>
        <w:t>o</w:t>
      </w:r>
      <w:r w:rsidRPr="00750617">
        <w:t> 44910, p</w:t>
      </w:r>
      <w:r w:rsidRPr="00F22925">
        <w:t>.</w:t>
      </w:r>
      <w:r w:rsidRPr="00750617">
        <w:t> 3) ; art</w:t>
      </w:r>
      <w:r w:rsidRPr="00F22925">
        <w:t>.</w:t>
      </w:r>
      <w:r w:rsidRPr="00750617">
        <w:t> 2 de la Convention de sauvegarde des droits de l’homme et des libertés fondamentales de 1950 (Rome, 4 novembre 1950, ibid</w:t>
      </w:r>
      <w:r w:rsidRPr="00F22925">
        <w:t>.</w:t>
      </w:r>
      <w:r w:rsidRPr="00750617">
        <w:t>, vol</w:t>
      </w:r>
      <w:r w:rsidRPr="00F22925">
        <w:t>.</w:t>
      </w:r>
      <w:r w:rsidRPr="00750617">
        <w:t xml:space="preserve"> 213, </w:t>
      </w:r>
      <w:r w:rsidRPr="00750617">
        <w:rPr>
          <w:rFonts w:eastAsia="MS Mincho"/>
        </w:rPr>
        <w:t>n</w:t>
      </w:r>
      <w:r w:rsidRPr="00750617">
        <w:rPr>
          <w:rFonts w:eastAsia="MS Mincho"/>
          <w:vertAlign w:val="superscript"/>
        </w:rPr>
        <w:t>o</w:t>
      </w:r>
      <w:r w:rsidRPr="00750617">
        <w:t> 2889, p</w:t>
      </w:r>
      <w:r w:rsidRPr="00F22925">
        <w:t>.</w:t>
      </w:r>
      <w:r w:rsidRPr="00750617">
        <w:t> 221 (ci</w:t>
      </w:r>
      <w:r w:rsidRPr="00750617">
        <w:noBreakHyphen/>
        <w:t>après la « Convention européenne des droits de l’homme ») ; art</w:t>
      </w:r>
      <w:r w:rsidRPr="00F22925">
        <w:t>.</w:t>
      </w:r>
      <w:r w:rsidRPr="00750617">
        <w:t> 4 de la Convention américaine de 1969 relative aux droits de l’homme (San José, 22 novembre 1969, ibid</w:t>
      </w:r>
      <w:r w:rsidRPr="00F22925">
        <w:t>.</w:t>
      </w:r>
      <w:r w:rsidRPr="00750617">
        <w:t>, vol</w:t>
      </w:r>
      <w:r w:rsidRPr="00F22925">
        <w:t>.</w:t>
      </w:r>
      <w:r w:rsidRPr="00750617">
        <w:t xml:space="preserve"> 1144, </w:t>
      </w:r>
      <w:r w:rsidRPr="00750617">
        <w:rPr>
          <w:rFonts w:eastAsia="MS Mincho"/>
        </w:rPr>
        <w:t>n</w:t>
      </w:r>
      <w:r w:rsidRPr="00750617">
        <w:rPr>
          <w:rFonts w:eastAsia="MS Mincho"/>
          <w:vertAlign w:val="superscript"/>
        </w:rPr>
        <w:t>o</w:t>
      </w:r>
      <w:r w:rsidRPr="00750617">
        <w:t> 14668, p</w:t>
      </w:r>
      <w:r w:rsidRPr="00F22925">
        <w:t>.</w:t>
      </w:r>
      <w:r w:rsidRPr="00750617">
        <w:t> 171) ; et art</w:t>
      </w:r>
      <w:r w:rsidRPr="00F22925">
        <w:t>.</w:t>
      </w:r>
      <w:r w:rsidRPr="00750617">
        <w:t> 4 de la Charte africaine des droits de l’homme et des peuples de 1981 (Nairobi, 27 juin 1981, ibid</w:t>
      </w:r>
      <w:r w:rsidRPr="00F22925">
        <w:t>.</w:t>
      </w:r>
      <w:r w:rsidRPr="00750617">
        <w:t>, vol</w:t>
      </w:r>
      <w:r w:rsidRPr="00F22925">
        <w:t>.</w:t>
      </w:r>
      <w:r w:rsidRPr="00750617">
        <w:t xml:space="preserve"> 1520, </w:t>
      </w:r>
      <w:r w:rsidRPr="00750617">
        <w:rPr>
          <w:rFonts w:eastAsia="MS Mincho"/>
        </w:rPr>
        <w:t>n</w:t>
      </w:r>
      <w:r w:rsidRPr="00750617">
        <w:rPr>
          <w:rFonts w:eastAsia="MS Mincho"/>
          <w:vertAlign w:val="superscript"/>
        </w:rPr>
        <w:t>o</w:t>
      </w:r>
      <w:r w:rsidRPr="00750617">
        <w:t> 26363, p</w:t>
      </w:r>
      <w:r w:rsidRPr="00F22925">
        <w:t>.</w:t>
      </w:r>
      <w:r w:rsidRPr="00750617">
        <w:t> 217)</w:t>
      </w:r>
      <w:r w:rsidRPr="00F22925">
        <w:t>.</w:t>
      </w:r>
    </w:p>
  </w:footnote>
  <w:footnote w:id="153">
    <w:p w14:paraId="4205B164" w14:textId="77777777" w:rsidR="00D01ECD" w:rsidRPr="00750617" w:rsidRDefault="00D01ECD" w:rsidP="00D01ECD">
      <w:pPr>
        <w:pStyle w:val="FootnoteText"/>
        <w:rPr>
          <w:spacing w:val="-1"/>
        </w:rPr>
      </w:pPr>
      <w:r w:rsidRPr="00750617">
        <w:rPr>
          <w:spacing w:val="-1"/>
        </w:rPr>
        <w:tab/>
      </w:r>
      <w:r w:rsidRPr="00750617">
        <w:rPr>
          <w:rStyle w:val="FootnoteReference"/>
        </w:rPr>
        <w:footnoteRef/>
      </w:r>
      <w:r w:rsidRPr="00750617">
        <w:rPr>
          <w:spacing w:val="-1"/>
        </w:rPr>
        <w:tab/>
        <w:t>Art</w:t>
      </w:r>
      <w:r w:rsidRPr="00F22925">
        <w:rPr>
          <w:spacing w:val="-1"/>
        </w:rPr>
        <w:t>.</w:t>
      </w:r>
      <w:r w:rsidRPr="00750617">
        <w:rPr>
          <w:spacing w:val="-1"/>
        </w:rPr>
        <w:t> 17 du Pacte international relatif aux droits civils et politiques ; art</w:t>
      </w:r>
      <w:r w:rsidRPr="00F22925">
        <w:rPr>
          <w:spacing w:val="-1"/>
        </w:rPr>
        <w:t>.</w:t>
      </w:r>
      <w:r w:rsidRPr="00750617">
        <w:rPr>
          <w:spacing w:val="-1"/>
        </w:rPr>
        <w:t> 8 de la Convention européenne des droits de l’homme ; et art</w:t>
      </w:r>
      <w:r w:rsidRPr="00F22925">
        <w:rPr>
          <w:spacing w:val="-1"/>
        </w:rPr>
        <w:t>.</w:t>
      </w:r>
      <w:r w:rsidRPr="00750617">
        <w:rPr>
          <w:spacing w:val="-1"/>
        </w:rPr>
        <w:t> 11, par</w:t>
      </w:r>
      <w:r w:rsidRPr="00F22925">
        <w:rPr>
          <w:spacing w:val="-1"/>
        </w:rPr>
        <w:t>.</w:t>
      </w:r>
      <w:r w:rsidRPr="00750617">
        <w:rPr>
          <w:spacing w:val="-1"/>
        </w:rPr>
        <w:t> 2, de la Convention américaine des droits de l’homme</w:t>
      </w:r>
      <w:r w:rsidRPr="00F22925">
        <w:rPr>
          <w:spacing w:val="-1"/>
        </w:rPr>
        <w:t>.</w:t>
      </w:r>
    </w:p>
  </w:footnote>
  <w:footnote w:id="154">
    <w:p w14:paraId="6F731740" w14:textId="77777777" w:rsidR="00D01ECD" w:rsidRPr="00750617" w:rsidRDefault="00D01ECD" w:rsidP="00D01ECD">
      <w:pPr>
        <w:pStyle w:val="FootnoteText"/>
        <w:rPr>
          <w:spacing w:val="-2"/>
        </w:rPr>
      </w:pPr>
      <w:r w:rsidRPr="00750617">
        <w:rPr>
          <w:spacing w:val="-2"/>
        </w:rPr>
        <w:tab/>
      </w:r>
      <w:r w:rsidRPr="00750617">
        <w:rPr>
          <w:rStyle w:val="FootnoteReference"/>
        </w:rPr>
        <w:footnoteRef/>
      </w:r>
      <w:r w:rsidRPr="00750617">
        <w:rPr>
          <w:spacing w:val="-2"/>
        </w:rPr>
        <w:tab/>
        <w:t>Art</w:t>
      </w:r>
      <w:r w:rsidRPr="00F22925">
        <w:rPr>
          <w:spacing w:val="-2"/>
        </w:rPr>
        <w:t>.</w:t>
      </w:r>
      <w:r w:rsidRPr="00750617">
        <w:rPr>
          <w:spacing w:val="-2"/>
        </w:rPr>
        <w:t xml:space="preserve"> 1 du Protocole </w:t>
      </w:r>
      <w:r w:rsidRPr="00750617">
        <w:rPr>
          <w:rFonts w:eastAsia="MS Mincho"/>
          <w:spacing w:val="-2"/>
        </w:rPr>
        <w:t>n</w:t>
      </w:r>
      <w:r w:rsidRPr="00750617">
        <w:rPr>
          <w:rFonts w:eastAsia="MS Mincho"/>
          <w:spacing w:val="-2"/>
          <w:vertAlign w:val="superscript"/>
        </w:rPr>
        <w:t>o</w:t>
      </w:r>
      <w:r w:rsidRPr="00750617">
        <w:rPr>
          <w:spacing w:val="-2"/>
        </w:rPr>
        <w:t> 1 à la Convention européenne des droits de l’homme (ibid</w:t>
      </w:r>
      <w:r w:rsidRPr="00F22925">
        <w:rPr>
          <w:spacing w:val="-2"/>
        </w:rPr>
        <w:t>.</w:t>
      </w:r>
      <w:r w:rsidRPr="00750617">
        <w:rPr>
          <w:spacing w:val="-2"/>
        </w:rPr>
        <w:t>, vol</w:t>
      </w:r>
      <w:r w:rsidRPr="00F22925">
        <w:rPr>
          <w:spacing w:val="-2"/>
        </w:rPr>
        <w:t>.</w:t>
      </w:r>
      <w:r w:rsidRPr="00750617">
        <w:rPr>
          <w:spacing w:val="-2"/>
        </w:rPr>
        <w:t xml:space="preserve"> 213, </w:t>
      </w:r>
      <w:r w:rsidRPr="00750617">
        <w:rPr>
          <w:rFonts w:eastAsia="MS Mincho"/>
          <w:spacing w:val="-2"/>
        </w:rPr>
        <w:t>n</w:t>
      </w:r>
      <w:r w:rsidRPr="00750617">
        <w:rPr>
          <w:rFonts w:eastAsia="MS Mincho"/>
          <w:spacing w:val="-2"/>
          <w:vertAlign w:val="superscript"/>
        </w:rPr>
        <w:t>o</w:t>
      </w:r>
      <w:r w:rsidRPr="00750617">
        <w:rPr>
          <w:spacing w:val="-2"/>
        </w:rPr>
        <w:t> 2889, p</w:t>
      </w:r>
      <w:r w:rsidRPr="00F22925">
        <w:rPr>
          <w:spacing w:val="-2"/>
        </w:rPr>
        <w:t>.</w:t>
      </w:r>
      <w:r w:rsidRPr="00750617">
        <w:rPr>
          <w:spacing w:val="-2"/>
        </w:rPr>
        <w:t> 221) ; art</w:t>
      </w:r>
      <w:r w:rsidRPr="00F22925">
        <w:rPr>
          <w:spacing w:val="-2"/>
        </w:rPr>
        <w:t>.</w:t>
      </w:r>
      <w:r w:rsidRPr="00750617">
        <w:rPr>
          <w:spacing w:val="-2"/>
        </w:rPr>
        <w:t> 21 de la Convention américaine des droits de l’homme ; et art</w:t>
      </w:r>
      <w:r w:rsidRPr="00F22925">
        <w:rPr>
          <w:spacing w:val="-2"/>
        </w:rPr>
        <w:t>.</w:t>
      </w:r>
      <w:r w:rsidRPr="00750617">
        <w:rPr>
          <w:spacing w:val="-2"/>
        </w:rPr>
        <w:t> 14 de la Charte africaine des droits de l’homme et des peuples</w:t>
      </w:r>
      <w:r w:rsidRPr="00F22925">
        <w:rPr>
          <w:spacing w:val="-2"/>
        </w:rPr>
        <w:t>.</w:t>
      </w:r>
      <w:r w:rsidRPr="00750617">
        <w:rPr>
          <w:spacing w:val="-2"/>
        </w:rPr>
        <w:t xml:space="preserve"> </w:t>
      </w:r>
      <w:r w:rsidRPr="002C70D3">
        <w:rPr>
          <w:spacing w:val="-2"/>
        </w:rPr>
        <w:t>Voir D. Shelton, « </w:t>
      </w:r>
      <w:proofErr w:type="spellStart"/>
      <w:r w:rsidRPr="002C70D3">
        <w:rPr>
          <w:spacing w:val="-2"/>
        </w:rPr>
        <w:t>Human</w:t>
      </w:r>
      <w:proofErr w:type="spellEnd"/>
      <w:r w:rsidRPr="002C70D3">
        <w:rPr>
          <w:spacing w:val="-2"/>
        </w:rPr>
        <w:t xml:space="preserve"> </w:t>
      </w:r>
      <w:proofErr w:type="spellStart"/>
      <w:r w:rsidRPr="002C70D3">
        <w:rPr>
          <w:spacing w:val="-2"/>
        </w:rPr>
        <w:t>rights</w:t>
      </w:r>
      <w:proofErr w:type="spellEnd"/>
      <w:r w:rsidRPr="002C70D3">
        <w:rPr>
          <w:spacing w:val="-2"/>
        </w:rPr>
        <w:t xml:space="preserve"> and the </w:t>
      </w:r>
      <w:proofErr w:type="spellStart"/>
      <w:r w:rsidRPr="002C70D3">
        <w:rPr>
          <w:spacing w:val="-2"/>
        </w:rPr>
        <w:t>environment</w:t>
      </w:r>
      <w:proofErr w:type="spellEnd"/>
      <w:r w:rsidRPr="002C70D3">
        <w:rPr>
          <w:spacing w:val="-2"/>
        </w:rPr>
        <w:t xml:space="preserve"> : substantive </w:t>
      </w:r>
      <w:proofErr w:type="spellStart"/>
      <w:r w:rsidRPr="002C70D3">
        <w:rPr>
          <w:spacing w:val="-2"/>
        </w:rPr>
        <w:t>rights</w:t>
      </w:r>
      <w:proofErr w:type="spellEnd"/>
      <w:r w:rsidRPr="002C70D3">
        <w:rPr>
          <w:spacing w:val="-2"/>
        </w:rPr>
        <w:t xml:space="preserve"> », dans </w:t>
      </w:r>
      <w:proofErr w:type="spellStart"/>
      <w:r w:rsidRPr="002C70D3">
        <w:rPr>
          <w:spacing w:val="-2"/>
        </w:rPr>
        <w:t>Fitzmaurice</w:t>
      </w:r>
      <w:proofErr w:type="spellEnd"/>
      <w:r w:rsidRPr="002C70D3">
        <w:rPr>
          <w:spacing w:val="-2"/>
        </w:rPr>
        <w:t xml:space="preserve">, </w:t>
      </w:r>
      <w:proofErr w:type="spellStart"/>
      <w:r w:rsidRPr="002C70D3">
        <w:rPr>
          <w:spacing w:val="-2"/>
        </w:rPr>
        <w:t>Ong</w:t>
      </w:r>
      <w:proofErr w:type="spellEnd"/>
      <w:r w:rsidRPr="002C70D3">
        <w:rPr>
          <w:spacing w:val="-2"/>
        </w:rPr>
        <w:t xml:space="preserve"> et </w:t>
      </w:r>
      <w:proofErr w:type="spellStart"/>
      <w:r w:rsidRPr="002C70D3">
        <w:rPr>
          <w:spacing w:val="-2"/>
        </w:rPr>
        <w:t>Merkouris</w:t>
      </w:r>
      <w:proofErr w:type="spellEnd"/>
      <w:r w:rsidRPr="002C70D3">
        <w:rPr>
          <w:spacing w:val="-2"/>
        </w:rPr>
        <w:t xml:space="preserve"> (</w:t>
      </w:r>
      <w:proofErr w:type="spellStart"/>
      <w:r w:rsidRPr="002C70D3">
        <w:rPr>
          <w:spacing w:val="-2"/>
        </w:rPr>
        <w:t>dir</w:t>
      </w:r>
      <w:proofErr w:type="spellEnd"/>
      <w:r w:rsidRPr="002C70D3">
        <w:rPr>
          <w:spacing w:val="-2"/>
        </w:rPr>
        <w:t xml:space="preserve">. </w:t>
      </w:r>
      <w:proofErr w:type="spellStart"/>
      <w:r w:rsidRPr="002C70D3">
        <w:rPr>
          <w:spacing w:val="-2"/>
        </w:rPr>
        <w:t>publ</w:t>
      </w:r>
      <w:proofErr w:type="spellEnd"/>
      <w:r w:rsidRPr="002C70D3">
        <w:rPr>
          <w:spacing w:val="-2"/>
        </w:rPr>
        <w:t xml:space="preserve">.) </w:t>
      </w:r>
      <w:proofErr w:type="spellStart"/>
      <w:r w:rsidRPr="00750617">
        <w:rPr>
          <w:i/>
          <w:spacing w:val="-2"/>
        </w:rPr>
        <w:t>Research</w:t>
      </w:r>
      <w:proofErr w:type="spellEnd"/>
      <w:r w:rsidRPr="00750617">
        <w:rPr>
          <w:i/>
          <w:spacing w:val="-2"/>
        </w:rPr>
        <w:t xml:space="preserve"> </w:t>
      </w:r>
      <w:proofErr w:type="spellStart"/>
      <w:r w:rsidRPr="00750617">
        <w:rPr>
          <w:i/>
          <w:spacing w:val="-2"/>
        </w:rPr>
        <w:t>Handbook</w:t>
      </w:r>
      <w:proofErr w:type="spellEnd"/>
      <w:r w:rsidRPr="00750617">
        <w:rPr>
          <w:i/>
          <w:spacing w:val="-2"/>
        </w:rPr>
        <w:t xml:space="preserve"> on International </w:t>
      </w:r>
      <w:proofErr w:type="spellStart"/>
      <w:r w:rsidRPr="00750617">
        <w:rPr>
          <w:i/>
          <w:spacing w:val="-2"/>
        </w:rPr>
        <w:t>Environmental</w:t>
      </w:r>
      <w:proofErr w:type="spellEnd"/>
      <w:r w:rsidRPr="00750617">
        <w:rPr>
          <w:i/>
          <w:spacing w:val="-2"/>
        </w:rPr>
        <w:t xml:space="preserve"> Law</w:t>
      </w:r>
      <w:r w:rsidRPr="00750617">
        <w:rPr>
          <w:spacing w:val="-2"/>
        </w:rPr>
        <w:t xml:space="preserve">, (note 21 </w:t>
      </w:r>
      <w:r w:rsidRPr="00750617">
        <w:rPr>
          <w:i/>
          <w:iCs/>
          <w:spacing w:val="-2"/>
        </w:rPr>
        <w:t>supra</w:t>
      </w:r>
      <w:r w:rsidRPr="00750617">
        <w:rPr>
          <w:spacing w:val="-2"/>
        </w:rPr>
        <w:t>), p</w:t>
      </w:r>
      <w:r w:rsidRPr="00F22925">
        <w:rPr>
          <w:spacing w:val="-2"/>
        </w:rPr>
        <w:t>.</w:t>
      </w:r>
      <w:r w:rsidRPr="00750617">
        <w:rPr>
          <w:spacing w:val="-2"/>
        </w:rPr>
        <w:t> 265 à 283, aux pages 265 et 269 à 278</w:t>
      </w:r>
      <w:r w:rsidRPr="00F22925">
        <w:rPr>
          <w:spacing w:val="-2"/>
        </w:rPr>
        <w:t>.</w:t>
      </w:r>
    </w:p>
  </w:footnote>
  <w:footnote w:id="155">
    <w:p w14:paraId="2D4FEEDB" w14:textId="77777777" w:rsidR="00D01ECD" w:rsidRPr="00750617" w:rsidRDefault="00D01ECD" w:rsidP="00D01ECD">
      <w:pPr>
        <w:pStyle w:val="FootnoteText"/>
      </w:pPr>
      <w:r w:rsidRPr="00750617">
        <w:rPr>
          <w:vertAlign w:val="superscript"/>
        </w:rPr>
        <w:tab/>
      </w:r>
      <w:r w:rsidRPr="00750617">
        <w:rPr>
          <w:rStyle w:val="FootnoteReference"/>
        </w:rPr>
        <w:footnoteRef/>
      </w:r>
      <w:r w:rsidRPr="00750617">
        <w:rPr>
          <w:vertAlign w:val="superscript"/>
        </w:rPr>
        <w:tab/>
      </w:r>
      <w:r w:rsidRPr="00750617">
        <w:t>P</w:t>
      </w:r>
      <w:r w:rsidRPr="00F22925">
        <w:t>.</w:t>
      </w:r>
      <w:r w:rsidRPr="00750617">
        <w:t>-M</w:t>
      </w:r>
      <w:r w:rsidRPr="00F22925">
        <w:t>.</w:t>
      </w:r>
      <w:r w:rsidRPr="00750617">
        <w:t> Dupuy et J</w:t>
      </w:r>
      <w:r w:rsidRPr="00F22925">
        <w:t>.</w:t>
      </w:r>
      <w:r w:rsidRPr="00750617">
        <w:t> E</w:t>
      </w:r>
      <w:r w:rsidRPr="00F22925">
        <w:t>.</w:t>
      </w:r>
      <w:r w:rsidRPr="00750617">
        <w:t> </w:t>
      </w:r>
      <w:proofErr w:type="spellStart"/>
      <w:r w:rsidRPr="00750617">
        <w:t>Viñuales</w:t>
      </w:r>
      <w:proofErr w:type="spellEnd"/>
      <w:r w:rsidRPr="00750617">
        <w:t xml:space="preserve">, </w:t>
      </w:r>
      <w:r w:rsidRPr="00750617">
        <w:rPr>
          <w:i/>
        </w:rPr>
        <w:t xml:space="preserve">International </w:t>
      </w:r>
      <w:proofErr w:type="spellStart"/>
      <w:r w:rsidRPr="00750617">
        <w:rPr>
          <w:i/>
        </w:rPr>
        <w:t>Environmental</w:t>
      </w:r>
      <w:proofErr w:type="spellEnd"/>
      <w:r w:rsidRPr="00750617">
        <w:rPr>
          <w:i/>
        </w:rPr>
        <w:t xml:space="preserve"> Law</w:t>
      </w:r>
      <w:r w:rsidRPr="00750617">
        <w:t xml:space="preserve"> (Cambridge, Cambridge </w:t>
      </w:r>
      <w:proofErr w:type="spellStart"/>
      <w:r w:rsidRPr="00750617">
        <w:t>University</w:t>
      </w:r>
      <w:proofErr w:type="spellEnd"/>
      <w:r w:rsidRPr="00750617">
        <w:t xml:space="preserve"> </w:t>
      </w:r>
      <w:proofErr w:type="spellStart"/>
      <w:r w:rsidRPr="00750617">
        <w:t>Press</w:t>
      </w:r>
      <w:proofErr w:type="spellEnd"/>
      <w:r w:rsidRPr="00750617">
        <w:t>, 2015), p</w:t>
      </w:r>
      <w:r w:rsidRPr="00F22925">
        <w:t>.</w:t>
      </w:r>
      <w:r w:rsidRPr="00750617">
        <w:t> 320 à 329</w:t>
      </w:r>
      <w:r w:rsidRPr="00F22925">
        <w:t>.</w:t>
      </w:r>
    </w:p>
  </w:footnote>
  <w:footnote w:id="156">
    <w:p w14:paraId="6E8B2418" w14:textId="77777777" w:rsidR="00D01ECD" w:rsidRPr="00750617" w:rsidRDefault="00D01ECD" w:rsidP="00D01ECD">
      <w:pPr>
        <w:pStyle w:val="FootnoteText"/>
      </w:pPr>
      <w:r w:rsidRPr="00750617">
        <w:tab/>
      </w:r>
      <w:r w:rsidRPr="00750617">
        <w:rPr>
          <w:rStyle w:val="FootnoteReference"/>
        </w:rPr>
        <w:footnoteRef/>
      </w:r>
      <w:r w:rsidRPr="00750617">
        <w:tab/>
        <w:t>Ibid</w:t>
      </w:r>
      <w:r w:rsidRPr="00F22925">
        <w:t>.</w:t>
      </w:r>
      <w:r w:rsidRPr="00750617">
        <w:t>, p</w:t>
      </w:r>
      <w:r w:rsidRPr="00F22925">
        <w:t>.</w:t>
      </w:r>
      <w:r w:rsidRPr="00750617">
        <w:t> 308 et 309</w:t>
      </w:r>
      <w:r w:rsidRPr="00F22925">
        <w:t>.</w:t>
      </w:r>
    </w:p>
  </w:footnote>
  <w:footnote w:id="157">
    <w:p w14:paraId="6AF49312" w14:textId="77777777" w:rsidR="00D01ECD" w:rsidRPr="000D3559" w:rsidRDefault="00D01ECD" w:rsidP="00D01ECD">
      <w:pPr>
        <w:pStyle w:val="FootnoteText"/>
        <w:rPr>
          <w:lang w:val="en-US"/>
        </w:rPr>
      </w:pPr>
      <w:r w:rsidRPr="00750617">
        <w:tab/>
      </w:r>
      <w:r w:rsidRPr="00750617">
        <w:rPr>
          <w:rStyle w:val="FootnoteReference"/>
        </w:rPr>
        <w:footnoteRef/>
      </w:r>
      <w:r w:rsidRPr="00750617">
        <w:tab/>
        <w:t>Art</w:t>
      </w:r>
      <w:r w:rsidRPr="00F22925">
        <w:t>.</w:t>
      </w:r>
      <w:r w:rsidRPr="00750617">
        <w:t> 2 du Pacte international relatif aux droits civils et politiques ; art</w:t>
      </w:r>
      <w:r w:rsidRPr="00F22925">
        <w:t>.</w:t>
      </w:r>
      <w:r w:rsidRPr="00750617">
        <w:t> 1 de la Convention européenne des droits de l’homme ; et art</w:t>
      </w:r>
      <w:r w:rsidRPr="00F22925">
        <w:t>.</w:t>
      </w:r>
      <w:r w:rsidRPr="00750617">
        <w:t> 1 de la Convention américaine des droits de l’homme</w:t>
      </w:r>
      <w:r w:rsidRPr="00F22925">
        <w:t>.</w:t>
      </w:r>
      <w:r w:rsidRPr="00750617">
        <w:t xml:space="preserve"> </w:t>
      </w:r>
      <w:proofErr w:type="spellStart"/>
      <w:r w:rsidRPr="000D3559">
        <w:rPr>
          <w:lang w:val="en-US"/>
        </w:rPr>
        <w:t>Voir</w:t>
      </w:r>
      <w:proofErr w:type="spellEnd"/>
      <w:r w:rsidRPr="000D3559">
        <w:rPr>
          <w:lang w:val="en-US"/>
        </w:rPr>
        <w:t xml:space="preserve"> A. Boyle, « Human rights and the </w:t>
      </w:r>
      <w:proofErr w:type="gramStart"/>
      <w:r w:rsidRPr="000D3559">
        <w:rPr>
          <w:lang w:val="en-US"/>
        </w:rPr>
        <w:t>environment :</w:t>
      </w:r>
      <w:proofErr w:type="gramEnd"/>
      <w:r w:rsidRPr="000D3559">
        <w:rPr>
          <w:lang w:val="en-US"/>
        </w:rPr>
        <w:t xml:space="preserve"> where next? », </w:t>
      </w:r>
      <w:r w:rsidRPr="000D3559">
        <w:rPr>
          <w:i/>
          <w:iCs/>
          <w:lang w:val="en-US"/>
        </w:rPr>
        <w:t>European Journal of International Law</w:t>
      </w:r>
      <w:r w:rsidRPr="000D3559">
        <w:rPr>
          <w:lang w:val="en-US"/>
        </w:rPr>
        <w:t>, vol. 23 (2012), p. 613 à 642, aux pages 633 à 641.</w:t>
      </w:r>
    </w:p>
  </w:footnote>
  <w:footnote w:id="158">
    <w:p w14:paraId="43BAF82C" w14:textId="77777777" w:rsidR="00D01ECD" w:rsidRPr="00750617" w:rsidRDefault="00D01ECD" w:rsidP="00D01ECD">
      <w:pPr>
        <w:pStyle w:val="FootnoteText"/>
      </w:pPr>
      <w:r w:rsidRPr="000D3559">
        <w:rPr>
          <w:vertAlign w:val="superscript"/>
          <w:lang w:val="en-US"/>
        </w:rPr>
        <w:tab/>
      </w:r>
      <w:r w:rsidRPr="00750617">
        <w:rPr>
          <w:rStyle w:val="FootnoteReference"/>
        </w:rPr>
        <w:footnoteRef/>
      </w:r>
      <w:r w:rsidRPr="00750617">
        <w:rPr>
          <w:vertAlign w:val="superscript"/>
        </w:rPr>
        <w:tab/>
      </w:r>
      <w:r w:rsidRPr="00750617">
        <w:rPr>
          <w:i/>
        </w:rPr>
        <w:t>Conséquences juridiques de l’édification d’un mur dans le territoire palestinien occupé, avis consultatif, C</w:t>
      </w:r>
      <w:r w:rsidRPr="00F22925">
        <w:rPr>
          <w:i/>
        </w:rPr>
        <w:t>.</w:t>
      </w:r>
      <w:r w:rsidRPr="00750617">
        <w:rPr>
          <w:i/>
        </w:rPr>
        <w:t>I</w:t>
      </w:r>
      <w:r w:rsidRPr="00F22925">
        <w:rPr>
          <w:i/>
        </w:rPr>
        <w:t>.</w:t>
      </w:r>
      <w:r w:rsidRPr="00750617">
        <w:rPr>
          <w:i/>
        </w:rPr>
        <w:t>J</w:t>
      </w:r>
      <w:r w:rsidRPr="00F22925">
        <w:rPr>
          <w:i/>
        </w:rPr>
        <w:t>.</w:t>
      </w:r>
      <w:r w:rsidRPr="00750617">
        <w:rPr>
          <w:i/>
        </w:rPr>
        <w:t xml:space="preserve"> Recueil 2004</w:t>
      </w:r>
      <w:r w:rsidRPr="00750617">
        <w:t>, p</w:t>
      </w:r>
      <w:r w:rsidRPr="00F22925">
        <w:t>.</w:t>
      </w:r>
      <w:r w:rsidRPr="00750617">
        <w:t> 136, à la page 179, par</w:t>
      </w:r>
      <w:r w:rsidRPr="00F22925">
        <w:t>.</w:t>
      </w:r>
      <w:r w:rsidRPr="00750617">
        <w:t> 109</w:t>
      </w:r>
      <w:r w:rsidRPr="00F22925">
        <w:t>.</w:t>
      </w:r>
    </w:p>
  </w:footnote>
  <w:footnote w:id="159">
    <w:p w14:paraId="76CF99B5" w14:textId="77777777" w:rsidR="00D01ECD" w:rsidRPr="00750617" w:rsidRDefault="00D01ECD" w:rsidP="00D01ECD">
      <w:pPr>
        <w:pStyle w:val="FootnoteText"/>
      </w:pPr>
      <w:r w:rsidRPr="00750617">
        <w:rPr>
          <w:vertAlign w:val="superscript"/>
        </w:rPr>
        <w:tab/>
      </w:r>
      <w:r w:rsidRPr="00750617">
        <w:rPr>
          <w:rStyle w:val="FootnoteReference"/>
        </w:rPr>
        <w:footnoteRef/>
      </w:r>
      <w:r w:rsidRPr="000D3559">
        <w:rPr>
          <w:vertAlign w:val="superscript"/>
          <w:lang w:val="en-US"/>
        </w:rPr>
        <w:tab/>
      </w:r>
      <w:r w:rsidRPr="000D3559">
        <w:rPr>
          <w:lang w:val="en-US"/>
        </w:rPr>
        <w:t xml:space="preserve">Boyle, « Human rights and the environment … » </w:t>
      </w:r>
      <w:r w:rsidRPr="00750617">
        <w:t xml:space="preserve">(voir </w:t>
      </w:r>
      <w:r w:rsidRPr="00750617">
        <w:rPr>
          <w:i/>
          <w:iCs/>
        </w:rPr>
        <w:t>supra</w:t>
      </w:r>
      <w:r w:rsidRPr="00750617">
        <w:t xml:space="preserve"> la note </w:t>
      </w:r>
      <w:r w:rsidRPr="00750617">
        <w:fldChar w:fldCharType="begin"/>
      </w:r>
      <w:r w:rsidRPr="00750617">
        <w:instrText xml:space="preserve"> NOTEREF _Ref74827478 \h </w:instrText>
      </w:r>
      <w:r>
        <w:instrText xml:space="preserve"> \* MERGEFORMAT </w:instrText>
      </w:r>
      <w:r w:rsidRPr="00750617">
        <w:fldChar w:fldCharType="separate"/>
      </w:r>
      <w:r>
        <w:t>165</w:t>
      </w:r>
      <w:r w:rsidRPr="00750617">
        <w:fldChar w:fldCharType="end"/>
      </w:r>
      <w:r w:rsidRPr="00750617">
        <w:t>), p</w:t>
      </w:r>
      <w:r w:rsidRPr="00F22925">
        <w:t>.</w:t>
      </w:r>
      <w:r w:rsidRPr="00750617">
        <w:t> 639 et 640</w:t>
      </w:r>
      <w:r w:rsidRPr="00F22925">
        <w:t>.</w:t>
      </w:r>
    </w:p>
  </w:footnote>
  <w:footnote w:id="160">
    <w:p w14:paraId="154899E9" w14:textId="77777777" w:rsidR="00D01ECD" w:rsidRPr="000D3559" w:rsidRDefault="00D01ECD" w:rsidP="00D01ECD">
      <w:pPr>
        <w:pStyle w:val="FootnoteText"/>
        <w:rPr>
          <w:lang w:val="en-US"/>
        </w:rPr>
      </w:pPr>
      <w:r w:rsidRPr="00750617">
        <w:rPr>
          <w:vertAlign w:val="superscript"/>
        </w:rPr>
        <w:tab/>
      </w:r>
      <w:r w:rsidRPr="00750617">
        <w:rPr>
          <w:rStyle w:val="FootnoteReference"/>
        </w:rPr>
        <w:footnoteRef/>
      </w:r>
      <w:r w:rsidRPr="000D3559">
        <w:rPr>
          <w:vertAlign w:val="superscript"/>
          <w:lang w:val="en-US"/>
        </w:rPr>
        <w:tab/>
      </w:r>
      <w:r w:rsidRPr="000D3559">
        <w:rPr>
          <w:lang w:val="en-US"/>
        </w:rPr>
        <w:t>B. </w:t>
      </w:r>
      <w:proofErr w:type="spellStart"/>
      <w:r w:rsidRPr="000D3559">
        <w:rPr>
          <w:lang w:val="en-US"/>
        </w:rPr>
        <w:t>Simma</w:t>
      </w:r>
      <w:proofErr w:type="spellEnd"/>
      <w:r w:rsidRPr="000D3559">
        <w:rPr>
          <w:lang w:val="en-US"/>
        </w:rPr>
        <w:t xml:space="preserve"> et P. Alston, « Sources of human rights law : custom, </w:t>
      </w:r>
      <w:r w:rsidRPr="000D3559">
        <w:rPr>
          <w:i/>
          <w:lang w:val="en-US"/>
        </w:rPr>
        <w:t>jus cogens</w:t>
      </w:r>
      <w:r w:rsidRPr="000D3559">
        <w:rPr>
          <w:lang w:val="en-US"/>
        </w:rPr>
        <w:t xml:space="preserve"> and general principles », </w:t>
      </w:r>
      <w:r w:rsidRPr="000D3559">
        <w:rPr>
          <w:i/>
          <w:lang w:val="en-US"/>
        </w:rPr>
        <w:t>Australian Year Book of International Law</w:t>
      </w:r>
      <w:r w:rsidRPr="000D3559">
        <w:rPr>
          <w:lang w:val="en-US"/>
        </w:rPr>
        <w:t xml:space="preserve">, vol. 12 (1988), p. 82 à 108 ; V. Dimitrijevic, « Customary law as an instrument for the protection of human rights », </w:t>
      </w:r>
      <w:r w:rsidRPr="000D3559">
        <w:rPr>
          <w:iCs/>
          <w:lang w:val="en-US"/>
        </w:rPr>
        <w:t xml:space="preserve">document de travail </w:t>
      </w:r>
      <w:r w:rsidRPr="000D3559">
        <w:rPr>
          <w:rFonts w:eastAsia="MS Mincho"/>
          <w:iCs/>
          <w:lang w:val="en-US"/>
        </w:rPr>
        <w:t>n</w:t>
      </w:r>
      <w:r w:rsidRPr="000D3559">
        <w:rPr>
          <w:rFonts w:eastAsia="MS Mincho"/>
          <w:iCs/>
          <w:vertAlign w:val="superscript"/>
          <w:lang w:val="en-US"/>
        </w:rPr>
        <w:t>o</w:t>
      </w:r>
      <w:r w:rsidRPr="000D3559">
        <w:rPr>
          <w:rFonts w:eastAsia="MS Mincho"/>
          <w:iCs/>
          <w:lang w:val="en-US"/>
        </w:rPr>
        <w:t> </w:t>
      </w:r>
      <w:r w:rsidRPr="000D3559">
        <w:rPr>
          <w:iCs/>
          <w:lang w:val="en-US"/>
        </w:rPr>
        <w:t>7</w:t>
      </w:r>
      <w:r w:rsidRPr="000D3559">
        <w:rPr>
          <w:lang w:val="en-US"/>
        </w:rPr>
        <w:t xml:space="preserve"> (Milan, </w:t>
      </w:r>
      <w:proofErr w:type="spellStart"/>
      <w:r w:rsidRPr="000D3559">
        <w:rPr>
          <w:lang w:val="en-US"/>
        </w:rPr>
        <w:t>Istituto</w:t>
      </w:r>
      <w:proofErr w:type="spellEnd"/>
      <w:r w:rsidRPr="000D3559">
        <w:rPr>
          <w:lang w:val="en-US"/>
        </w:rPr>
        <w:t xml:space="preserve"> Per </w:t>
      </w:r>
      <w:proofErr w:type="spellStart"/>
      <w:r w:rsidRPr="000D3559">
        <w:rPr>
          <w:lang w:val="en-US"/>
        </w:rPr>
        <w:t>Gli</w:t>
      </w:r>
      <w:proofErr w:type="spellEnd"/>
      <w:r w:rsidRPr="000D3559">
        <w:rPr>
          <w:lang w:val="en-US"/>
        </w:rPr>
        <w:t xml:space="preserve"> </w:t>
      </w:r>
      <w:proofErr w:type="spellStart"/>
      <w:r w:rsidRPr="000D3559">
        <w:rPr>
          <w:lang w:val="en-US"/>
        </w:rPr>
        <w:t>Studi</w:t>
      </w:r>
      <w:proofErr w:type="spellEnd"/>
      <w:r w:rsidRPr="000D3559">
        <w:rPr>
          <w:lang w:val="en-US"/>
        </w:rPr>
        <w:t xml:space="preserve"> Di </w:t>
      </w:r>
      <w:proofErr w:type="spellStart"/>
      <w:r w:rsidRPr="000D3559">
        <w:rPr>
          <w:lang w:val="en-US"/>
        </w:rPr>
        <w:t>Politica</w:t>
      </w:r>
      <w:proofErr w:type="spellEnd"/>
      <w:r w:rsidRPr="000D3559">
        <w:rPr>
          <w:lang w:val="en-US"/>
        </w:rPr>
        <w:t xml:space="preserve"> </w:t>
      </w:r>
      <w:proofErr w:type="spellStart"/>
      <w:r w:rsidRPr="000D3559">
        <w:rPr>
          <w:lang w:val="en-US"/>
        </w:rPr>
        <w:t>Internazionale</w:t>
      </w:r>
      <w:proofErr w:type="spellEnd"/>
      <w:r w:rsidRPr="000D3559">
        <w:rPr>
          <w:lang w:val="en-US"/>
        </w:rPr>
        <w:t xml:space="preserve"> (ISPI), 2006), p. 3 à 30 ; B. </w:t>
      </w:r>
      <w:proofErr w:type="spellStart"/>
      <w:r w:rsidRPr="000D3559">
        <w:rPr>
          <w:lang w:val="en-US"/>
        </w:rPr>
        <w:t>Simma</w:t>
      </w:r>
      <w:proofErr w:type="spellEnd"/>
      <w:r w:rsidRPr="000D3559">
        <w:rPr>
          <w:lang w:val="en-US"/>
        </w:rPr>
        <w:t>, « Human rights in the International Court of Justice : are we witnessing a sea change ? », dans D. </w:t>
      </w:r>
      <w:proofErr w:type="spellStart"/>
      <w:r w:rsidRPr="000D3559">
        <w:rPr>
          <w:lang w:val="en-US"/>
        </w:rPr>
        <w:t>Alland</w:t>
      </w:r>
      <w:proofErr w:type="spellEnd"/>
      <w:r w:rsidRPr="000D3559">
        <w:rPr>
          <w:lang w:val="en-US"/>
        </w:rPr>
        <w:t xml:space="preserve"> </w:t>
      </w:r>
      <w:r w:rsidRPr="000D3559">
        <w:rPr>
          <w:i/>
          <w:lang w:val="en-US"/>
        </w:rPr>
        <w:t>et al.</w:t>
      </w:r>
      <w:r w:rsidRPr="000D3559">
        <w:rPr>
          <w:lang w:val="en-US"/>
        </w:rPr>
        <w:t xml:space="preserve"> (dir. publ.), </w:t>
      </w:r>
      <w:r w:rsidRPr="000D3559">
        <w:rPr>
          <w:i/>
          <w:lang w:val="en-US"/>
        </w:rPr>
        <w:t xml:space="preserve">Unity and Diversity of International Law : Essays in </w:t>
      </w:r>
      <w:proofErr w:type="spellStart"/>
      <w:r w:rsidRPr="000D3559">
        <w:rPr>
          <w:i/>
          <w:lang w:val="en-US"/>
        </w:rPr>
        <w:t>Honour</w:t>
      </w:r>
      <w:proofErr w:type="spellEnd"/>
      <w:r w:rsidRPr="000D3559">
        <w:rPr>
          <w:i/>
          <w:lang w:val="en-US"/>
        </w:rPr>
        <w:t xml:space="preserve"> of Professor Pierre-Marie Dupuy</w:t>
      </w:r>
      <w:r w:rsidRPr="000D3559">
        <w:rPr>
          <w:lang w:val="en-US"/>
        </w:rPr>
        <w:t xml:space="preserve"> (</w:t>
      </w:r>
      <w:proofErr w:type="spellStart"/>
      <w:r w:rsidRPr="000D3559">
        <w:rPr>
          <w:lang w:val="en-US"/>
        </w:rPr>
        <w:t>Leyde</w:t>
      </w:r>
      <w:proofErr w:type="spellEnd"/>
      <w:r w:rsidRPr="000D3559">
        <w:rPr>
          <w:lang w:val="en-US"/>
        </w:rPr>
        <w:t xml:space="preserve">, </w:t>
      </w:r>
      <w:proofErr w:type="spellStart"/>
      <w:r w:rsidRPr="000D3559">
        <w:rPr>
          <w:lang w:val="en-US"/>
        </w:rPr>
        <w:t>Martinus</w:t>
      </w:r>
      <w:proofErr w:type="spellEnd"/>
      <w:r w:rsidRPr="000D3559">
        <w:rPr>
          <w:lang w:val="en-US"/>
        </w:rPr>
        <w:t xml:space="preserve"> </w:t>
      </w:r>
      <w:proofErr w:type="spellStart"/>
      <w:r w:rsidRPr="000D3559">
        <w:rPr>
          <w:lang w:val="en-US"/>
        </w:rPr>
        <w:t>Nijhoff</w:t>
      </w:r>
      <w:proofErr w:type="spellEnd"/>
      <w:r w:rsidRPr="000D3559">
        <w:rPr>
          <w:lang w:val="en-US"/>
        </w:rPr>
        <w:t>, 2014), p. 711 à 737 ; et H. </w:t>
      </w:r>
      <w:proofErr w:type="spellStart"/>
      <w:r w:rsidRPr="000D3559">
        <w:rPr>
          <w:lang w:val="en-US"/>
        </w:rPr>
        <w:t>Thirlway</w:t>
      </w:r>
      <w:proofErr w:type="spellEnd"/>
      <w:r w:rsidRPr="000D3559">
        <w:rPr>
          <w:lang w:val="en-US"/>
        </w:rPr>
        <w:t xml:space="preserve">, « International law and practice : human rights in customary law : an attempt to define some of the issues », </w:t>
      </w:r>
      <w:proofErr w:type="spellStart"/>
      <w:r w:rsidRPr="000D3559">
        <w:rPr>
          <w:i/>
          <w:lang w:val="en-US"/>
        </w:rPr>
        <w:t>Leyde</w:t>
      </w:r>
      <w:proofErr w:type="spellEnd"/>
      <w:r w:rsidRPr="000D3559">
        <w:rPr>
          <w:i/>
          <w:lang w:val="en-US"/>
        </w:rPr>
        <w:t xml:space="preserve"> Journal of International Law</w:t>
      </w:r>
      <w:r w:rsidRPr="000D3559">
        <w:rPr>
          <w:lang w:val="en-US"/>
        </w:rPr>
        <w:t xml:space="preserve">, vol. 28 (2015), p. 495 à 506. </w:t>
      </w:r>
    </w:p>
  </w:footnote>
  <w:footnote w:id="161">
    <w:p w14:paraId="1D453B84"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0D3559">
        <w:rPr>
          <w:lang w:val="en-US"/>
        </w:rPr>
        <w:tab/>
      </w:r>
      <w:proofErr w:type="spellStart"/>
      <w:r w:rsidRPr="000D3559">
        <w:rPr>
          <w:lang w:val="en-US"/>
        </w:rPr>
        <w:t>Organisation</w:t>
      </w:r>
      <w:proofErr w:type="spellEnd"/>
      <w:r w:rsidRPr="000D3559">
        <w:rPr>
          <w:lang w:val="en-US"/>
        </w:rPr>
        <w:t xml:space="preserve"> </w:t>
      </w:r>
      <w:proofErr w:type="spellStart"/>
      <w:r w:rsidRPr="000D3559">
        <w:rPr>
          <w:lang w:val="en-US"/>
        </w:rPr>
        <w:t>mondiale</w:t>
      </w:r>
      <w:proofErr w:type="spellEnd"/>
      <w:r w:rsidRPr="000D3559">
        <w:rPr>
          <w:lang w:val="en-US"/>
        </w:rPr>
        <w:t xml:space="preserve"> de la </w:t>
      </w:r>
      <w:proofErr w:type="spellStart"/>
      <w:r w:rsidRPr="000D3559">
        <w:rPr>
          <w:lang w:val="en-US"/>
        </w:rPr>
        <w:t>Santé</w:t>
      </w:r>
      <w:proofErr w:type="spellEnd"/>
      <w:r w:rsidRPr="000D3559">
        <w:rPr>
          <w:lang w:val="en-US"/>
        </w:rPr>
        <w:t xml:space="preserve">, </w:t>
      </w:r>
      <w:r w:rsidRPr="000D3559">
        <w:rPr>
          <w:i/>
          <w:iCs/>
          <w:lang w:val="en-US"/>
        </w:rPr>
        <w:t xml:space="preserve">Protecting Health from Climate </w:t>
      </w:r>
      <w:proofErr w:type="gramStart"/>
      <w:r w:rsidRPr="000D3559">
        <w:rPr>
          <w:i/>
          <w:iCs/>
          <w:lang w:val="en-US"/>
        </w:rPr>
        <w:t>Change :</w:t>
      </w:r>
      <w:proofErr w:type="gramEnd"/>
      <w:r w:rsidRPr="000D3559">
        <w:rPr>
          <w:i/>
          <w:iCs/>
          <w:lang w:val="en-US"/>
        </w:rPr>
        <w:t xml:space="preserve"> Connecting Science, Policy and People</w:t>
      </w:r>
      <w:r w:rsidRPr="000D3559">
        <w:rPr>
          <w:lang w:val="en-US"/>
        </w:rPr>
        <w:t xml:space="preserve"> (Genève, 2009), p. 2.</w:t>
      </w:r>
    </w:p>
  </w:footnote>
  <w:footnote w:id="162">
    <w:p w14:paraId="0408EF74" w14:textId="77777777" w:rsidR="00D01ECD" w:rsidRPr="00750617" w:rsidRDefault="00D01ECD" w:rsidP="00D01ECD">
      <w:pPr>
        <w:pStyle w:val="FootnoteText"/>
      </w:pPr>
      <w:r w:rsidRPr="000D3559">
        <w:rPr>
          <w:lang w:val="en-US"/>
        </w:rPr>
        <w:tab/>
      </w:r>
      <w:r w:rsidRPr="00750617">
        <w:rPr>
          <w:rStyle w:val="FootnoteReference"/>
        </w:rPr>
        <w:footnoteRef/>
      </w:r>
      <w:r w:rsidRPr="000D3559">
        <w:rPr>
          <w:lang w:val="en-US"/>
        </w:rPr>
        <w:tab/>
      </w:r>
      <w:proofErr w:type="spellStart"/>
      <w:r w:rsidRPr="000D3559">
        <w:rPr>
          <w:lang w:val="en-US"/>
        </w:rPr>
        <w:t>Voir</w:t>
      </w:r>
      <w:proofErr w:type="spellEnd"/>
      <w:r w:rsidRPr="000D3559">
        <w:rPr>
          <w:lang w:val="en-US"/>
        </w:rPr>
        <w:t xml:space="preserve"> B. Lode, P. </w:t>
      </w:r>
      <w:proofErr w:type="spellStart"/>
      <w:r w:rsidRPr="000D3559">
        <w:rPr>
          <w:lang w:val="en-US"/>
        </w:rPr>
        <w:t>Schönberger</w:t>
      </w:r>
      <w:proofErr w:type="spellEnd"/>
      <w:r w:rsidRPr="000D3559">
        <w:rPr>
          <w:lang w:val="en-US"/>
        </w:rPr>
        <w:t xml:space="preserve"> et P. Toussaint, « Clean air for all by </w:t>
      </w:r>
      <w:proofErr w:type="gramStart"/>
      <w:r w:rsidRPr="000D3559">
        <w:rPr>
          <w:lang w:val="en-US"/>
        </w:rPr>
        <w:t>2030 ?</w:t>
      </w:r>
      <w:proofErr w:type="gramEnd"/>
      <w:r w:rsidRPr="000D3559">
        <w:rPr>
          <w:lang w:val="en-US"/>
        </w:rPr>
        <w:t xml:space="preserve"> Air quality in the 2030 Agenda and in international law », </w:t>
      </w:r>
      <w:r w:rsidRPr="000D3559">
        <w:rPr>
          <w:i/>
          <w:lang w:val="en-US"/>
        </w:rPr>
        <w:t>Review of European, Comparative and International Environmental Law</w:t>
      </w:r>
      <w:r w:rsidRPr="000D3559">
        <w:rPr>
          <w:lang w:val="en-US"/>
        </w:rPr>
        <w:t xml:space="preserve">, vol. 25 (2016), p. 27 à 38. </w:t>
      </w:r>
      <w:r w:rsidRPr="00750617">
        <w:t>Voir aussi les indicateurs correspondant à ces cibles définis en 2016 (3</w:t>
      </w:r>
      <w:r w:rsidRPr="00F22925">
        <w:t>.</w:t>
      </w:r>
      <w:r w:rsidRPr="00750617">
        <w:t>9</w:t>
      </w:r>
      <w:r w:rsidRPr="00F22925">
        <w:t>.</w:t>
      </w:r>
      <w:r w:rsidRPr="00750617">
        <w:t>1 : taux de mortalité attribuable à la pollution de l’air dans les habitations et à la pollution de l’air ambiant ; et 11</w:t>
      </w:r>
      <w:r w:rsidRPr="00F22925">
        <w:t>.</w:t>
      </w:r>
      <w:r w:rsidRPr="00750617">
        <w:t>6</w:t>
      </w:r>
      <w:r w:rsidRPr="00F22925">
        <w:t>.</w:t>
      </w:r>
      <w:r w:rsidRPr="00750617">
        <w:t>2 : niveau moyen annuel de particules fines dans les villes, pondéré en fonction du nombre d’habitants)</w:t>
      </w:r>
      <w:r w:rsidRPr="00F22925">
        <w:t>.</w:t>
      </w:r>
    </w:p>
  </w:footnote>
  <w:footnote w:id="163">
    <w:p w14:paraId="65D6E6F7" w14:textId="77777777" w:rsidR="00D01ECD" w:rsidRPr="00750617" w:rsidRDefault="00D01ECD" w:rsidP="00D01ECD">
      <w:pPr>
        <w:pStyle w:val="FootnoteText"/>
      </w:pPr>
      <w:r w:rsidRPr="00750617">
        <w:tab/>
      </w:r>
      <w:r w:rsidRPr="00750617">
        <w:rPr>
          <w:rStyle w:val="FootnoteReference"/>
        </w:rPr>
        <w:footnoteRef/>
      </w:r>
      <w:r w:rsidRPr="00750617">
        <w:tab/>
        <w:t>Rapport du Sommet mondial des peuples autochtones sur le changement climatique tenu à Anchorage (Alaska) du 20 au 24 avril 2009, p</w:t>
      </w:r>
      <w:r w:rsidRPr="00F22925">
        <w:t>.</w:t>
      </w:r>
      <w:r w:rsidRPr="00750617">
        <w:t> 12</w:t>
      </w:r>
      <w:r w:rsidRPr="00F22925">
        <w:t>.</w:t>
      </w:r>
      <w:r w:rsidRPr="00750617">
        <w:t xml:space="preserve"> </w:t>
      </w:r>
      <w:proofErr w:type="spellStart"/>
      <w:r w:rsidRPr="000D3559">
        <w:rPr>
          <w:lang w:val="en-US"/>
        </w:rPr>
        <w:t>Voir</w:t>
      </w:r>
      <w:proofErr w:type="spellEnd"/>
      <w:r w:rsidRPr="000D3559">
        <w:rPr>
          <w:lang w:val="en-US"/>
        </w:rPr>
        <w:t xml:space="preserve"> R. L. </w:t>
      </w:r>
      <w:proofErr w:type="spellStart"/>
      <w:r w:rsidRPr="000D3559">
        <w:rPr>
          <w:lang w:val="en-US"/>
        </w:rPr>
        <w:t>Barsh</w:t>
      </w:r>
      <w:proofErr w:type="spellEnd"/>
      <w:r w:rsidRPr="000D3559">
        <w:rPr>
          <w:lang w:val="en-US"/>
        </w:rPr>
        <w:t xml:space="preserve">, « Indigenous peoples », dans </w:t>
      </w:r>
      <w:proofErr w:type="spellStart"/>
      <w:r w:rsidRPr="000D3559">
        <w:rPr>
          <w:lang w:val="en-US"/>
        </w:rPr>
        <w:t>Bodansky</w:t>
      </w:r>
      <w:proofErr w:type="spellEnd"/>
      <w:r w:rsidRPr="000D3559">
        <w:rPr>
          <w:lang w:val="en-US"/>
        </w:rPr>
        <w:t xml:space="preserve"> </w:t>
      </w:r>
      <w:r w:rsidRPr="000D3559">
        <w:rPr>
          <w:i/>
          <w:lang w:val="en-US"/>
        </w:rPr>
        <w:t>et al.</w:t>
      </w:r>
      <w:r w:rsidRPr="000D3559">
        <w:rPr>
          <w:lang w:val="en-US"/>
        </w:rPr>
        <w:t xml:space="preserve">, </w:t>
      </w:r>
      <w:r w:rsidRPr="000D3559">
        <w:rPr>
          <w:i/>
          <w:lang w:val="en-US"/>
        </w:rPr>
        <w:t>The Oxford Handbook of International Environmental Law</w:t>
      </w:r>
      <w:r w:rsidRPr="000D3559">
        <w:rPr>
          <w:lang w:val="en-US"/>
        </w:rPr>
        <w:t xml:space="preserve"> (note </w:t>
      </w:r>
      <w:r w:rsidRPr="00750617">
        <w:fldChar w:fldCharType="begin"/>
      </w:r>
      <w:r w:rsidRPr="000D3559">
        <w:rPr>
          <w:lang w:val="en-US"/>
        </w:rPr>
        <w:instrText xml:space="preserve"> NOTEREF _Ref81559757 \h  \* MERGEFORMAT </w:instrText>
      </w:r>
      <w:r w:rsidRPr="00750617">
        <w:fldChar w:fldCharType="separate"/>
      </w:r>
      <w:r>
        <w:rPr>
          <w:lang w:val="en-US"/>
        </w:rPr>
        <w:t>21</w:t>
      </w:r>
      <w:r w:rsidRPr="00750617">
        <w:fldChar w:fldCharType="end"/>
      </w:r>
      <w:r w:rsidRPr="000D3559">
        <w:rPr>
          <w:lang w:val="en-US"/>
        </w:rPr>
        <w:t xml:space="preserve"> </w:t>
      </w:r>
      <w:r w:rsidRPr="000D3559">
        <w:rPr>
          <w:i/>
          <w:lang w:val="en-US"/>
        </w:rPr>
        <w:t>supra</w:t>
      </w:r>
      <w:r w:rsidRPr="000D3559">
        <w:rPr>
          <w:lang w:val="en-US"/>
        </w:rPr>
        <w:t>), p. 829 à 852 ; B. Kingsbury, « Indigenous peoples », dans R. </w:t>
      </w:r>
      <w:proofErr w:type="spellStart"/>
      <w:r w:rsidRPr="000D3559">
        <w:rPr>
          <w:lang w:val="en-US"/>
        </w:rPr>
        <w:t>Wolfrum</w:t>
      </w:r>
      <w:proofErr w:type="spellEnd"/>
      <w:r w:rsidRPr="000D3559">
        <w:rPr>
          <w:lang w:val="en-US"/>
        </w:rPr>
        <w:t xml:space="preserve"> (dir. publ.), </w:t>
      </w:r>
      <w:r w:rsidRPr="000D3559">
        <w:rPr>
          <w:i/>
          <w:lang w:val="en-US"/>
        </w:rPr>
        <w:t>The Max Planck Encyclopedia of Public International Law</w:t>
      </w:r>
      <w:r w:rsidRPr="000D3559">
        <w:rPr>
          <w:lang w:val="en-US"/>
        </w:rPr>
        <w:t xml:space="preserve"> (Oxford, Oxford University Press, 2012), vol. </w:t>
      </w:r>
      <w:r w:rsidRPr="00750617">
        <w:t>V, p</w:t>
      </w:r>
      <w:r w:rsidRPr="00F22925">
        <w:t>.</w:t>
      </w:r>
      <w:r w:rsidRPr="00750617">
        <w:t> 116 à 133 ; et H</w:t>
      </w:r>
      <w:r w:rsidRPr="00F22925">
        <w:t>.</w:t>
      </w:r>
      <w:r w:rsidRPr="00750617">
        <w:t> A</w:t>
      </w:r>
      <w:r w:rsidRPr="00F22925">
        <w:t>.</w:t>
      </w:r>
      <w:r w:rsidRPr="00750617">
        <w:t> </w:t>
      </w:r>
      <w:proofErr w:type="spellStart"/>
      <w:r w:rsidRPr="00750617">
        <w:t>Strydom</w:t>
      </w:r>
      <w:proofErr w:type="spellEnd"/>
      <w:r w:rsidRPr="00750617">
        <w:t>, « </w:t>
      </w:r>
      <w:proofErr w:type="spellStart"/>
      <w:r w:rsidRPr="00750617">
        <w:t>Environment</w:t>
      </w:r>
      <w:proofErr w:type="spellEnd"/>
      <w:r w:rsidRPr="00750617">
        <w:t xml:space="preserve"> and </w:t>
      </w:r>
      <w:proofErr w:type="spellStart"/>
      <w:r w:rsidRPr="00750617">
        <w:t>indigenous</w:t>
      </w:r>
      <w:proofErr w:type="spellEnd"/>
      <w:r w:rsidRPr="00750617">
        <w:t xml:space="preserve"> peoples », dans </w:t>
      </w:r>
      <w:r w:rsidRPr="00750617">
        <w:rPr>
          <w:iCs/>
        </w:rPr>
        <w:t>ibid</w:t>
      </w:r>
      <w:r w:rsidRPr="00F22925">
        <w:rPr>
          <w:i/>
        </w:rPr>
        <w:t>.</w:t>
      </w:r>
      <w:r w:rsidRPr="00750617">
        <w:t>, vol</w:t>
      </w:r>
      <w:r w:rsidRPr="00F22925">
        <w:t>.</w:t>
      </w:r>
      <w:r w:rsidRPr="00750617">
        <w:t> III, p</w:t>
      </w:r>
      <w:r w:rsidRPr="00F22925">
        <w:t>.</w:t>
      </w:r>
      <w:r w:rsidRPr="00750617">
        <w:t> 455 à 461</w:t>
      </w:r>
      <w:r w:rsidRPr="00F22925">
        <w:t>.</w:t>
      </w:r>
    </w:p>
  </w:footnote>
  <w:footnote w:id="164">
    <w:p w14:paraId="006789EB" w14:textId="77777777" w:rsidR="00D01ECD" w:rsidRPr="00750617" w:rsidRDefault="00D01ECD" w:rsidP="00D01ECD">
      <w:pPr>
        <w:pStyle w:val="FootnoteText"/>
      </w:pPr>
      <w:r w:rsidRPr="00750617">
        <w:tab/>
      </w:r>
      <w:r w:rsidRPr="00750617">
        <w:rPr>
          <w:rStyle w:val="FootnoteReference"/>
        </w:rPr>
        <w:footnoteRef/>
      </w:r>
      <w:r w:rsidRPr="00750617">
        <w:tab/>
        <w:t>Plan d’action du Groupe de la Banque mondiale sur les changements climatiques, 7 avril 2016, par</w:t>
      </w:r>
      <w:r w:rsidRPr="00F22925">
        <w:t>.</w:t>
      </w:r>
      <w:r w:rsidRPr="00750617">
        <w:t xml:space="preserve"> 104, disponible à l’adresse suivante </w:t>
      </w:r>
      <w:hyperlink r:id="rId52" w:history="1">
        <w:r w:rsidRPr="00750617">
          <w:rPr>
            <w:rStyle w:val="Hyperlink"/>
          </w:rPr>
          <w:t>http://pubdocs</w:t>
        </w:r>
        <w:r w:rsidRPr="00F22925">
          <w:rPr>
            <w:rStyle w:val="Hyperlink"/>
          </w:rPr>
          <w:t>.</w:t>
        </w:r>
        <w:r w:rsidRPr="00750617">
          <w:rPr>
            <w:rStyle w:val="Hyperlink"/>
          </w:rPr>
          <w:t>worldbank</w:t>
        </w:r>
        <w:r w:rsidRPr="00F22925">
          <w:rPr>
            <w:rStyle w:val="Hyperlink"/>
          </w:rPr>
          <w:t>.</w:t>
        </w:r>
        <w:r w:rsidRPr="00750617">
          <w:rPr>
            <w:rStyle w:val="Hyperlink"/>
          </w:rPr>
          <w:t>org/en/677331460056382875/ WBG-Climate-Change-Action-Plan-public-version</w:t>
        </w:r>
        <w:r w:rsidRPr="00F22925">
          <w:rPr>
            <w:rStyle w:val="Hyperlink"/>
          </w:rPr>
          <w:t>.</w:t>
        </w:r>
        <w:r w:rsidRPr="00750617">
          <w:rPr>
            <w:rStyle w:val="Hyperlink"/>
          </w:rPr>
          <w:t>pdf</w:t>
        </w:r>
      </w:hyperlink>
      <w:r w:rsidRPr="00F22925">
        <w:t>.</w:t>
      </w:r>
    </w:p>
  </w:footnote>
  <w:footnote w:id="165">
    <w:p w14:paraId="1F22BD56" w14:textId="77777777" w:rsidR="00D01ECD" w:rsidRPr="00750617" w:rsidRDefault="00D01ECD" w:rsidP="00D01ECD">
      <w:pPr>
        <w:pStyle w:val="FootnoteText"/>
      </w:pPr>
      <w:r w:rsidRPr="00750617">
        <w:tab/>
      </w:r>
      <w:r w:rsidRPr="00750617">
        <w:rPr>
          <w:rStyle w:val="FootnoteReference"/>
        </w:rPr>
        <w:footnoteRef/>
      </w:r>
      <w:r w:rsidRPr="00750617">
        <w:tab/>
        <w:t xml:space="preserve">Le Comité pour l’élimination de la discrimination à l’égard des femmes a formulé une recommandation générale sur « les aspects de la réduction des risques de catastrophe et des changements climatiques ayant trait à la problématique hommes-femmes », voir </w:t>
      </w:r>
      <w:hyperlink r:id="rId53" w:history="1">
        <w:r w:rsidRPr="00750617">
          <w:rPr>
            <w:rStyle w:val="Hyperlink"/>
          </w:rPr>
          <w:t>www</w:t>
        </w:r>
        <w:r w:rsidRPr="00F22925">
          <w:rPr>
            <w:rStyle w:val="Hyperlink"/>
          </w:rPr>
          <w:t>.</w:t>
        </w:r>
        <w:r w:rsidRPr="00750617">
          <w:rPr>
            <w:rStyle w:val="Hyperlink"/>
          </w:rPr>
          <w:t>ohchr</w:t>
        </w:r>
        <w:r w:rsidRPr="00F22925">
          <w:rPr>
            <w:rStyle w:val="Hyperlink"/>
          </w:rPr>
          <w:t>.</w:t>
        </w:r>
        <w:r w:rsidRPr="00750617">
          <w:rPr>
            <w:rStyle w:val="Hyperlink"/>
          </w:rPr>
          <w:t>org/EN/HRBodies/CEDAW/Pages/ ClimateChange</w:t>
        </w:r>
        <w:r w:rsidRPr="00F22925">
          <w:rPr>
            <w:rStyle w:val="Hyperlink"/>
          </w:rPr>
          <w:t>.</w:t>
        </w:r>
        <w:r w:rsidRPr="00750617">
          <w:rPr>
            <w:rStyle w:val="Hyperlink"/>
          </w:rPr>
          <w:t>aspx</w:t>
        </w:r>
      </w:hyperlink>
      <w:r w:rsidRPr="00F22925">
        <w:t>.</w:t>
      </w:r>
      <w:r w:rsidRPr="00750617">
        <w:t xml:space="preserve"> Ce sont généralement les femmes et les enfants, ainsi que les personnes âgées et les personnes handicapées, qui sont considérés comme des personnes vulnérables</w:t>
      </w:r>
      <w:r w:rsidRPr="00F22925">
        <w:t>.</w:t>
      </w:r>
      <w:r w:rsidRPr="00750617">
        <w:t xml:space="preserve"> Voir Organisation mondiale de la Santé, </w:t>
      </w:r>
      <w:proofErr w:type="spellStart"/>
      <w:r w:rsidRPr="00750617">
        <w:rPr>
          <w:i/>
        </w:rPr>
        <w:t>Protecting</w:t>
      </w:r>
      <w:proofErr w:type="spellEnd"/>
      <w:r w:rsidRPr="00750617">
        <w:rPr>
          <w:i/>
        </w:rPr>
        <w:t xml:space="preserve"> </w:t>
      </w:r>
      <w:proofErr w:type="spellStart"/>
      <w:r w:rsidRPr="00750617">
        <w:rPr>
          <w:i/>
        </w:rPr>
        <w:t>Health</w:t>
      </w:r>
      <w:proofErr w:type="spellEnd"/>
      <w:r w:rsidRPr="00750617">
        <w:rPr>
          <w:i/>
        </w:rPr>
        <w:t xml:space="preserve"> </w:t>
      </w:r>
      <w:proofErr w:type="spellStart"/>
      <w:r w:rsidRPr="00750617">
        <w:rPr>
          <w:i/>
        </w:rPr>
        <w:t>from</w:t>
      </w:r>
      <w:proofErr w:type="spellEnd"/>
      <w:r w:rsidRPr="00750617">
        <w:rPr>
          <w:i/>
        </w:rPr>
        <w:t xml:space="preserve"> </w:t>
      </w:r>
      <w:proofErr w:type="spellStart"/>
      <w:r w:rsidRPr="00750617">
        <w:rPr>
          <w:i/>
        </w:rPr>
        <w:t>Climate</w:t>
      </w:r>
      <w:proofErr w:type="spellEnd"/>
      <w:r w:rsidRPr="00750617">
        <w:rPr>
          <w:i/>
        </w:rPr>
        <w:t xml:space="preserve"> Change</w:t>
      </w:r>
      <w:r w:rsidRPr="00750617">
        <w:t xml:space="preserve"> […] (note </w:t>
      </w:r>
      <w:r w:rsidRPr="00750617">
        <w:fldChar w:fldCharType="begin"/>
      </w:r>
      <w:r w:rsidRPr="00750617">
        <w:instrText xml:space="preserve"> NOTEREF _Ref74827541 \h </w:instrText>
      </w:r>
      <w:r>
        <w:instrText xml:space="preserve"> \* MERGEFORMAT </w:instrText>
      </w:r>
      <w:r w:rsidRPr="00750617">
        <w:fldChar w:fldCharType="separate"/>
      </w:r>
      <w:r>
        <w:t>169</w:t>
      </w:r>
      <w:r w:rsidRPr="00750617">
        <w:fldChar w:fldCharType="end"/>
      </w:r>
      <w:r w:rsidRPr="00750617">
        <w:t xml:space="preserve"> </w:t>
      </w:r>
      <w:r w:rsidRPr="00750617">
        <w:rPr>
          <w:i/>
        </w:rPr>
        <w:t>supra</w:t>
      </w:r>
      <w:r w:rsidRPr="00750617">
        <w:t>) et le plan d’action du Groupe de la Banque mondiale sur les changements climatiques (note </w:t>
      </w:r>
      <w:r w:rsidRPr="00750617">
        <w:fldChar w:fldCharType="begin"/>
      </w:r>
      <w:r w:rsidRPr="00750617">
        <w:instrText xml:space="preserve"> NOTEREF _Ref520444930 \h </w:instrText>
      </w:r>
      <w:r>
        <w:instrText xml:space="preserve"> \* MERGEFORMAT </w:instrText>
      </w:r>
      <w:r w:rsidRPr="00750617">
        <w:fldChar w:fldCharType="separate"/>
      </w:r>
      <w:r>
        <w:t>172</w:t>
      </w:r>
      <w:r w:rsidRPr="00750617">
        <w:fldChar w:fldCharType="end"/>
      </w:r>
      <w:r w:rsidRPr="00750617">
        <w:t xml:space="preserve"> </w:t>
      </w:r>
      <w:r w:rsidRPr="00750617">
        <w:rPr>
          <w:i/>
        </w:rPr>
        <w:t>supra</w:t>
      </w:r>
      <w:r w:rsidRPr="00750617">
        <w:t>)</w:t>
      </w:r>
      <w:r w:rsidRPr="00F22925">
        <w:t>.</w:t>
      </w:r>
      <w:r w:rsidRPr="00750617">
        <w:t xml:space="preserve"> </w:t>
      </w:r>
      <w:r w:rsidRPr="00750617">
        <w:rPr>
          <w:color w:val="000000"/>
        </w:rPr>
        <w:t>La Convention interaméricaine de 2015 sur la protection des droits de l’homme des personnes âgées (</w:t>
      </w:r>
      <w:r w:rsidRPr="00750617">
        <w:rPr>
          <w:i/>
          <w:color w:val="000000"/>
        </w:rPr>
        <w:t>Assemblée générale de l’Organisation des États américains, quarante</w:t>
      </w:r>
      <w:r w:rsidRPr="00750617">
        <w:rPr>
          <w:i/>
          <w:color w:val="000000"/>
        </w:rPr>
        <w:noBreakHyphen/>
        <w:t>cinquième session ordinaire, Actes</w:t>
      </w:r>
      <w:r w:rsidRPr="00750617">
        <w:rPr>
          <w:color w:val="000000"/>
        </w:rPr>
        <w:t>, vol</w:t>
      </w:r>
      <w:r w:rsidRPr="00F22925">
        <w:rPr>
          <w:color w:val="000000"/>
        </w:rPr>
        <w:t>.</w:t>
      </w:r>
      <w:r w:rsidRPr="00750617">
        <w:rPr>
          <w:color w:val="000000"/>
        </w:rPr>
        <w:t> I (OEA/</w:t>
      </w:r>
      <w:proofErr w:type="spellStart"/>
      <w:r w:rsidRPr="00750617">
        <w:rPr>
          <w:color w:val="000000"/>
        </w:rPr>
        <w:t>Ser</w:t>
      </w:r>
      <w:r w:rsidRPr="00F22925">
        <w:rPr>
          <w:color w:val="000000"/>
        </w:rPr>
        <w:t>.</w:t>
      </w:r>
      <w:r w:rsidRPr="00750617">
        <w:rPr>
          <w:color w:val="000000"/>
        </w:rPr>
        <w:t>P</w:t>
      </w:r>
      <w:proofErr w:type="spellEnd"/>
      <w:r w:rsidRPr="00750617">
        <w:rPr>
          <w:color w:val="000000"/>
        </w:rPr>
        <w:t>/XLV-O</w:t>
      </w:r>
      <w:r w:rsidRPr="00F22925">
        <w:rPr>
          <w:color w:val="000000"/>
        </w:rPr>
        <w:t>.</w:t>
      </w:r>
      <w:r w:rsidRPr="00750617">
        <w:rPr>
          <w:color w:val="000000"/>
        </w:rPr>
        <w:t>2), p</w:t>
      </w:r>
      <w:r w:rsidRPr="00F22925">
        <w:rPr>
          <w:color w:val="000000"/>
        </w:rPr>
        <w:t>.</w:t>
      </w:r>
      <w:r w:rsidRPr="00750617">
        <w:rPr>
          <w:color w:val="000000"/>
        </w:rPr>
        <w:t> 11 à 38) dispose, en son article 25 (droit à un environnement sain) que « [l]es personnes âgées ont le droit de vivre dans un environnement sain et d’avoir accès aux services publics de base</w:t>
      </w:r>
      <w:r w:rsidRPr="00F22925">
        <w:rPr>
          <w:color w:val="000000"/>
        </w:rPr>
        <w:t>.</w:t>
      </w:r>
      <w:r w:rsidRPr="00750617">
        <w:rPr>
          <w:color w:val="000000"/>
        </w:rPr>
        <w:t xml:space="preserve"> À cette fin, les États parties adoptent des mesures appropriées pour protéger et promouvoir l’exercice de ce droit, notamment : a) pour favoriser l’épanouissement des personnes âgées au maximum de leur potentiel, en harmonie avec la nature ; b) pour assurer l’accès des personnes âgées, dans des conditions d’égalité avec les autres personnes, aux services publics de base en matière d’eau potable et d’assainissement, entre autres »</w:t>
      </w:r>
      <w:r w:rsidRPr="00F22925">
        <w:rPr>
          <w:color w:val="000000"/>
        </w:rPr>
        <w:t>.</w:t>
      </w:r>
      <w:r w:rsidRPr="00750617">
        <w:rPr>
          <w:color w:val="000000"/>
        </w:rPr>
        <w:t xml:space="preserve"> [Traduction non officielle</w:t>
      </w:r>
      <w:r w:rsidRPr="00F22925">
        <w:rPr>
          <w:color w:val="000000"/>
        </w:rPr>
        <w:t>.</w:t>
      </w:r>
      <w:r w:rsidRPr="00750617">
        <w:rPr>
          <w:color w:val="000000"/>
        </w:rPr>
        <w:t>]</w:t>
      </w:r>
    </w:p>
  </w:footnote>
  <w:footnote w:id="166">
    <w:p w14:paraId="12C6523B" w14:textId="77777777" w:rsidR="00D01ECD" w:rsidRPr="000D3559" w:rsidRDefault="00D01ECD" w:rsidP="00D01ECD">
      <w:pPr>
        <w:pStyle w:val="FootnoteText"/>
        <w:rPr>
          <w:spacing w:val="-2"/>
          <w:lang w:val="en-US"/>
        </w:rPr>
      </w:pPr>
      <w:r w:rsidRPr="00750617">
        <w:rPr>
          <w:spacing w:val="-2"/>
        </w:rPr>
        <w:tab/>
      </w:r>
      <w:r w:rsidRPr="00750617">
        <w:rPr>
          <w:rStyle w:val="FootnoteReference"/>
        </w:rPr>
        <w:footnoteRef/>
      </w:r>
      <w:r w:rsidRPr="00750617">
        <w:rPr>
          <w:spacing w:val="-2"/>
        </w:rPr>
        <w:tab/>
        <w:t>Voir, de manière générale, P</w:t>
      </w:r>
      <w:r w:rsidRPr="00F22925">
        <w:rPr>
          <w:spacing w:val="-2"/>
        </w:rPr>
        <w:t>.</w:t>
      </w:r>
      <w:r w:rsidRPr="00750617">
        <w:rPr>
          <w:spacing w:val="-2"/>
        </w:rPr>
        <w:t> </w:t>
      </w:r>
      <w:proofErr w:type="spellStart"/>
      <w:r w:rsidRPr="00750617">
        <w:rPr>
          <w:spacing w:val="-2"/>
        </w:rPr>
        <w:t>Sands</w:t>
      </w:r>
      <w:proofErr w:type="spellEnd"/>
      <w:r w:rsidRPr="00750617">
        <w:rPr>
          <w:spacing w:val="-2"/>
        </w:rPr>
        <w:t xml:space="preserve"> et J</w:t>
      </w:r>
      <w:r w:rsidRPr="00F22925">
        <w:rPr>
          <w:spacing w:val="-2"/>
        </w:rPr>
        <w:t>.</w:t>
      </w:r>
      <w:r w:rsidRPr="00750617">
        <w:rPr>
          <w:spacing w:val="-2"/>
        </w:rPr>
        <w:t xml:space="preserve"> Peel, avec </w:t>
      </w:r>
      <w:r w:rsidRPr="00750617">
        <w:rPr>
          <w:szCs w:val="18"/>
        </w:rPr>
        <w:t>A</w:t>
      </w:r>
      <w:r w:rsidRPr="00F22925">
        <w:rPr>
          <w:szCs w:val="18"/>
        </w:rPr>
        <w:t>.</w:t>
      </w:r>
      <w:r w:rsidRPr="00750617">
        <w:rPr>
          <w:szCs w:val="18"/>
        </w:rPr>
        <w:t xml:space="preserve"> </w:t>
      </w:r>
      <w:proofErr w:type="spellStart"/>
      <w:r w:rsidRPr="00750617">
        <w:rPr>
          <w:szCs w:val="18"/>
        </w:rPr>
        <w:t>Fabra</w:t>
      </w:r>
      <w:proofErr w:type="spellEnd"/>
      <w:r w:rsidRPr="00750617">
        <w:rPr>
          <w:szCs w:val="18"/>
        </w:rPr>
        <w:t xml:space="preserve"> et R</w:t>
      </w:r>
      <w:r w:rsidRPr="00F22925">
        <w:rPr>
          <w:szCs w:val="18"/>
        </w:rPr>
        <w:t>.</w:t>
      </w:r>
      <w:r w:rsidRPr="00750617">
        <w:rPr>
          <w:szCs w:val="18"/>
        </w:rPr>
        <w:t xml:space="preserve"> </w:t>
      </w:r>
      <w:proofErr w:type="spellStart"/>
      <w:r w:rsidRPr="00750617">
        <w:rPr>
          <w:szCs w:val="18"/>
        </w:rPr>
        <w:t>MacKenzie</w:t>
      </w:r>
      <w:proofErr w:type="spellEnd"/>
      <w:r w:rsidRPr="00750617">
        <w:rPr>
          <w:spacing w:val="-2"/>
        </w:rPr>
        <w:t xml:space="preserve">, </w:t>
      </w:r>
      <w:proofErr w:type="spellStart"/>
      <w:r w:rsidRPr="00750617">
        <w:rPr>
          <w:i/>
          <w:spacing w:val="-2"/>
        </w:rPr>
        <w:t>Principles</w:t>
      </w:r>
      <w:proofErr w:type="spellEnd"/>
      <w:r w:rsidRPr="00750617">
        <w:rPr>
          <w:i/>
          <w:spacing w:val="-2"/>
        </w:rPr>
        <w:t xml:space="preserve"> of International </w:t>
      </w:r>
      <w:proofErr w:type="spellStart"/>
      <w:r w:rsidRPr="00750617">
        <w:rPr>
          <w:i/>
          <w:spacing w:val="-2"/>
        </w:rPr>
        <w:t>Environmental</w:t>
      </w:r>
      <w:proofErr w:type="spellEnd"/>
      <w:r w:rsidRPr="00750617">
        <w:rPr>
          <w:i/>
          <w:spacing w:val="-2"/>
        </w:rPr>
        <w:t xml:space="preserve"> Law</w:t>
      </w:r>
      <w:r w:rsidRPr="00750617">
        <w:rPr>
          <w:spacing w:val="-2"/>
        </w:rPr>
        <w:t>, 4</w:t>
      </w:r>
      <w:r w:rsidRPr="00750617">
        <w:rPr>
          <w:spacing w:val="-2"/>
          <w:vertAlign w:val="superscript"/>
        </w:rPr>
        <w:t>e</w:t>
      </w:r>
      <w:r w:rsidRPr="00750617">
        <w:rPr>
          <w:spacing w:val="-2"/>
        </w:rPr>
        <w:t> éd</w:t>
      </w:r>
      <w:r w:rsidRPr="00F22925">
        <w:rPr>
          <w:spacing w:val="-2"/>
        </w:rPr>
        <w:t>.</w:t>
      </w:r>
      <w:r w:rsidRPr="00750617">
        <w:rPr>
          <w:spacing w:val="-2"/>
        </w:rPr>
        <w:t xml:space="preserve"> </w:t>
      </w:r>
      <w:r w:rsidRPr="000D3559">
        <w:rPr>
          <w:spacing w:val="-2"/>
          <w:lang w:val="en-US"/>
        </w:rPr>
        <w:t xml:space="preserve">(Cambridge, Cambridge University Press, 2018), p. 146 à </w:t>
      </w:r>
      <w:proofErr w:type="gramStart"/>
      <w:r w:rsidRPr="000D3559">
        <w:rPr>
          <w:spacing w:val="-2"/>
          <w:lang w:val="en-US"/>
        </w:rPr>
        <w:t>196 ;</w:t>
      </w:r>
      <w:proofErr w:type="gramEnd"/>
      <w:r w:rsidRPr="000D3559">
        <w:rPr>
          <w:spacing w:val="-2"/>
          <w:lang w:val="en-US"/>
        </w:rPr>
        <w:t xml:space="preserve"> E. Brown Weiss et H. K. Jacobson (dir. publ.), </w:t>
      </w:r>
      <w:r w:rsidRPr="000D3559">
        <w:rPr>
          <w:i/>
          <w:spacing w:val="-2"/>
          <w:lang w:val="en-US"/>
        </w:rPr>
        <w:t>Engaging Countries : Strengthening Compliance with International Environmental Accords</w:t>
      </w:r>
      <w:r w:rsidRPr="000D3559">
        <w:rPr>
          <w:spacing w:val="-2"/>
          <w:lang w:val="en-US"/>
        </w:rPr>
        <w:t xml:space="preserve"> (Cambridge, Massachusetts, MIT Press, 1998), </w:t>
      </w:r>
      <w:proofErr w:type="spellStart"/>
      <w:r w:rsidRPr="000D3559">
        <w:rPr>
          <w:spacing w:val="-2"/>
          <w:lang w:val="en-US"/>
        </w:rPr>
        <w:t>voir</w:t>
      </w:r>
      <w:proofErr w:type="spellEnd"/>
      <w:r w:rsidRPr="000D3559">
        <w:rPr>
          <w:spacing w:val="-2"/>
          <w:lang w:val="en-US"/>
        </w:rPr>
        <w:t xml:space="preserve"> « A framework for analysis », p. 1 à 18, à la page 4.</w:t>
      </w:r>
    </w:p>
  </w:footnote>
  <w:footnote w:id="167">
    <w:p w14:paraId="5D4D55F5"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0D3559">
        <w:rPr>
          <w:lang w:val="en-US"/>
        </w:rPr>
        <w:tab/>
        <w:t>C. </w:t>
      </w:r>
      <w:proofErr w:type="spellStart"/>
      <w:r w:rsidRPr="000D3559">
        <w:rPr>
          <w:lang w:val="en-US"/>
        </w:rPr>
        <w:t>Redgwell</w:t>
      </w:r>
      <w:proofErr w:type="spellEnd"/>
      <w:r w:rsidRPr="000D3559">
        <w:rPr>
          <w:lang w:val="en-US"/>
        </w:rPr>
        <w:t xml:space="preserve">, « National implementation », dans </w:t>
      </w:r>
      <w:proofErr w:type="spellStart"/>
      <w:r w:rsidRPr="000D3559">
        <w:rPr>
          <w:lang w:val="en-US"/>
        </w:rPr>
        <w:t>Bodansky</w:t>
      </w:r>
      <w:proofErr w:type="spellEnd"/>
      <w:r w:rsidRPr="000D3559">
        <w:rPr>
          <w:lang w:val="en-US"/>
        </w:rPr>
        <w:t xml:space="preserve"> </w:t>
      </w:r>
      <w:r w:rsidRPr="000D3559">
        <w:rPr>
          <w:i/>
          <w:lang w:val="en-US"/>
        </w:rPr>
        <w:t>et al.,</w:t>
      </w:r>
      <w:r w:rsidRPr="000D3559">
        <w:rPr>
          <w:lang w:val="en-US"/>
        </w:rPr>
        <w:t xml:space="preserve"> </w:t>
      </w:r>
      <w:r w:rsidRPr="000D3559">
        <w:rPr>
          <w:i/>
          <w:lang w:val="en-US"/>
        </w:rPr>
        <w:t>The Oxford Handbook of International Environmental Law</w:t>
      </w:r>
      <w:r w:rsidRPr="000D3559">
        <w:rPr>
          <w:lang w:val="en-US"/>
        </w:rPr>
        <w:t xml:space="preserve"> (</w:t>
      </w:r>
      <w:proofErr w:type="spellStart"/>
      <w:r w:rsidRPr="000D3559">
        <w:rPr>
          <w:lang w:val="en-US"/>
        </w:rPr>
        <w:t>voir</w:t>
      </w:r>
      <w:proofErr w:type="spellEnd"/>
      <w:r w:rsidRPr="000D3559">
        <w:rPr>
          <w:lang w:val="en-US"/>
        </w:rPr>
        <w:t xml:space="preserve"> </w:t>
      </w:r>
      <w:r w:rsidRPr="000D3559">
        <w:rPr>
          <w:i/>
          <w:iCs/>
          <w:lang w:val="en-US"/>
        </w:rPr>
        <w:t>supra</w:t>
      </w:r>
      <w:r w:rsidRPr="000D3559">
        <w:rPr>
          <w:lang w:val="en-US"/>
        </w:rPr>
        <w:t xml:space="preserve"> la note </w:t>
      </w:r>
      <w:r w:rsidRPr="00750617">
        <w:fldChar w:fldCharType="begin"/>
      </w:r>
      <w:r w:rsidRPr="000D3559">
        <w:rPr>
          <w:lang w:val="en-US"/>
        </w:rPr>
        <w:instrText xml:space="preserve"> NOTEREF _Ref81559757 \h  \* MERGEFORMAT </w:instrText>
      </w:r>
      <w:r w:rsidRPr="00750617">
        <w:fldChar w:fldCharType="separate"/>
      </w:r>
      <w:r>
        <w:rPr>
          <w:lang w:val="en-US"/>
        </w:rPr>
        <w:t>21</w:t>
      </w:r>
      <w:r w:rsidRPr="00750617">
        <w:fldChar w:fldCharType="end"/>
      </w:r>
      <w:r w:rsidRPr="000D3559">
        <w:rPr>
          <w:lang w:val="en-US"/>
        </w:rPr>
        <w:t>), p. 923 à 947.</w:t>
      </w:r>
    </w:p>
  </w:footnote>
  <w:footnote w:id="168">
    <w:p w14:paraId="7AE77E81"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0D3559">
        <w:rPr>
          <w:lang w:val="en-US"/>
        </w:rPr>
        <w:tab/>
      </w:r>
      <w:proofErr w:type="spellStart"/>
      <w:r w:rsidRPr="000D3559">
        <w:rPr>
          <w:lang w:val="en-US"/>
        </w:rPr>
        <w:t>Voir</w:t>
      </w:r>
      <w:proofErr w:type="spellEnd"/>
      <w:r w:rsidRPr="000D3559">
        <w:rPr>
          <w:lang w:val="en-US"/>
        </w:rPr>
        <w:t xml:space="preserve"> L. </w:t>
      </w:r>
      <w:proofErr w:type="spellStart"/>
      <w:r w:rsidRPr="000D3559">
        <w:rPr>
          <w:lang w:val="en-US"/>
        </w:rPr>
        <w:t>Krämer</w:t>
      </w:r>
      <w:proofErr w:type="spellEnd"/>
      <w:r w:rsidRPr="000D3559">
        <w:rPr>
          <w:lang w:val="en-US"/>
        </w:rPr>
        <w:t xml:space="preserve">, « Regional economic integration </w:t>
      </w:r>
      <w:proofErr w:type="gramStart"/>
      <w:r w:rsidRPr="000D3559">
        <w:rPr>
          <w:lang w:val="en-US"/>
        </w:rPr>
        <w:t>organizations :</w:t>
      </w:r>
      <w:proofErr w:type="gramEnd"/>
      <w:r w:rsidRPr="000D3559">
        <w:rPr>
          <w:lang w:val="en-US"/>
        </w:rPr>
        <w:t xml:space="preserve"> the European Union as an example », dans </w:t>
      </w:r>
      <w:proofErr w:type="spellStart"/>
      <w:r w:rsidRPr="000D3559">
        <w:rPr>
          <w:lang w:val="en-US"/>
        </w:rPr>
        <w:t>Bodansky</w:t>
      </w:r>
      <w:proofErr w:type="spellEnd"/>
      <w:r w:rsidRPr="000D3559">
        <w:rPr>
          <w:lang w:val="en-US"/>
        </w:rPr>
        <w:t xml:space="preserve"> </w:t>
      </w:r>
      <w:r w:rsidRPr="000D3559">
        <w:rPr>
          <w:i/>
          <w:lang w:val="en-US"/>
        </w:rPr>
        <w:t>et al</w:t>
      </w:r>
      <w:r w:rsidRPr="000D3559">
        <w:rPr>
          <w:lang w:val="en-US"/>
        </w:rPr>
        <w:t>.</w:t>
      </w:r>
      <w:r w:rsidRPr="000D3559">
        <w:rPr>
          <w:i/>
          <w:lang w:val="en-US"/>
        </w:rPr>
        <w:t>,</w:t>
      </w:r>
      <w:r w:rsidRPr="000D3559">
        <w:rPr>
          <w:lang w:val="en-US"/>
        </w:rPr>
        <w:t xml:space="preserve"> </w:t>
      </w:r>
      <w:r w:rsidRPr="000D3559">
        <w:rPr>
          <w:i/>
          <w:lang w:val="en-US"/>
        </w:rPr>
        <w:t>The Oxford Handbook of International Environmental Law</w:t>
      </w:r>
      <w:r w:rsidRPr="000D3559">
        <w:rPr>
          <w:lang w:val="en-US"/>
        </w:rPr>
        <w:t xml:space="preserve"> (note </w:t>
      </w:r>
      <w:r w:rsidRPr="00750617">
        <w:fldChar w:fldCharType="begin"/>
      </w:r>
      <w:r w:rsidRPr="000D3559">
        <w:rPr>
          <w:lang w:val="en-US"/>
        </w:rPr>
        <w:instrText xml:space="preserve"> NOTEREF _Ref81559757 \h  \* MERGEFORMAT </w:instrText>
      </w:r>
      <w:r w:rsidRPr="00750617">
        <w:fldChar w:fldCharType="separate"/>
      </w:r>
      <w:r>
        <w:rPr>
          <w:lang w:val="en-US"/>
        </w:rPr>
        <w:t>21</w:t>
      </w:r>
      <w:r w:rsidRPr="00750617">
        <w:fldChar w:fldCharType="end"/>
      </w:r>
      <w:r w:rsidRPr="000D3559">
        <w:rPr>
          <w:lang w:val="en-US"/>
        </w:rPr>
        <w:t> </w:t>
      </w:r>
      <w:r w:rsidRPr="000D3559">
        <w:rPr>
          <w:i/>
          <w:lang w:val="en-US"/>
        </w:rPr>
        <w:t>supra</w:t>
      </w:r>
      <w:r w:rsidRPr="000D3559">
        <w:rPr>
          <w:lang w:val="en-US"/>
        </w:rPr>
        <w:t xml:space="preserve">), p. 854 à 877 (sur la mise </w:t>
      </w:r>
      <w:proofErr w:type="spellStart"/>
      <w:r w:rsidRPr="000D3559">
        <w:rPr>
          <w:lang w:val="en-US"/>
        </w:rPr>
        <w:t>en</w:t>
      </w:r>
      <w:proofErr w:type="spellEnd"/>
      <w:r w:rsidRPr="000D3559">
        <w:rPr>
          <w:lang w:val="en-US"/>
        </w:rPr>
        <w:t xml:space="preserve"> </w:t>
      </w:r>
      <w:proofErr w:type="spellStart"/>
      <w:r w:rsidRPr="000D3559">
        <w:rPr>
          <w:lang w:val="en-US"/>
        </w:rPr>
        <w:t>œuvre</w:t>
      </w:r>
      <w:proofErr w:type="spellEnd"/>
      <w:r w:rsidRPr="000D3559">
        <w:rPr>
          <w:lang w:val="en-US"/>
        </w:rPr>
        <w:t>, p. 868 à 870).</w:t>
      </w:r>
    </w:p>
  </w:footnote>
  <w:footnote w:id="169">
    <w:p w14:paraId="1DED0749" w14:textId="77777777" w:rsidR="00D01ECD" w:rsidRPr="00750617" w:rsidRDefault="00D01ECD" w:rsidP="00D01ECD">
      <w:pPr>
        <w:pStyle w:val="FootnoteText"/>
      </w:pPr>
      <w:r w:rsidRPr="000D3559">
        <w:rPr>
          <w:lang w:val="en-US"/>
        </w:rPr>
        <w:tab/>
      </w:r>
      <w:r w:rsidRPr="00750617">
        <w:rPr>
          <w:rStyle w:val="FootnoteReference"/>
        </w:rPr>
        <w:footnoteRef/>
      </w:r>
      <w:r w:rsidRPr="00750617">
        <w:tab/>
        <w:t>Même l’obligation de coopérer suppose parfois une mise en œuvre en droit interne</w:t>
      </w:r>
      <w:r w:rsidRPr="00F22925">
        <w:t>.</w:t>
      </w:r>
      <w:r w:rsidRPr="00750617">
        <w:t xml:space="preserve"> Selon le paragraphe 2 du projet de directive 8, « [c]</w:t>
      </w:r>
      <w:proofErr w:type="spellStart"/>
      <w:r w:rsidRPr="00750617">
        <w:t>ette</w:t>
      </w:r>
      <w:proofErr w:type="spellEnd"/>
      <w:r w:rsidRPr="00750617">
        <w:t xml:space="preserve"> coopération pourra prendre la forme d’un échange d’informations et d’un suivi conjoint », ce qui nécessite généralement une législation nationale d’application</w:t>
      </w:r>
      <w:r w:rsidRPr="00F22925">
        <w:t>.</w:t>
      </w:r>
    </w:p>
  </w:footnote>
  <w:footnote w:id="170">
    <w:p w14:paraId="293D4F11" w14:textId="77777777" w:rsidR="00D01ECD" w:rsidRPr="00750617" w:rsidRDefault="00D01ECD" w:rsidP="00D01ECD">
      <w:pPr>
        <w:pStyle w:val="FootnoteText"/>
      </w:pPr>
      <w:r w:rsidRPr="00750617">
        <w:tab/>
      </w:r>
      <w:r w:rsidRPr="00750617">
        <w:rPr>
          <w:rStyle w:val="FootnoteReference"/>
        </w:rPr>
        <w:footnoteRef/>
      </w:r>
      <w:r w:rsidRPr="00750617">
        <w:tab/>
        <w:t>Voir, par exemple, les projets de directives 5, 6, 7, 9 et 12 (par</w:t>
      </w:r>
      <w:r w:rsidRPr="00F22925">
        <w:t>.</w:t>
      </w:r>
      <w:r w:rsidRPr="00750617">
        <w:t> 2)</w:t>
      </w:r>
      <w:r w:rsidRPr="00F22925">
        <w:t>.</w:t>
      </w:r>
    </w:p>
  </w:footnote>
  <w:footnote w:id="171">
    <w:p w14:paraId="300F06F5" w14:textId="77777777" w:rsidR="00D01ECD" w:rsidRPr="00750617" w:rsidRDefault="00D01ECD" w:rsidP="00D01ECD">
      <w:pPr>
        <w:pStyle w:val="FootnoteText"/>
      </w:pPr>
      <w:r w:rsidRPr="00750617">
        <w:tab/>
      </w:r>
      <w:r w:rsidRPr="00750617">
        <w:rPr>
          <w:rStyle w:val="FootnoteReference"/>
        </w:rPr>
        <w:footnoteRef/>
      </w:r>
      <w:r w:rsidRPr="00750617">
        <w:tab/>
        <w:t xml:space="preserve">Parmi les précédents concernant l’application extraterritoriale du droit interne, on peut citer : a) les affaires </w:t>
      </w:r>
      <w:r w:rsidRPr="00750617">
        <w:rPr>
          <w:i/>
        </w:rPr>
        <w:t>Thon-Dauphin</w:t>
      </w:r>
      <w:r w:rsidRPr="00750617">
        <w:t xml:space="preserve"> dans le cadre de l’Accord général sur les tarifs douaniers et le commerce (L’« application </w:t>
      </w:r>
      <w:proofErr w:type="spellStart"/>
      <w:r w:rsidRPr="00750617">
        <w:t>extrajuridictionnelle</w:t>
      </w:r>
      <w:proofErr w:type="spellEnd"/>
      <w:r w:rsidRPr="00750617">
        <w:t xml:space="preserve"> » de la loi des États-Unis sur la protection des mammifères marins ne relève pas des exceptions visées à l’article XX de l’Accord général, rapport du Groupe spécial, </w:t>
      </w:r>
      <w:r w:rsidRPr="00750617">
        <w:rPr>
          <w:i/>
        </w:rPr>
        <w:t>États-Unis − Restrictions à l’importation de thon</w:t>
      </w:r>
      <w:r w:rsidRPr="00750617">
        <w:t xml:space="preserve">, DS21/R-39S/155, 3 septembre 1991 (affaire </w:t>
      </w:r>
      <w:r w:rsidRPr="00750617">
        <w:rPr>
          <w:i/>
          <w:iCs/>
        </w:rPr>
        <w:t>Thon-Dauphin I</w:t>
      </w:r>
      <w:r w:rsidRPr="00750617">
        <w:t>, rapport non adopté), par</w:t>
      </w:r>
      <w:r w:rsidRPr="00F22925">
        <w:t>.</w:t>
      </w:r>
      <w:r w:rsidRPr="00750617">
        <w:t> 5</w:t>
      </w:r>
      <w:r w:rsidRPr="00F22925">
        <w:t>.</w:t>
      </w:r>
      <w:r w:rsidRPr="00750617">
        <w:t>27 à 5</w:t>
      </w:r>
      <w:r w:rsidRPr="00F22925">
        <w:t>.</w:t>
      </w:r>
      <w:r w:rsidRPr="00750617">
        <w:t xml:space="preserve">29 ; Accord général sur les tarifs douaniers et le commerce, rapport du Groupe spécial, </w:t>
      </w:r>
      <w:r w:rsidRPr="00750617">
        <w:rPr>
          <w:i/>
        </w:rPr>
        <w:t>États-Unis − Restrictions à l’importation de thon</w:t>
      </w:r>
      <w:r w:rsidRPr="00750617">
        <w:t xml:space="preserve">, DS29/R, 16 juin1994 (affaire </w:t>
      </w:r>
      <w:r w:rsidRPr="00750617">
        <w:rPr>
          <w:i/>
          <w:iCs/>
        </w:rPr>
        <w:t>Thon-Dauphin II</w:t>
      </w:r>
      <w:r w:rsidRPr="00750617">
        <w:t>, rapport non adopté), par</w:t>
      </w:r>
      <w:r w:rsidRPr="00F22925">
        <w:t>.</w:t>
      </w:r>
      <w:r w:rsidRPr="00750617">
        <w:t> 5</w:t>
      </w:r>
      <w:r w:rsidRPr="00F22925">
        <w:t>.</w:t>
      </w:r>
      <w:r w:rsidRPr="00750617">
        <w:t xml:space="preserve">32) ; b) l’affaire </w:t>
      </w:r>
      <w:r w:rsidRPr="00750617">
        <w:rPr>
          <w:i/>
        </w:rPr>
        <w:t>Essence</w:t>
      </w:r>
      <w:r w:rsidRPr="00750617">
        <w:t xml:space="preserve"> dans le cadre de l’Organisation mondiale du commerce (OMC) (Sur l’application extraterritoriale de la loi des États-Unis relative à la lutte contre la pollution atmosphérique, OMC, rapport de l’Organe d’appel, </w:t>
      </w:r>
      <w:r w:rsidRPr="00750617">
        <w:rPr>
          <w:i/>
        </w:rPr>
        <w:t>États</w:t>
      </w:r>
      <w:r w:rsidRPr="00750617">
        <w:rPr>
          <w:i/>
        </w:rPr>
        <w:noBreakHyphen/>
        <w:t>Unis − Normes concernant l’essence nouvelle et ancienne formules,</w:t>
      </w:r>
      <w:r w:rsidRPr="00750617">
        <w:t xml:space="preserve"> WT/DS2/AB/R, 22 avril 1996) ; c) l’arrêt de la Cour de justice européenne, </w:t>
      </w:r>
      <w:r w:rsidRPr="00750617">
        <w:rPr>
          <w:i/>
        </w:rPr>
        <w:t xml:space="preserve">Air Transport Association of </w:t>
      </w:r>
      <w:proofErr w:type="spellStart"/>
      <w:r w:rsidRPr="00750617">
        <w:rPr>
          <w:i/>
        </w:rPr>
        <w:t>America</w:t>
      </w:r>
      <w:proofErr w:type="spellEnd"/>
      <w:r w:rsidRPr="00750617">
        <w:rPr>
          <w:i/>
        </w:rPr>
        <w:t xml:space="preserve"> et autres v</w:t>
      </w:r>
      <w:r w:rsidRPr="00F22925">
        <w:rPr>
          <w:i/>
        </w:rPr>
        <w:t>.</w:t>
      </w:r>
      <w:r w:rsidRPr="00750617">
        <w:rPr>
          <w:i/>
        </w:rPr>
        <w:t> </w:t>
      </w:r>
      <w:proofErr w:type="spellStart"/>
      <w:r w:rsidRPr="00750617">
        <w:rPr>
          <w:i/>
        </w:rPr>
        <w:t>Secretary</w:t>
      </w:r>
      <w:proofErr w:type="spellEnd"/>
      <w:r w:rsidRPr="00750617">
        <w:rPr>
          <w:i/>
        </w:rPr>
        <w:t xml:space="preserve"> of State for </w:t>
      </w:r>
      <w:proofErr w:type="spellStart"/>
      <w:r w:rsidRPr="00750617">
        <w:rPr>
          <w:i/>
        </w:rPr>
        <w:t>Energy</w:t>
      </w:r>
      <w:proofErr w:type="spellEnd"/>
      <w:r w:rsidRPr="00750617">
        <w:rPr>
          <w:i/>
        </w:rPr>
        <w:t xml:space="preserve"> and </w:t>
      </w:r>
      <w:proofErr w:type="spellStart"/>
      <w:r w:rsidRPr="00750617">
        <w:rPr>
          <w:i/>
        </w:rPr>
        <w:t>Climate</w:t>
      </w:r>
      <w:proofErr w:type="spellEnd"/>
      <w:r w:rsidRPr="00750617">
        <w:t xml:space="preserve">, 21 décembre 2011 (Sur l’application extraterritoriale de la directive 2008/101/CE relative aux activités aériennes dans l’Union européenne) ; d) la loi singapourienne de 2014 sur la pollution transfrontière par le smog, qui prévoit une compétence extraterritoriale fondée sur le « principe territorial objectif » (Parlement singapourien, </w:t>
      </w:r>
      <w:r w:rsidRPr="00750617">
        <w:rPr>
          <w:i/>
        </w:rPr>
        <w:t>Official Reports</w:t>
      </w:r>
      <w:r w:rsidRPr="00750617">
        <w:t>, n</w:t>
      </w:r>
      <w:r w:rsidRPr="00750617">
        <w:rPr>
          <w:vertAlign w:val="superscript"/>
        </w:rPr>
        <w:t>o</w:t>
      </w:r>
      <w:r w:rsidRPr="00750617">
        <w:t> 12, session 2, 4 août 2014, par</w:t>
      </w:r>
      <w:r w:rsidRPr="00F22925">
        <w:t>.</w:t>
      </w:r>
      <w:r w:rsidRPr="00750617">
        <w:t> 5 et 6)</w:t>
      </w:r>
      <w:r w:rsidRPr="00F22925">
        <w:t>.</w:t>
      </w:r>
      <w:r w:rsidRPr="00750617">
        <w:t xml:space="preserve"> Voir </w:t>
      </w:r>
      <w:proofErr w:type="spellStart"/>
      <w:r w:rsidRPr="00750617">
        <w:t>Murase</w:t>
      </w:r>
      <w:proofErr w:type="spellEnd"/>
      <w:r w:rsidRPr="00750617">
        <w:t xml:space="preserve">, « Perspectives </w:t>
      </w:r>
      <w:proofErr w:type="spellStart"/>
      <w:r w:rsidRPr="00750617">
        <w:t>from</w:t>
      </w:r>
      <w:proofErr w:type="spellEnd"/>
      <w:r w:rsidRPr="00750617">
        <w:t xml:space="preserve"> international </w:t>
      </w:r>
      <w:proofErr w:type="spellStart"/>
      <w:r w:rsidRPr="00750617">
        <w:t>economic</w:t>
      </w:r>
      <w:proofErr w:type="spellEnd"/>
      <w:r w:rsidRPr="00750617">
        <w:t xml:space="preserve"> </w:t>
      </w:r>
      <w:proofErr w:type="spellStart"/>
      <w:r w:rsidRPr="00750617">
        <w:t>law</w:t>
      </w:r>
      <w:proofErr w:type="spellEnd"/>
      <w:r w:rsidRPr="00750617">
        <w:t xml:space="preserve"> on transnational </w:t>
      </w:r>
      <w:proofErr w:type="spellStart"/>
      <w:r w:rsidRPr="00750617">
        <w:t>environmental</w:t>
      </w:r>
      <w:proofErr w:type="spellEnd"/>
      <w:r w:rsidRPr="00750617">
        <w:t xml:space="preserve"> issues » (note </w:t>
      </w:r>
      <w:r w:rsidRPr="00750617">
        <w:fldChar w:fldCharType="begin"/>
      </w:r>
      <w:r w:rsidRPr="00750617">
        <w:instrText xml:space="preserve"> NOTEREF _Ref520291888 \h </w:instrText>
      </w:r>
      <w:r>
        <w:instrText xml:space="preserve"> \* MERGEFORMAT </w:instrText>
      </w:r>
      <w:r w:rsidRPr="00750617">
        <w:fldChar w:fldCharType="separate"/>
      </w:r>
      <w:r>
        <w:t>143</w:t>
      </w:r>
      <w:r w:rsidRPr="00750617">
        <w:fldChar w:fldCharType="end"/>
      </w:r>
      <w:r w:rsidRPr="00750617">
        <w:t xml:space="preserve"> </w:t>
      </w:r>
      <w:r w:rsidRPr="00750617">
        <w:rPr>
          <w:i/>
        </w:rPr>
        <w:t>supra</w:t>
      </w:r>
      <w:r w:rsidRPr="00750617">
        <w:t>), p</w:t>
      </w:r>
      <w:r w:rsidRPr="00F22925">
        <w:t>.</w:t>
      </w:r>
      <w:r w:rsidRPr="00750617">
        <w:t> 349 à 372</w:t>
      </w:r>
      <w:r w:rsidRPr="00F22925">
        <w:t>.</w:t>
      </w:r>
    </w:p>
  </w:footnote>
  <w:footnote w:id="172">
    <w:p w14:paraId="4B8ABF4B" w14:textId="77777777" w:rsidR="00D01ECD" w:rsidRPr="00750617" w:rsidRDefault="00D01ECD" w:rsidP="00D01ECD">
      <w:pPr>
        <w:pStyle w:val="FootnoteText"/>
      </w:pPr>
      <w:r w:rsidRPr="00750617">
        <w:tab/>
      </w:r>
      <w:r w:rsidRPr="00750617">
        <w:rPr>
          <w:rStyle w:val="FootnoteReference"/>
        </w:rPr>
        <w:footnoteRef/>
      </w:r>
      <w:r w:rsidRPr="00750617">
        <w:tab/>
        <w:t>Voir le cinquième rapport du Rapporteur spécial (</w:t>
      </w:r>
      <w:hyperlink r:id="rId54" w:history="1">
        <w:r w:rsidRPr="00750617">
          <w:rPr>
            <w:rStyle w:val="Hyperlink"/>
          </w:rPr>
          <w:t>A/CN</w:t>
        </w:r>
        <w:r w:rsidRPr="00F22925">
          <w:rPr>
            <w:rStyle w:val="Hyperlink"/>
          </w:rPr>
          <w:t>.</w:t>
        </w:r>
        <w:r w:rsidRPr="00750617">
          <w:rPr>
            <w:rStyle w:val="Hyperlink"/>
          </w:rPr>
          <w:t>4/711</w:t>
        </w:r>
      </w:hyperlink>
      <w:r w:rsidRPr="00750617">
        <w:t>), par</w:t>
      </w:r>
      <w:r w:rsidRPr="00F22925">
        <w:t>.</w:t>
      </w:r>
      <w:r w:rsidRPr="00750617">
        <w:t> 31</w:t>
      </w:r>
      <w:r w:rsidRPr="00F22925">
        <w:t>.</w:t>
      </w:r>
    </w:p>
  </w:footnote>
  <w:footnote w:id="173">
    <w:p w14:paraId="24D9755E" w14:textId="77777777" w:rsidR="00D01ECD" w:rsidRPr="00750617" w:rsidRDefault="00D01ECD" w:rsidP="00D01ECD">
      <w:pPr>
        <w:pStyle w:val="FootnoteText"/>
      </w:pPr>
      <w:r w:rsidRPr="00750617">
        <w:tab/>
      </w:r>
      <w:r w:rsidRPr="00750617">
        <w:rPr>
          <w:rStyle w:val="FootnoteReference"/>
        </w:rPr>
        <w:footnoteRef/>
      </w:r>
      <w:r w:rsidRPr="00750617">
        <w:tab/>
        <w:t xml:space="preserve">Voir la conclusion 11 des conclusions sur la détermination du droit international coutumier et le commentaire y relatif, </w:t>
      </w:r>
      <w:r w:rsidRPr="00750617">
        <w:rPr>
          <w:i/>
          <w:iCs/>
        </w:rPr>
        <w:t xml:space="preserve">Documents officiels de l’Assemblée générale, soixante-treizième session, Supplément </w:t>
      </w:r>
      <w:r w:rsidRPr="00750617">
        <w:rPr>
          <w:rFonts w:eastAsia="MS Mincho"/>
          <w:i/>
          <w:iCs/>
        </w:rPr>
        <w:t>n</w:t>
      </w:r>
      <w:r w:rsidRPr="00750617">
        <w:rPr>
          <w:rFonts w:eastAsia="MS Mincho"/>
          <w:i/>
          <w:iCs/>
          <w:vertAlign w:val="superscript"/>
        </w:rPr>
        <w:t>o</w:t>
      </w:r>
      <w:r w:rsidRPr="00750617">
        <w:rPr>
          <w:i/>
          <w:iCs/>
        </w:rPr>
        <w:t xml:space="preserve"> 10</w:t>
      </w:r>
      <w:r w:rsidRPr="00750617">
        <w:t xml:space="preserve"> </w:t>
      </w:r>
      <w:r w:rsidRPr="00EC24B3">
        <w:t>(</w:t>
      </w:r>
      <w:hyperlink r:id="rId55" w:history="1">
        <w:r w:rsidRPr="00EC24B3">
          <w:rPr>
            <w:rStyle w:val="Hyperlink"/>
          </w:rPr>
          <w:t>A/73/10</w:t>
        </w:r>
      </w:hyperlink>
      <w:r w:rsidRPr="00EC24B3">
        <w:t>),</w:t>
      </w:r>
      <w:r w:rsidRPr="00750617">
        <w:t xml:space="preserve"> chap</w:t>
      </w:r>
      <w:r w:rsidRPr="00F22925">
        <w:t>.</w:t>
      </w:r>
      <w:r w:rsidRPr="00750617">
        <w:t xml:space="preserve"> V, p</w:t>
      </w:r>
      <w:r w:rsidRPr="00F22925">
        <w:t>.</w:t>
      </w:r>
      <w:r w:rsidRPr="00750617">
        <w:t xml:space="preserve"> 152 à 155</w:t>
      </w:r>
      <w:r w:rsidRPr="00F22925">
        <w:t>.</w:t>
      </w:r>
    </w:p>
  </w:footnote>
  <w:footnote w:id="174">
    <w:p w14:paraId="457857D0" w14:textId="77777777" w:rsidR="00D01ECD" w:rsidRPr="00750617" w:rsidRDefault="00D01ECD" w:rsidP="00D01ECD">
      <w:pPr>
        <w:pStyle w:val="FootnoteText"/>
      </w:pPr>
      <w:r w:rsidRPr="00750617">
        <w:tab/>
      </w:r>
      <w:r w:rsidRPr="00750617">
        <w:rPr>
          <w:rStyle w:val="FootnoteReference"/>
        </w:rPr>
        <w:footnoteRef/>
      </w:r>
      <w:r w:rsidRPr="00750617">
        <w:tab/>
        <w:t>Dans le cadre de cette prise en compte de la pratique des États seraient inclus par exemple les accords commerciaux multilatéraux, régionaux ou autres qui peuvent comprendre des dispositions relatives à la protection de l’environnement, y compris des dispositions prévoyant des exceptions, comme l’article XX de l’Accord général sur les tarifs douaniers et le commerce, ou même ce que l’on appelle des « accords environnementaux annexes », comme l’Accord nord</w:t>
      </w:r>
      <w:r w:rsidRPr="00750617">
        <w:noBreakHyphen/>
        <w:t>américain de coopération dans le domaine de l’environnement</w:t>
      </w:r>
      <w:r w:rsidRPr="00F22925">
        <w:t>.</w:t>
      </w:r>
    </w:p>
  </w:footnote>
  <w:footnote w:id="175">
    <w:p w14:paraId="34CD9709" w14:textId="77777777" w:rsidR="00D01ECD" w:rsidRPr="00750617" w:rsidRDefault="00D01ECD" w:rsidP="00D01ECD">
      <w:pPr>
        <w:pStyle w:val="FootnoteText"/>
      </w:pPr>
      <w:r w:rsidRPr="00750617">
        <w:tab/>
      </w:r>
      <w:r w:rsidRPr="00750617">
        <w:rPr>
          <w:rStyle w:val="FootnoteReference"/>
        </w:rPr>
        <w:footnoteRef/>
      </w:r>
      <w:r w:rsidRPr="00750617">
        <w:tab/>
        <w:t>De nombreux accords environnementaux multilatéraux relatifs à la protection de l’atmosphère prévoient des procédures applicables en cas de non-respect de leurs dispositions, notamment : a) la Convention sur la pollution atmosphérique transfrontière à longue distance et ses Protocoles ultérieurs : voir E</w:t>
      </w:r>
      <w:r w:rsidRPr="00F22925">
        <w:t>.</w:t>
      </w:r>
      <w:r w:rsidRPr="00750617">
        <w:t xml:space="preserve"> Milano, « </w:t>
      </w:r>
      <w:proofErr w:type="spellStart"/>
      <w:r w:rsidRPr="00750617">
        <w:t>Procedures</w:t>
      </w:r>
      <w:proofErr w:type="spellEnd"/>
      <w:r w:rsidRPr="00750617">
        <w:t xml:space="preserve"> and </w:t>
      </w:r>
      <w:proofErr w:type="spellStart"/>
      <w:r w:rsidRPr="00750617">
        <w:t>mechanisms</w:t>
      </w:r>
      <w:proofErr w:type="spellEnd"/>
      <w:r w:rsidRPr="00750617">
        <w:t xml:space="preserve"> for </w:t>
      </w:r>
      <w:proofErr w:type="spellStart"/>
      <w:r w:rsidRPr="00750617">
        <w:t>review</w:t>
      </w:r>
      <w:proofErr w:type="spellEnd"/>
      <w:r w:rsidRPr="00750617">
        <w:t xml:space="preserve"> of compliance </w:t>
      </w:r>
      <w:proofErr w:type="spellStart"/>
      <w:r w:rsidRPr="00750617">
        <w:t>under</w:t>
      </w:r>
      <w:proofErr w:type="spellEnd"/>
      <w:r w:rsidRPr="00750617">
        <w:t xml:space="preserve"> the 1979 Long-Range </w:t>
      </w:r>
      <w:proofErr w:type="spellStart"/>
      <w:r w:rsidRPr="00750617">
        <w:t>Transboundary</w:t>
      </w:r>
      <w:proofErr w:type="spellEnd"/>
      <w:r w:rsidRPr="00750617">
        <w:t xml:space="preserve"> Air Pollution Conventions and </w:t>
      </w:r>
      <w:proofErr w:type="spellStart"/>
      <w:r w:rsidRPr="00750617">
        <w:t>its</w:t>
      </w:r>
      <w:proofErr w:type="spellEnd"/>
      <w:r w:rsidRPr="00750617">
        <w:t xml:space="preserve"> </w:t>
      </w:r>
      <w:proofErr w:type="spellStart"/>
      <w:r w:rsidRPr="00750617">
        <w:t>Protocols</w:t>
      </w:r>
      <w:proofErr w:type="spellEnd"/>
      <w:r w:rsidRPr="00750617">
        <w:t> », dans T</w:t>
      </w:r>
      <w:r w:rsidRPr="00F22925">
        <w:t>.</w:t>
      </w:r>
      <w:r w:rsidRPr="00750617">
        <w:t xml:space="preserve"> </w:t>
      </w:r>
      <w:proofErr w:type="spellStart"/>
      <w:r w:rsidRPr="00750617">
        <w:t>Treves</w:t>
      </w:r>
      <w:proofErr w:type="spellEnd"/>
      <w:r w:rsidRPr="00750617">
        <w:t xml:space="preserve"> </w:t>
      </w:r>
      <w:r w:rsidRPr="00750617">
        <w:rPr>
          <w:i/>
        </w:rPr>
        <w:t>et al</w:t>
      </w:r>
      <w:r w:rsidRPr="00F22925">
        <w:rPr>
          <w:i/>
        </w:rPr>
        <w:t>.</w:t>
      </w:r>
      <w:r w:rsidRPr="00750617">
        <w:t xml:space="preserve"> (</w:t>
      </w:r>
      <w:proofErr w:type="spellStart"/>
      <w:r w:rsidRPr="00750617">
        <w:t>dir</w:t>
      </w:r>
      <w:proofErr w:type="spellEnd"/>
      <w:r w:rsidRPr="00F22925">
        <w:t>.</w:t>
      </w:r>
      <w:r w:rsidRPr="00750617">
        <w:t> </w:t>
      </w:r>
      <w:proofErr w:type="spellStart"/>
      <w:r w:rsidRPr="00750617">
        <w:t>publ</w:t>
      </w:r>
      <w:proofErr w:type="spellEnd"/>
      <w:r w:rsidRPr="00F22925">
        <w:t>.</w:t>
      </w:r>
      <w:r w:rsidRPr="00750617">
        <w:t xml:space="preserve">), </w:t>
      </w:r>
      <w:r w:rsidRPr="00750617">
        <w:rPr>
          <w:i/>
          <w:iCs/>
        </w:rPr>
        <w:t>Non</w:t>
      </w:r>
      <w:r w:rsidRPr="00750617">
        <w:rPr>
          <w:i/>
          <w:iCs/>
        </w:rPr>
        <w:noBreakHyphen/>
        <w:t xml:space="preserve">Compliance </w:t>
      </w:r>
      <w:proofErr w:type="spellStart"/>
      <w:r w:rsidRPr="00750617">
        <w:rPr>
          <w:i/>
          <w:iCs/>
        </w:rPr>
        <w:t>Procedures</w:t>
      </w:r>
      <w:proofErr w:type="spellEnd"/>
      <w:r w:rsidRPr="00750617">
        <w:rPr>
          <w:i/>
          <w:iCs/>
        </w:rPr>
        <w:t xml:space="preserve"> and </w:t>
      </w:r>
      <w:proofErr w:type="spellStart"/>
      <w:r w:rsidRPr="00750617">
        <w:rPr>
          <w:i/>
          <w:iCs/>
        </w:rPr>
        <w:t>Mechanisms</w:t>
      </w:r>
      <w:proofErr w:type="spellEnd"/>
      <w:r w:rsidRPr="00750617">
        <w:rPr>
          <w:i/>
          <w:iCs/>
        </w:rPr>
        <w:t xml:space="preserve"> and the</w:t>
      </w:r>
      <w:r w:rsidRPr="00750617">
        <w:t xml:space="preserve"> </w:t>
      </w:r>
      <w:proofErr w:type="spellStart"/>
      <w:r w:rsidRPr="00750617">
        <w:rPr>
          <w:i/>
          <w:iCs/>
        </w:rPr>
        <w:t>Effectiveness</w:t>
      </w:r>
      <w:proofErr w:type="spellEnd"/>
      <w:r w:rsidRPr="00750617">
        <w:rPr>
          <w:i/>
          <w:iCs/>
        </w:rPr>
        <w:t xml:space="preserve"> of International </w:t>
      </w:r>
      <w:proofErr w:type="spellStart"/>
      <w:r w:rsidRPr="00750617">
        <w:rPr>
          <w:i/>
          <w:iCs/>
        </w:rPr>
        <w:t>Environmental</w:t>
      </w:r>
      <w:proofErr w:type="spellEnd"/>
      <w:r w:rsidRPr="00750617">
        <w:rPr>
          <w:i/>
          <w:iCs/>
        </w:rPr>
        <w:t xml:space="preserve"> </w:t>
      </w:r>
      <w:proofErr w:type="spellStart"/>
      <w:r w:rsidRPr="00750617">
        <w:rPr>
          <w:i/>
          <w:iCs/>
        </w:rPr>
        <w:t>Agreements</w:t>
      </w:r>
      <w:proofErr w:type="spellEnd"/>
      <w:r w:rsidRPr="00750617">
        <w:t xml:space="preserve"> (La Haye, T</w:t>
      </w:r>
      <w:r w:rsidRPr="00F22925">
        <w:t>.</w:t>
      </w:r>
      <w:r w:rsidRPr="00750617">
        <w:t>M</w:t>
      </w:r>
      <w:r w:rsidRPr="00F22925">
        <w:t>.</w:t>
      </w:r>
      <w:r w:rsidRPr="00750617">
        <w:t>C</w:t>
      </w:r>
      <w:r w:rsidRPr="00F22925">
        <w:t>.</w:t>
      </w:r>
      <w:r w:rsidRPr="00750617">
        <w:t xml:space="preserve"> </w:t>
      </w:r>
      <w:proofErr w:type="spellStart"/>
      <w:r w:rsidRPr="00750617">
        <w:t>Asser</w:t>
      </w:r>
      <w:proofErr w:type="spellEnd"/>
      <w:r w:rsidRPr="00750617">
        <w:t xml:space="preserve"> </w:t>
      </w:r>
      <w:proofErr w:type="spellStart"/>
      <w:r w:rsidRPr="00750617">
        <w:t>Press</w:t>
      </w:r>
      <w:proofErr w:type="spellEnd"/>
      <w:r w:rsidRPr="00750617">
        <w:t>, 2009), p</w:t>
      </w:r>
      <w:r w:rsidRPr="00F22925">
        <w:t>.</w:t>
      </w:r>
      <w:r w:rsidRPr="00750617">
        <w:t> 169 à 180 ; b) le Protocole de Montréal relatif à des substances qui appauvrissent la couche d’ozone (</w:t>
      </w:r>
      <w:r w:rsidRPr="00750617">
        <w:rPr>
          <w:iCs/>
        </w:rPr>
        <w:t>Nations Unies,</w:t>
      </w:r>
      <w:r w:rsidRPr="00750617">
        <w:rPr>
          <w:i/>
          <w:iCs/>
        </w:rPr>
        <w:t xml:space="preserve"> Recueil des Traités</w:t>
      </w:r>
      <w:r w:rsidRPr="00750617">
        <w:t>, vol</w:t>
      </w:r>
      <w:r w:rsidRPr="00F22925">
        <w:t>.</w:t>
      </w:r>
      <w:r w:rsidRPr="00750617">
        <w:t> 1522, n</w:t>
      </w:r>
      <w:r w:rsidRPr="00750617">
        <w:rPr>
          <w:vertAlign w:val="superscript"/>
        </w:rPr>
        <w:t>o</w:t>
      </w:r>
      <w:r w:rsidRPr="00750617">
        <w:t> 26369, p</w:t>
      </w:r>
      <w:r w:rsidRPr="00F22925">
        <w:t>.</w:t>
      </w:r>
      <w:r w:rsidRPr="00750617">
        <w:t> 3, et UNEP/OzL</w:t>
      </w:r>
      <w:r w:rsidRPr="00F22925">
        <w:t>.</w:t>
      </w:r>
      <w:r w:rsidRPr="00750617">
        <w:t>Pro</w:t>
      </w:r>
      <w:r w:rsidRPr="00F22925">
        <w:t>.</w:t>
      </w:r>
      <w:r w:rsidRPr="00750617">
        <w:t>4/15) ; F</w:t>
      </w:r>
      <w:r w:rsidRPr="00F22925">
        <w:t>.</w:t>
      </w:r>
      <w:r w:rsidRPr="00750617">
        <w:t> </w:t>
      </w:r>
      <w:proofErr w:type="spellStart"/>
      <w:r w:rsidRPr="00750617">
        <w:t>Lesniewska</w:t>
      </w:r>
      <w:proofErr w:type="spellEnd"/>
      <w:r w:rsidRPr="00750617">
        <w:t>, « </w:t>
      </w:r>
      <w:proofErr w:type="spellStart"/>
      <w:r w:rsidRPr="00750617">
        <w:t>Filling</w:t>
      </w:r>
      <w:proofErr w:type="spellEnd"/>
      <w:r w:rsidRPr="00750617">
        <w:t xml:space="preserve"> the </w:t>
      </w:r>
      <w:proofErr w:type="spellStart"/>
      <w:r w:rsidRPr="00750617">
        <w:t>holes</w:t>
      </w:r>
      <w:proofErr w:type="spellEnd"/>
      <w:r w:rsidRPr="00750617">
        <w:t xml:space="preserve"> : the </w:t>
      </w:r>
      <w:proofErr w:type="spellStart"/>
      <w:r w:rsidRPr="00750617">
        <w:t>Montreal</w:t>
      </w:r>
      <w:proofErr w:type="spellEnd"/>
      <w:r w:rsidRPr="00750617">
        <w:t xml:space="preserve"> </w:t>
      </w:r>
      <w:proofErr w:type="spellStart"/>
      <w:r w:rsidRPr="00750617">
        <w:t>Protocol’s</w:t>
      </w:r>
      <w:proofErr w:type="spellEnd"/>
      <w:r w:rsidRPr="00750617">
        <w:t xml:space="preserve"> non-compliance </w:t>
      </w:r>
      <w:proofErr w:type="spellStart"/>
      <w:r w:rsidRPr="00750617">
        <w:t>mechanisms</w:t>
      </w:r>
      <w:proofErr w:type="spellEnd"/>
      <w:r w:rsidRPr="00750617">
        <w:t xml:space="preserve"> », dans </w:t>
      </w:r>
      <w:proofErr w:type="spellStart"/>
      <w:r w:rsidRPr="00750617">
        <w:t>Fitzmaurice</w:t>
      </w:r>
      <w:proofErr w:type="spellEnd"/>
      <w:r w:rsidRPr="00750617">
        <w:t xml:space="preserve">, </w:t>
      </w:r>
      <w:proofErr w:type="spellStart"/>
      <w:r w:rsidRPr="00750617">
        <w:t>Ong</w:t>
      </w:r>
      <w:proofErr w:type="spellEnd"/>
      <w:r w:rsidRPr="00750617">
        <w:t xml:space="preserve"> et </w:t>
      </w:r>
      <w:proofErr w:type="spellStart"/>
      <w:r w:rsidRPr="00750617">
        <w:t>Merkouris</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proofErr w:type="spellStart"/>
      <w:r w:rsidRPr="00750617">
        <w:rPr>
          <w:i/>
          <w:iCs/>
        </w:rPr>
        <w:t>Research</w:t>
      </w:r>
      <w:proofErr w:type="spellEnd"/>
      <w:r w:rsidRPr="00750617">
        <w:rPr>
          <w:i/>
          <w:iCs/>
        </w:rPr>
        <w:t xml:space="preserve"> </w:t>
      </w:r>
      <w:proofErr w:type="spellStart"/>
      <w:r w:rsidRPr="00750617">
        <w:rPr>
          <w:i/>
          <w:iCs/>
        </w:rPr>
        <w:t>Handbook</w:t>
      </w:r>
      <w:proofErr w:type="spellEnd"/>
      <w:r w:rsidRPr="00750617">
        <w:rPr>
          <w:i/>
          <w:iCs/>
        </w:rPr>
        <w:t xml:space="preserve"> on International </w:t>
      </w:r>
      <w:proofErr w:type="spellStart"/>
      <w:r w:rsidRPr="00750617">
        <w:rPr>
          <w:i/>
          <w:iCs/>
        </w:rPr>
        <w:t>Environmental</w:t>
      </w:r>
      <w:proofErr w:type="spellEnd"/>
      <w:r w:rsidRPr="00750617">
        <w:rPr>
          <w:i/>
          <w:iCs/>
        </w:rPr>
        <w:t xml:space="preserve"> Law</w:t>
      </w:r>
      <w:r w:rsidRPr="00750617">
        <w:t xml:space="preserve"> (voir </w:t>
      </w:r>
      <w:r w:rsidRPr="00750617">
        <w:rPr>
          <w:i/>
        </w:rPr>
        <w:t>supra</w:t>
      </w:r>
      <w:r w:rsidRPr="00750617">
        <w:t xml:space="preserve"> la note </w:t>
      </w:r>
      <w:r w:rsidRPr="00750617">
        <w:fldChar w:fldCharType="begin"/>
      </w:r>
      <w:r w:rsidRPr="00750617">
        <w:instrText xml:space="preserve"> NOTEREF _Ref81559757 \h </w:instrText>
      </w:r>
      <w:r>
        <w:instrText xml:space="preserve"> \* MERGEFORMAT </w:instrText>
      </w:r>
      <w:r w:rsidRPr="00750617">
        <w:fldChar w:fldCharType="separate"/>
      </w:r>
      <w:r>
        <w:t>21</w:t>
      </w:r>
      <w:r w:rsidRPr="00750617">
        <w:fldChar w:fldCharType="end"/>
      </w:r>
      <w:r w:rsidRPr="00750617">
        <w:t>), p</w:t>
      </w:r>
      <w:r w:rsidRPr="00F22925">
        <w:t>.</w:t>
      </w:r>
      <w:r w:rsidRPr="00750617">
        <w:t> 471 à 489 ; c) la Convention sur l’évaluation de l’impact sur l’environnement dans un contexte transfrontière ; d) le Protocole de Kyoto à la Convention-cadre des Nations Unies sur les changements climatiques et la décision 24/CP</w:t>
      </w:r>
      <w:r w:rsidRPr="00F22925">
        <w:t>.</w:t>
      </w:r>
      <w:r w:rsidRPr="00750617">
        <w:t>7 (</w:t>
      </w:r>
      <w:hyperlink r:id="rId56" w:history="1">
        <w:r w:rsidRPr="00750617">
          <w:rPr>
            <w:rStyle w:val="Hyperlink"/>
          </w:rPr>
          <w:t>FCCC/CP/2001/13/Add</w:t>
        </w:r>
        <w:r w:rsidRPr="00F22925">
          <w:rPr>
            <w:rStyle w:val="Hyperlink"/>
          </w:rPr>
          <w:t>.</w:t>
        </w:r>
        <w:r w:rsidRPr="00750617">
          <w:rPr>
            <w:rStyle w:val="Hyperlink"/>
          </w:rPr>
          <w:t>3</w:t>
        </w:r>
      </w:hyperlink>
      <w:r w:rsidRPr="00750617">
        <w:t>) ; J</w:t>
      </w:r>
      <w:r w:rsidRPr="00F22925">
        <w:t>.</w:t>
      </w:r>
      <w:r w:rsidRPr="00750617">
        <w:t> </w:t>
      </w:r>
      <w:proofErr w:type="spellStart"/>
      <w:r w:rsidRPr="00750617">
        <w:t>Brunnée</w:t>
      </w:r>
      <w:proofErr w:type="spellEnd"/>
      <w:r w:rsidRPr="00750617">
        <w:t>, « </w:t>
      </w:r>
      <w:proofErr w:type="spellStart"/>
      <w:r w:rsidRPr="00750617">
        <w:t>Climate</w:t>
      </w:r>
      <w:proofErr w:type="spellEnd"/>
      <w:r w:rsidRPr="00750617">
        <w:t xml:space="preserve"> change and compliance and </w:t>
      </w:r>
      <w:proofErr w:type="spellStart"/>
      <w:r w:rsidRPr="00750617">
        <w:t>enforcement</w:t>
      </w:r>
      <w:proofErr w:type="spellEnd"/>
      <w:r w:rsidRPr="00750617">
        <w:t xml:space="preserve"> </w:t>
      </w:r>
      <w:proofErr w:type="spellStart"/>
      <w:r w:rsidRPr="00750617">
        <w:t>processes</w:t>
      </w:r>
      <w:proofErr w:type="spellEnd"/>
      <w:r w:rsidRPr="00750617">
        <w:t> », dans R</w:t>
      </w:r>
      <w:r w:rsidRPr="00F22925">
        <w:t>.</w:t>
      </w:r>
      <w:r w:rsidRPr="00750617">
        <w:t> </w:t>
      </w:r>
      <w:proofErr w:type="spellStart"/>
      <w:r w:rsidRPr="00750617">
        <w:t>Rayfuse</w:t>
      </w:r>
      <w:proofErr w:type="spellEnd"/>
      <w:r w:rsidRPr="00750617">
        <w:t xml:space="preserve"> et S</w:t>
      </w:r>
      <w:r w:rsidRPr="00F22925">
        <w:t>.</w:t>
      </w:r>
      <w:r w:rsidRPr="00750617">
        <w:t> V</w:t>
      </w:r>
      <w:r w:rsidRPr="00F22925">
        <w:t>.</w:t>
      </w:r>
      <w:r w:rsidRPr="00750617">
        <w:t> Scott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r w:rsidRPr="00750617">
        <w:rPr>
          <w:i/>
          <w:iCs/>
        </w:rPr>
        <w:t xml:space="preserve">International Law in the </w:t>
      </w:r>
      <w:proofErr w:type="spellStart"/>
      <w:r w:rsidRPr="00750617">
        <w:rPr>
          <w:i/>
          <w:iCs/>
        </w:rPr>
        <w:t>Era</w:t>
      </w:r>
      <w:proofErr w:type="spellEnd"/>
      <w:r w:rsidRPr="00750617">
        <w:rPr>
          <w:i/>
          <w:iCs/>
        </w:rPr>
        <w:t xml:space="preserve"> of </w:t>
      </w:r>
      <w:proofErr w:type="spellStart"/>
      <w:r w:rsidRPr="00750617">
        <w:rPr>
          <w:i/>
          <w:iCs/>
        </w:rPr>
        <w:t>Climate</w:t>
      </w:r>
      <w:proofErr w:type="spellEnd"/>
      <w:r w:rsidRPr="00750617">
        <w:rPr>
          <w:i/>
          <w:iCs/>
        </w:rPr>
        <w:t xml:space="preserve"> Change</w:t>
      </w:r>
      <w:r w:rsidRPr="00750617">
        <w:t xml:space="preserve"> (Cheltenham, Edward Elgar, 2012), p</w:t>
      </w:r>
      <w:r w:rsidRPr="00F22925">
        <w:t>.</w:t>
      </w:r>
      <w:r w:rsidRPr="00750617">
        <w:t> 290 à 320 ; e) l’Accord de Paris ; D</w:t>
      </w:r>
      <w:r w:rsidRPr="00F22925">
        <w:t>.</w:t>
      </w:r>
      <w:r w:rsidRPr="00750617">
        <w:t> </w:t>
      </w:r>
      <w:proofErr w:type="spellStart"/>
      <w:r w:rsidRPr="00750617">
        <w:t>Bodansky</w:t>
      </w:r>
      <w:proofErr w:type="spellEnd"/>
      <w:r w:rsidRPr="00750617">
        <w:t xml:space="preserve">, « The Paris </w:t>
      </w:r>
      <w:proofErr w:type="spellStart"/>
      <w:r w:rsidRPr="00750617">
        <w:t>Climate</w:t>
      </w:r>
      <w:proofErr w:type="spellEnd"/>
      <w:r w:rsidRPr="00750617">
        <w:t xml:space="preserve"> Change Agreement : a new </w:t>
      </w:r>
      <w:proofErr w:type="spellStart"/>
      <w:r w:rsidRPr="00750617">
        <w:t>hope</w:t>
      </w:r>
      <w:proofErr w:type="spellEnd"/>
      <w:r w:rsidRPr="00750617">
        <w:t xml:space="preserve"> ? », </w:t>
      </w:r>
      <w:r w:rsidRPr="00750617">
        <w:rPr>
          <w:i/>
          <w:iCs/>
        </w:rPr>
        <w:t>American Journal of International Law</w:t>
      </w:r>
      <w:r w:rsidRPr="00750617">
        <w:t>, vol</w:t>
      </w:r>
      <w:r w:rsidRPr="00F22925">
        <w:t>.</w:t>
      </w:r>
      <w:r w:rsidRPr="00750617">
        <w:t> 110 (2016), p</w:t>
      </w:r>
      <w:r w:rsidRPr="00F22925">
        <w:t>.</w:t>
      </w:r>
      <w:r w:rsidRPr="00750617">
        <w:t> 288 à 319</w:t>
      </w:r>
      <w:r w:rsidRPr="00F22925">
        <w:t>.</w:t>
      </w:r>
    </w:p>
  </w:footnote>
  <w:footnote w:id="176">
    <w:p w14:paraId="4E281141" w14:textId="77777777" w:rsidR="00D01ECD" w:rsidRPr="00750617" w:rsidRDefault="00D01ECD" w:rsidP="00D01ECD">
      <w:pPr>
        <w:pStyle w:val="FootnoteText"/>
      </w:pPr>
      <w:r w:rsidRPr="00750617">
        <w:tab/>
      </w:r>
      <w:r w:rsidRPr="00750617">
        <w:rPr>
          <w:rStyle w:val="FootnoteReference"/>
        </w:rPr>
        <w:footnoteRef/>
      </w:r>
      <w:r w:rsidRPr="00750617">
        <w:tab/>
        <w:t>La formule est inspirée de l’article 8 du Protocole de Montréal relatif à des substances qui appauvrissent la couche d’ozone, qui emploie l’expression « Parties contrevenantes » (</w:t>
      </w:r>
      <w:r w:rsidRPr="00750617">
        <w:rPr>
          <w:iCs/>
        </w:rPr>
        <w:t>Nations Unies,</w:t>
      </w:r>
      <w:r w:rsidRPr="00750617">
        <w:rPr>
          <w:i/>
          <w:iCs/>
        </w:rPr>
        <w:t xml:space="preserve"> Recueil des Traités</w:t>
      </w:r>
      <w:r w:rsidRPr="00750617">
        <w:t>, vol</w:t>
      </w:r>
      <w:r w:rsidRPr="00F22925">
        <w:t>.</w:t>
      </w:r>
      <w:r w:rsidRPr="00750617">
        <w:t> 1522, n</w:t>
      </w:r>
      <w:r w:rsidRPr="00750617">
        <w:rPr>
          <w:vertAlign w:val="superscript"/>
        </w:rPr>
        <w:t>o</w:t>
      </w:r>
      <w:r w:rsidRPr="00750617">
        <w:t> 26369, p</w:t>
      </w:r>
      <w:r w:rsidRPr="00F22925">
        <w:t>.</w:t>
      </w:r>
      <w:r w:rsidRPr="00750617">
        <w:t> 48)</w:t>
      </w:r>
      <w:r w:rsidRPr="00F22925">
        <w:t>.</w:t>
      </w:r>
    </w:p>
  </w:footnote>
  <w:footnote w:id="177">
    <w:p w14:paraId="722AD469" w14:textId="77777777" w:rsidR="00D01ECD" w:rsidRPr="000D3559" w:rsidRDefault="00D01ECD" w:rsidP="00D01ECD">
      <w:pPr>
        <w:pStyle w:val="FootnoteText"/>
        <w:rPr>
          <w:lang w:val="en-US"/>
        </w:rPr>
      </w:pPr>
      <w:r w:rsidRPr="00750617">
        <w:tab/>
      </w:r>
      <w:r w:rsidRPr="00750617">
        <w:rPr>
          <w:rStyle w:val="FootnoteReference"/>
        </w:rPr>
        <w:footnoteRef/>
      </w:r>
      <w:r w:rsidRPr="000D3559">
        <w:rPr>
          <w:lang w:val="en-US"/>
        </w:rPr>
        <w:tab/>
        <w:t>M. </w:t>
      </w:r>
      <w:proofErr w:type="spellStart"/>
      <w:r w:rsidRPr="000D3559">
        <w:rPr>
          <w:lang w:val="en-US"/>
        </w:rPr>
        <w:t>Koskenniemi</w:t>
      </w:r>
      <w:proofErr w:type="spellEnd"/>
      <w:r w:rsidRPr="000D3559">
        <w:rPr>
          <w:lang w:val="en-US"/>
        </w:rPr>
        <w:t>, « Breach of treaty or non-</w:t>
      </w:r>
      <w:proofErr w:type="gramStart"/>
      <w:r w:rsidRPr="000D3559">
        <w:rPr>
          <w:lang w:val="en-US"/>
        </w:rPr>
        <w:t>compliance ?</w:t>
      </w:r>
      <w:proofErr w:type="gramEnd"/>
      <w:r w:rsidRPr="000D3559">
        <w:rPr>
          <w:lang w:val="en-US"/>
        </w:rPr>
        <w:t xml:space="preserve"> Reflections on the enforcement of the Montreal Protocol », </w:t>
      </w:r>
      <w:r w:rsidRPr="000D3559">
        <w:rPr>
          <w:i/>
          <w:iCs/>
          <w:lang w:val="en-US"/>
        </w:rPr>
        <w:t>Yearbook of International Environmental Law</w:t>
      </w:r>
      <w:r w:rsidRPr="000D3559">
        <w:rPr>
          <w:lang w:val="en-US"/>
        </w:rPr>
        <w:t>, vol. 3 (1992), p. 123 à 162 ; D. G. Victor, « The operation and effectiveness of the Montreal Protocol’s non-compliance procedure », dans Victor, K. </w:t>
      </w:r>
      <w:proofErr w:type="spellStart"/>
      <w:r w:rsidRPr="000D3559">
        <w:rPr>
          <w:lang w:val="en-US"/>
        </w:rPr>
        <w:t>Raustiala</w:t>
      </w:r>
      <w:proofErr w:type="spellEnd"/>
      <w:r w:rsidRPr="000D3559">
        <w:rPr>
          <w:lang w:val="en-US"/>
        </w:rPr>
        <w:t xml:space="preserve"> et E. B. </w:t>
      </w:r>
      <w:proofErr w:type="spellStart"/>
      <w:r w:rsidRPr="000D3559">
        <w:rPr>
          <w:lang w:val="en-US"/>
        </w:rPr>
        <w:t>Skolnikoff</w:t>
      </w:r>
      <w:proofErr w:type="spellEnd"/>
      <w:r w:rsidRPr="000D3559">
        <w:rPr>
          <w:lang w:val="en-US"/>
        </w:rPr>
        <w:t xml:space="preserve"> (dir. publ.), </w:t>
      </w:r>
      <w:r w:rsidRPr="000D3559">
        <w:rPr>
          <w:i/>
          <w:iCs/>
          <w:lang w:val="en-US"/>
        </w:rPr>
        <w:t>The Implementation and Effectiveness of International Environmental Commitments</w:t>
      </w:r>
      <w:r w:rsidRPr="000D3559">
        <w:rPr>
          <w:lang w:val="en-US"/>
        </w:rPr>
        <w:t> :</w:t>
      </w:r>
      <w:r w:rsidRPr="000D3559">
        <w:rPr>
          <w:i/>
          <w:iCs/>
          <w:lang w:val="en-US"/>
        </w:rPr>
        <w:t xml:space="preserve"> Theory and Practice</w:t>
      </w:r>
      <w:r w:rsidRPr="000D3559">
        <w:rPr>
          <w:iCs/>
          <w:lang w:val="en-US"/>
        </w:rPr>
        <w:t xml:space="preserve"> (</w:t>
      </w:r>
      <w:r w:rsidRPr="000D3559">
        <w:rPr>
          <w:lang w:val="en-US"/>
        </w:rPr>
        <w:t xml:space="preserve">Cambridge, Massachusetts, MIT Press, 1998), p. 137 à 176 ; O. Yoshida, </w:t>
      </w:r>
      <w:r w:rsidRPr="000D3559">
        <w:rPr>
          <w:i/>
          <w:iCs/>
          <w:lang w:val="en-US"/>
        </w:rPr>
        <w:t>The International Legal Regime for the Protection of the Stratospheric Ozone Layer</w:t>
      </w:r>
      <w:r w:rsidRPr="000D3559">
        <w:rPr>
          <w:lang w:val="en-US"/>
        </w:rPr>
        <w:t xml:space="preserve"> (La Haye, Kluwer Law International, 2001), p. 178 et 179 ; Dupuy et Viñuales, </w:t>
      </w:r>
      <w:r w:rsidRPr="000D3559">
        <w:rPr>
          <w:i/>
          <w:iCs/>
          <w:lang w:val="en-US"/>
        </w:rPr>
        <w:t>International Environmental Law</w:t>
      </w:r>
      <w:r w:rsidRPr="000D3559">
        <w:rPr>
          <w:lang w:val="en-US"/>
        </w:rPr>
        <w:t xml:space="preserve"> (</w:t>
      </w:r>
      <w:proofErr w:type="spellStart"/>
      <w:r w:rsidRPr="000D3559">
        <w:rPr>
          <w:lang w:val="en-US"/>
        </w:rPr>
        <w:t>voir</w:t>
      </w:r>
      <w:proofErr w:type="spellEnd"/>
      <w:r w:rsidRPr="000D3559">
        <w:rPr>
          <w:lang w:val="en-US"/>
        </w:rPr>
        <w:t xml:space="preserve"> </w:t>
      </w:r>
      <w:r w:rsidRPr="000D3559">
        <w:rPr>
          <w:i/>
          <w:iCs/>
          <w:lang w:val="en-US"/>
        </w:rPr>
        <w:t>supra</w:t>
      </w:r>
      <w:r w:rsidRPr="000D3559">
        <w:rPr>
          <w:lang w:val="en-US"/>
        </w:rPr>
        <w:t xml:space="preserve"> la note </w:t>
      </w:r>
      <w:r w:rsidRPr="00750617">
        <w:fldChar w:fldCharType="begin"/>
      </w:r>
      <w:r w:rsidRPr="000D3559">
        <w:rPr>
          <w:lang w:val="en-US"/>
        </w:rPr>
        <w:instrText xml:space="preserve"> NOTEREF _Ref520291680 \h  \* MERGEFORMAT </w:instrText>
      </w:r>
      <w:r w:rsidRPr="00750617">
        <w:fldChar w:fldCharType="separate"/>
      </w:r>
      <w:r>
        <w:rPr>
          <w:lang w:val="en-US"/>
        </w:rPr>
        <w:t>163</w:t>
      </w:r>
      <w:r w:rsidRPr="00750617">
        <w:fldChar w:fldCharType="end"/>
      </w:r>
      <w:r w:rsidRPr="000D3559">
        <w:rPr>
          <w:lang w:val="en-US"/>
        </w:rPr>
        <w:t xml:space="preserve">), p. 285 et </w:t>
      </w:r>
      <w:proofErr w:type="spellStart"/>
      <w:r w:rsidRPr="000D3559">
        <w:rPr>
          <w:lang w:val="en-US"/>
        </w:rPr>
        <w:t>suiv</w:t>
      </w:r>
      <w:proofErr w:type="spellEnd"/>
      <w:r w:rsidRPr="000D3559">
        <w:rPr>
          <w:lang w:val="en-US"/>
        </w:rPr>
        <w:t>.</w:t>
      </w:r>
    </w:p>
  </w:footnote>
  <w:footnote w:id="178">
    <w:p w14:paraId="7023AC43"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0D3559">
        <w:rPr>
          <w:lang w:val="en-US"/>
        </w:rPr>
        <w:tab/>
        <w:t>G. </w:t>
      </w:r>
      <w:proofErr w:type="spellStart"/>
      <w:r w:rsidRPr="000D3559">
        <w:rPr>
          <w:lang w:val="en-US"/>
        </w:rPr>
        <w:t>Ulfstein</w:t>
      </w:r>
      <w:proofErr w:type="spellEnd"/>
      <w:r w:rsidRPr="000D3559">
        <w:rPr>
          <w:lang w:val="en-US"/>
        </w:rPr>
        <w:t xml:space="preserve"> et J. </w:t>
      </w:r>
      <w:proofErr w:type="spellStart"/>
      <w:r w:rsidRPr="000D3559">
        <w:rPr>
          <w:lang w:val="en-US"/>
        </w:rPr>
        <w:t>Werksman</w:t>
      </w:r>
      <w:proofErr w:type="spellEnd"/>
      <w:r w:rsidRPr="000D3559">
        <w:rPr>
          <w:lang w:val="en-US"/>
        </w:rPr>
        <w:t xml:space="preserve">, « The Kyoto compliance system : towards hard enforcement », dans O. Schram </w:t>
      </w:r>
      <w:proofErr w:type="spellStart"/>
      <w:r w:rsidRPr="000D3559">
        <w:rPr>
          <w:lang w:val="en-US"/>
        </w:rPr>
        <w:t>Stokke</w:t>
      </w:r>
      <w:proofErr w:type="spellEnd"/>
      <w:r w:rsidRPr="000D3559">
        <w:rPr>
          <w:lang w:val="en-US"/>
        </w:rPr>
        <w:t>, J. </w:t>
      </w:r>
      <w:proofErr w:type="spellStart"/>
      <w:r w:rsidRPr="000D3559">
        <w:rPr>
          <w:lang w:val="en-US"/>
        </w:rPr>
        <w:t>Hovi</w:t>
      </w:r>
      <w:proofErr w:type="spellEnd"/>
      <w:r w:rsidRPr="000D3559">
        <w:rPr>
          <w:lang w:val="en-US"/>
        </w:rPr>
        <w:t xml:space="preserve"> et G. </w:t>
      </w:r>
      <w:proofErr w:type="spellStart"/>
      <w:r w:rsidRPr="000D3559">
        <w:rPr>
          <w:lang w:val="en-US"/>
        </w:rPr>
        <w:t>Ulfstein</w:t>
      </w:r>
      <w:proofErr w:type="spellEnd"/>
      <w:r w:rsidRPr="000D3559">
        <w:rPr>
          <w:lang w:val="en-US"/>
        </w:rPr>
        <w:t xml:space="preserve"> (dir. publ.),</w:t>
      </w:r>
      <w:r w:rsidRPr="000D3559">
        <w:rPr>
          <w:i/>
          <w:iCs/>
          <w:lang w:val="en-US"/>
        </w:rPr>
        <w:t xml:space="preserve"> Implementing the Climate Change Regime : International Compliance </w:t>
      </w:r>
      <w:r w:rsidRPr="000D3559">
        <w:rPr>
          <w:iCs/>
          <w:lang w:val="en-US"/>
        </w:rPr>
        <w:t>(</w:t>
      </w:r>
      <w:proofErr w:type="spellStart"/>
      <w:r w:rsidRPr="000D3559">
        <w:rPr>
          <w:lang w:val="en-US"/>
        </w:rPr>
        <w:t>Londres</w:t>
      </w:r>
      <w:proofErr w:type="spellEnd"/>
      <w:r w:rsidRPr="000D3559">
        <w:rPr>
          <w:lang w:val="en-US"/>
        </w:rPr>
        <w:t>, Earthscan, 2005), p. 39 à 62 ; S. </w:t>
      </w:r>
      <w:proofErr w:type="spellStart"/>
      <w:r w:rsidRPr="000D3559">
        <w:rPr>
          <w:lang w:val="en-US"/>
        </w:rPr>
        <w:t>Urbinati</w:t>
      </w:r>
      <w:proofErr w:type="spellEnd"/>
      <w:r w:rsidRPr="000D3559">
        <w:rPr>
          <w:lang w:val="en-US"/>
        </w:rPr>
        <w:t xml:space="preserve">, « Procedures and mechanisms relating to compliance under the 1997 Kyoto Protocol to the 1992 United Nations Framework Convention on Climate Change », dans Treves </w:t>
      </w:r>
      <w:r w:rsidRPr="000D3559">
        <w:rPr>
          <w:i/>
          <w:lang w:val="en-US"/>
        </w:rPr>
        <w:t>et al.</w:t>
      </w:r>
      <w:r w:rsidRPr="000D3559">
        <w:rPr>
          <w:lang w:val="en-US"/>
        </w:rPr>
        <w:t xml:space="preserve">, </w:t>
      </w:r>
      <w:r w:rsidRPr="000D3559">
        <w:rPr>
          <w:i/>
          <w:iCs/>
          <w:lang w:val="en-US"/>
        </w:rPr>
        <w:t>Non-Compliance Procedures and Mechanisms and the Effectiveness of International Environmental Agreements</w:t>
      </w:r>
      <w:r w:rsidRPr="000D3559">
        <w:rPr>
          <w:lang w:val="en-US"/>
        </w:rPr>
        <w:t xml:space="preserve"> (</w:t>
      </w:r>
      <w:proofErr w:type="spellStart"/>
      <w:r w:rsidRPr="000D3559">
        <w:rPr>
          <w:lang w:val="en-US"/>
        </w:rPr>
        <w:t>voir</w:t>
      </w:r>
      <w:proofErr w:type="spellEnd"/>
      <w:r w:rsidRPr="000D3559">
        <w:rPr>
          <w:lang w:val="en-US"/>
        </w:rPr>
        <w:t xml:space="preserve"> </w:t>
      </w:r>
      <w:r w:rsidRPr="000D3559">
        <w:rPr>
          <w:i/>
          <w:iCs/>
          <w:lang w:val="en-US"/>
        </w:rPr>
        <w:t>supra</w:t>
      </w:r>
      <w:r w:rsidRPr="000D3559">
        <w:rPr>
          <w:lang w:val="en-US"/>
        </w:rPr>
        <w:t xml:space="preserve"> la note </w:t>
      </w:r>
      <w:r w:rsidRPr="00750617">
        <w:fldChar w:fldCharType="begin"/>
      </w:r>
      <w:r w:rsidRPr="000D3559">
        <w:rPr>
          <w:lang w:val="en-US"/>
        </w:rPr>
        <w:instrText xml:space="preserve"> NOTEREF _Ref520291851 \h  \* MERGEFORMAT </w:instrText>
      </w:r>
      <w:r w:rsidRPr="00750617">
        <w:fldChar w:fldCharType="separate"/>
      </w:r>
      <w:r>
        <w:rPr>
          <w:lang w:val="en-US"/>
        </w:rPr>
        <w:t>183</w:t>
      </w:r>
      <w:r w:rsidRPr="00750617">
        <w:fldChar w:fldCharType="end"/>
      </w:r>
      <w:r w:rsidRPr="000D3559">
        <w:rPr>
          <w:lang w:val="en-US"/>
        </w:rPr>
        <w:t>,), p. 63 à 84 ; S. </w:t>
      </w:r>
      <w:proofErr w:type="spellStart"/>
      <w:r w:rsidRPr="000D3559">
        <w:rPr>
          <w:lang w:val="en-US"/>
        </w:rPr>
        <w:t>Murase</w:t>
      </w:r>
      <w:proofErr w:type="spellEnd"/>
      <w:r w:rsidRPr="000D3559">
        <w:rPr>
          <w:lang w:val="en-US"/>
        </w:rPr>
        <w:t xml:space="preserve">, « International lawmaking for the future framework on climate change : a WTO/GATT model », dans </w:t>
      </w:r>
      <w:proofErr w:type="spellStart"/>
      <w:r w:rsidRPr="000D3559">
        <w:rPr>
          <w:lang w:val="en-US"/>
        </w:rPr>
        <w:t>Murase</w:t>
      </w:r>
      <w:proofErr w:type="spellEnd"/>
      <w:r w:rsidRPr="000D3559">
        <w:rPr>
          <w:i/>
          <w:iCs/>
          <w:lang w:val="en-US"/>
        </w:rPr>
        <w:t>, International Law : An Integrative Perspective on Transboundary Issues</w:t>
      </w:r>
      <w:r w:rsidRPr="000D3559">
        <w:rPr>
          <w:lang w:val="en-US"/>
        </w:rPr>
        <w:t xml:space="preserve"> (</w:t>
      </w:r>
      <w:proofErr w:type="spellStart"/>
      <w:r w:rsidRPr="000D3559">
        <w:rPr>
          <w:lang w:val="en-US"/>
        </w:rPr>
        <w:t>voir</w:t>
      </w:r>
      <w:proofErr w:type="spellEnd"/>
      <w:r w:rsidRPr="000D3559">
        <w:rPr>
          <w:lang w:val="en-US"/>
        </w:rPr>
        <w:t xml:space="preserve"> </w:t>
      </w:r>
      <w:r w:rsidRPr="000D3559">
        <w:rPr>
          <w:i/>
          <w:iCs/>
          <w:lang w:val="en-US"/>
        </w:rPr>
        <w:t>supra</w:t>
      </w:r>
      <w:r w:rsidRPr="000D3559">
        <w:rPr>
          <w:lang w:val="en-US"/>
        </w:rPr>
        <w:t xml:space="preserve"> la note </w:t>
      </w:r>
      <w:r w:rsidRPr="00750617">
        <w:fldChar w:fldCharType="begin"/>
      </w:r>
      <w:r w:rsidRPr="000D3559">
        <w:rPr>
          <w:lang w:val="en-US"/>
        </w:rPr>
        <w:instrText xml:space="preserve"> NOTEREF _Ref520291888 \h  \* MERGEFORMAT </w:instrText>
      </w:r>
      <w:r w:rsidRPr="00750617">
        <w:fldChar w:fldCharType="separate"/>
      </w:r>
      <w:r>
        <w:rPr>
          <w:lang w:val="en-US"/>
        </w:rPr>
        <w:t>143</w:t>
      </w:r>
      <w:r w:rsidRPr="00750617">
        <w:fldChar w:fldCharType="end"/>
      </w:r>
      <w:r w:rsidRPr="000D3559">
        <w:rPr>
          <w:lang w:val="en-US"/>
        </w:rPr>
        <w:t xml:space="preserve">), p. 173 et 174. </w:t>
      </w:r>
    </w:p>
  </w:footnote>
  <w:footnote w:id="179">
    <w:p w14:paraId="23948ABD"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0D3559">
        <w:rPr>
          <w:lang w:val="en-US"/>
        </w:rPr>
        <w:tab/>
        <w:t>G. </w:t>
      </w:r>
      <w:proofErr w:type="spellStart"/>
      <w:r w:rsidRPr="000D3559">
        <w:rPr>
          <w:lang w:val="en-US"/>
        </w:rPr>
        <w:t>Loibl</w:t>
      </w:r>
      <w:proofErr w:type="spellEnd"/>
      <w:r w:rsidRPr="000D3559">
        <w:rPr>
          <w:lang w:val="en-US"/>
        </w:rPr>
        <w:t xml:space="preserve">, « Compliance procedures and mechanisms », dans Fitzmaurice, Ong et </w:t>
      </w:r>
      <w:proofErr w:type="spellStart"/>
      <w:r w:rsidRPr="000D3559">
        <w:rPr>
          <w:lang w:val="en-US"/>
        </w:rPr>
        <w:t>Merkouris</w:t>
      </w:r>
      <w:proofErr w:type="spellEnd"/>
      <w:r w:rsidRPr="000D3559">
        <w:rPr>
          <w:lang w:val="en-US"/>
        </w:rPr>
        <w:t xml:space="preserve"> (dir. publ.), </w:t>
      </w:r>
      <w:r w:rsidRPr="000D3559">
        <w:rPr>
          <w:i/>
          <w:iCs/>
          <w:lang w:val="en-US"/>
        </w:rPr>
        <w:t>Research Handbook on International Environmental Law</w:t>
      </w:r>
      <w:r w:rsidRPr="000D3559">
        <w:rPr>
          <w:lang w:val="en-US"/>
        </w:rPr>
        <w:t xml:space="preserve"> (note </w:t>
      </w:r>
      <w:r w:rsidRPr="00750617">
        <w:fldChar w:fldCharType="begin"/>
      </w:r>
      <w:r w:rsidRPr="000D3559">
        <w:rPr>
          <w:lang w:val="en-US"/>
        </w:rPr>
        <w:instrText xml:space="preserve"> NOTEREF _Ref81559757 \h  \* MERGEFORMAT </w:instrText>
      </w:r>
      <w:r w:rsidRPr="00750617">
        <w:fldChar w:fldCharType="separate"/>
      </w:r>
      <w:r>
        <w:rPr>
          <w:lang w:val="en-US"/>
        </w:rPr>
        <w:t>21</w:t>
      </w:r>
      <w:r w:rsidRPr="00750617">
        <w:fldChar w:fldCharType="end"/>
      </w:r>
      <w:r w:rsidRPr="000D3559">
        <w:rPr>
          <w:lang w:val="en-US"/>
        </w:rPr>
        <w:t xml:space="preserve"> </w:t>
      </w:r>
      <w:r w:rsidRPr="000D3559">
        <w:rPr>
          <w:i/>
          <w:lang w:val="en-US"/>
        </w:rPr>
        <w:t>supra</w:t>
      </w:r>
      <w:r w:rsidRPr="000D3559">
        <w:rPr>
          <w:lang w:val="en-US"/>
        </w:rPr>
        <w:t>), p. 426 à 449, aux pages 437 à 439.</w:t>
      </w:r>
    </w:p>
  </w:footnote>
  <w:footnote w:id="180">
    <w:p w14:paraId="149B4D01" w14:textId="77777777" w:rsidR="00D01ECD" w:rsidRPr="00750617" w:rsidRDefault="00D01ECD" w:rsidP="00D01ECD">
      <w:pPr>
        <w:pStyle w:val="FootnoteText"/>
      </w:pPr>
      <w:r w:rsidRPr="000D3559">
        <w:rPr>
          <w:lang w:val="en-US"/>
        </w:rPr>
        <w:tab/>
      </w:r>
      <w:r w:rsidRPr="00750617">
        <w:rPr>
          <w:rStyle w:val="FootnoteReference"/>
        </w:rPr>
        <w:footnoteRef/>
      </w:r>
      <w:r w:rsidRPr="00750617">
        <w:tab/>
        <w:t>C</w:t>
      </w:r>
      <w:r w:rsidRPr="00F22925">
        <w:t>.</w:t>
      </w:r>
      <w:r w:rsidRPr="00750617">
        <w:t> </w:t>
      </w:r>
      <w:proofErr w:type="spellStart"/>
      <w:r w:rsidRPr="00750617">
        <w:t>Tomuschat</w:t>
      </w:r>
      <w:proofErr w:type="spellEnd"/>
      <w:r w:rsidRPr="00750617">
        <w:t>, « Article 33 », dans B</w:t>
      </w:r>
      <w:r w:rsidRPr="00F22925">
        <w:t>.</w:t>
      </w:r>
      <w:r w:rsidRPr="00750617">
        <w:t> </w:t>
      </w:r>
      <w:proofErr w:type="spellStart"/>
      <w:r w:rsidRPr="00750617">
        <w:t>Simma</w:t>
      </w:r>
      <w:proofErr w:type="spellEnd"/>
      <w:r w:rsidRPr="00750617">
        <w:t xml:space="preserve"> </w:t>
      </w:r>
      <w:r w:rsidRPr="00750617">
        <w:rPr>
          <w:i/>
          <w:iCs/>
        </w:rPr>
        <w:t>et al</w:t>
      </w:r>
      <w:r w:rsidRPr="00F22925">
        <w:rPr>
          <w:i/>
          <w:iCs/>
        </w:rPr>
        <w:t>.</w:t>
      </w:r>
      <w:r w:rsidRPr="00750617">
        <w:t xml:space="preserve"> (</w:t>
      </w:r>
      <w:proofErr w:type="spellStart"/>
      <w:proofErr w:type="gramStart"/>
      <w:r w:rsidRPr="00750617">
        <w:t>dir</w:t>
      </w:r>
      <w:proofErr w:type="spellEnd"/>
      <w:r w:rsidRPr="00F22925">
        <w:t>.</w:t>
      </w:r>
      <w:proofErr w:type="gramEnd"/>
      <w:r w:rsidRPr="00750617">
        <w:t xml:space="preserve"> </w:t>
      </w:r>
      <w:proofErr w:type="spellStart"/>
      <w:r w:rsidRPr="00750617">
        <w:t>publ</w:t>
      </w:r>
      <w:proofErr w:type="spellEnd"/>
      <w:r w:rsidRPr="00F22925">
        <w:t>.</w:t>
      </w:r>
      <w:r w:rsidRPr="00750617">
        <w:t xml:space="preserve">), </w:t>
      </w:r>
      <w:r w:rsidRPr="00750617">
        <w:rPr>
          <w:i/>
        </w:rPr>
        <w:t>The Charter of the United Nations : A </w:t>
      </w:r>
      <w:proofErr w:type="spellStart"/>
      <w:r w:rsidRPr="00750617">
        <w:rPr>
          <w:i/>
        </w:rPr>
        <w:t>Commentary</w:t>
      </w:r>
      <w:proofErr w:type="spellEnd"/>
      <w:r w:rsidRPr="00750617">
        <w:rPr>
          <w:i/>
        </w:rPr>
        <w:t>,</w:t>
      </w:r>
      <w:r w:rsidRPr="00750617">
        <w:t xml:space="preserve"> 3</w:t>
      </w:r>
      <w:r w:rsidRPr="00750617">
        <w:rPr>
          <w:vertAlign w:val="superscript"/>
        </w:rPr>
        <w:t>e</w:t>
      </w:r>
      <w:r w:rsidRPr="00750617">
        <w:t> éd</w:t>
      </w:r>
      <w:r w:rsidRPr="00F22925">
        <w:t>.</w:t>
      </w:r>
      <w:r w:rsidRPr="00750617">
        <w:t>, vol</w:t>
      </w:r>
      <w:r w:rsidRPr="00F22925">
        <w:t>.</w:t>
      </w:r>
      <w:r w:rsidRPr="00750617">
        <w:t xml:space="preserve"> 1 (Oxford, Oxford </w:t>
      </w:r>
      <w:proofErr w:type="spellStart"/>
      <w:r w:rsidRPr="00750617">
        <w:t>University</w:t>
      </w:r>
      <w:proofErr w:type="spellEnd"/>
      <w:r w:rsidRPr="00750617">
        <w:t xml:space="preserve"> </w:t>
      </w:r>
      <w:proofErr w:type="spellStart"/>
      <w:r w:rsidRPr="00750617">
        <w:t>Press</w:t>
      </w:r>
      <w:proofErr w:type="spellEnd"/>
      <w:r w:rsidRPr="00750617">
        <w:t>, 2012), p</w:t>
      </w:r>
      <w:r w:rsidRPr="00F22925">
        <w:t>.</w:t>
      </w:r>
      <w:r w:rsidRPr="00750617">
        <w:t> 1069 à 1085 ; H</w:t>
      </w:r>
      <w:r w:rsidRPr="00F22925">
        <w:t>.</w:t>
      </w:r>
      <w:r w:rsidRPr="00750617">
        <w:t xml:space="preserve"> </w:t>
      </w:r>
      <w:proofErr w:type="spellStart"/>
      <w:r w:rsidRPr="00750617">
        <w:t>Ascensio</w:t>
      </w:r>
      <w:proofErr w:type="spellEnd"/>
      <w:r w:rsidRPr="00750617">
        <w:t>, « Article 33 », dans J</w:t>
      </w:r>
      <w:r w:rsidRPr="00F22925">
        <w:t>.</w:t>
      </w:r>
      <w:r w:rsidRPr="00750617">
        <w:t>-P</w:t>
      </w:r>
      <w:r w:rsidRPr="00F22925">
        <w:t>.</w:t>
      </w:r>
      <w:r w:rsidRPr="00750617">
        <w:t xml:space="preserve"> Cot, A</w:t>
      </w:r>
      <w:r w:rsidRPr="00F22925">
        <w:t>.</w:t>
      </w:r>
      <w:r w:rsidRPr="00750617">
        <w:t xml:space="preserve"> Pellet, M</w:t>
      </w:r>
      <w:r w:rsidRPr="00F22925">
        <w:t>.</w:t>
      </w:r>
      <w:r w:rsidRPr="00750617">
        <w:t xml:space="preserve"> </w:t>
      </w:r>
      <w:proofErr w:type="spellStart"/>
      <w:r w:rsidRPr="00750617">
        <w:t>Forteau</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r w:rsidRPr="00750617">
        <w:rPr>
          <w:i/>
          <w:iCs/>
        </w:rPr>
        <w:t>La Charte des Nations Unies</w:t>
      </w:r>
      <w:r w:rsidRPr="00750617">
        <w:t>, 3</w:t>
      </w:r>
      <w:r w:rsidRPr="00750617">
        <w:rPr>
          <w:vertAlign w:val="superscript"/>
        </w:rPr>
        <w:t>e</w:t>
      </w:r>
      <w:r w:rsidRPr="00750617">
        <w:t xml:space="preserve"> éd</w:t>
      </w:r>
      <w:r w:rsidRPr="00F22925">
        <w:t>.</w:t>
      </w:r>
      <w:r w:rsidRPr="00750617">
        <w:t xml:space="preserve"> (</w:t>
      </w:r>
      <w:proofErr w:type="spellStart"/>
      <w:r w:rsidRPr="00750617">
        <w:t>Economica</w:t>
      </w:r>
      <w:proofErr w:type="spellEnd"/>
      <w:r w:rsidRPr="00750617">
        <w:t>, 2005), p</w:t>
      </w:r>
      <w:r w:rsidRPr="00F22925">
        <w:t>.</w:t>
      </w:r>
      <w:r w:rsidRPr="00750617">
        <w:t xml:space="preserve"> 1047 à 1060</w:t>
      </w:r>
      <w:r w:rsidRPr="00F22925">
        <w:t>.</w:t>
      </w:r>
    </w:p>
  </w:footnote>
  <w:footnote w:id="181">
    <w:p w14:paraId="24E5D8C3" w14:textId="77777777" w:rsidR="00D01ECD" w:rsidRPr="00750617" w:rsidRDefault="00D01ECD" w:rsidP="00D01ECD">
      <w:pPr>
        <w:pStyle w:val="FootnoteText"/>
      </w:pPr>
      <w:r w:rsidRPr="00750617">
        <w:tab/>
      </w:r>
      <w:r w:rsidRPr="00750617">
        <w:rPr>
          <w:rStyle w:val="FootnoteReference"/>
        </w:rPr>
        <w:footnoteRef/>
      </w:r>
      <w:r w:rsidRPr="00750617">
        <w:tab/>
        <w:t>N</w:t>
      </w:r>
      <w:r w:rsidRPr="00F22925">
        <w:t>.</w:t>
      </w:r>
      <w:r w:rsidRPr="00750617">
        <w:t> Klein, « </w:t>
      </w:r>
      <w:proofErr w:type="spellStart"/>
      <w:r w:rsidRPr="00750617">
        <w:t>Settlement</w:t>
      </w:r>
      <w:proofErr w:type="spellEnd"/>
      <w:r w:rsidRPr="00750617">
        <w:t xml:space="preserve"> of international </w:t>
      </w:r>
      <w:proofErr w:type="spellStart"/>
      <w:r w:rsidRPr="00750617">
        <w:t>environmental</w:t>
      </w:r>
      <w:proofErr w:type="spellEnd"/>
      <w:r w:rsidRPr="00750617">
        <w:t xml:space="preserve"> </w:t>
      </w:r>
      <w:proofErr w:type="spellStart"/>
      <w:r w:rsidRPr="00750617">
        <w:t>law</w:t>
      </w:r>
      <w:proofErr w:type="spellEnd"/>
      <w:r w:rsidRPr="00750617">
        <w:t xml:space="preserve"> disputes », dans </w:t>
      </w:r>
      <w:proofErr w:type="spellStart"/>
      <w:r w:rsidRPr="00750617">
        <w:t>Fitzmaurice</w:t>
      </w:r>
      <w:proofErr w:type="spellEnd"/>
      <w:r w:rsidRPr="00750617">
        <w:t xml:space="preserve">, </w:t>
      </w:r>
      <w:proofErr w:type="spellStart"/>
      <w:r w:rsidRPr="00750617">
        <w:t>Ong</w:t>
      </w:r>
      <w:proofErr w:type="spellEnd"/>
      <w:r w:rsidRPr="00750617">
        <w:t xml:space="preserve"> et </w:t>
      </w:r>
      <w:proofErr w:type="spellStart"/>
      <w:r w:rsidRPr="00750617">
        <w:t>Merkouris</w:t>
      </w:r>
      <w:proofErr w:type="spellEnd"/>
      <w:r w:rsidRPr="00750617">
        <w:t xml:space="preserve"> (</w:t>
      </w:r>
      <w:proofErr w:type="spellStart"/>
      <w:r w:rsidRPr="00750617">
        <w:t>dir</w:t>
      </w:r>
      <w:proofErr w:type="spellEnd"/>
      <w:r w:rsidRPr="00F22925">
        <w:t>.</w:t>
      </w:r>
      <w:r w:rsidRPr="00750617">
        <w:t xml:space="preserve"> </w:t>
      </w:r>
      <w:proofErr w:type="spellStart"/>
      <w:r w:rsidRPr="00750617">
        <w:t>publ</w:t>
      </w:r>
      <w:proofErr w:type="spellEnd"/>
      <w:r w:rsidRPr="00F22925">
        <w:t>.</w:t>
      </w:r>
      <w:r w:rsidRPr="00750617">
        <w:t xml:space="preserve">), </w:t>
      </w:r>
      <w:proofErr w:type="spellStart"/>
      <w:r w:rsidRPr="00750617">
        <w:rPr>
          <w:i/>
        </w:rPr>
        <w:t>Research</w:t>
      </w:r>
      <w:proofErr w:type="spellEnd"/>
      <w:r w:rsidRPr="00750617">
        <w:rPr>
          <w:i/>
        </w:rPr>
        <w:t xml:space="preserve"> </w:t>
      </w:r>
      <w:proofErr w:type="spellStart"/>
      <w:r w:rsidRPr="00750617">
        <w:rPr>
          <w:i/>
        </w:rPr>
        <w:t>Handbook</w:t>
      </w:r>
      <w:proofErr w:type="spellEnd"/>
      <w:r w:rsidRPr="00750617">
        <w:rPr>
          <w:i/>
        </w:rPr>
        <w:t xml:space="preserve"> on International </w:t>
      </w:r>
      <w:proofErr w:type="spellStart"/>
      <w:r w:rsidRPr="00750617">
        <w:rPr>
          <w:i/>
        </w:rPr>
        <w:t>Environmental</w:t>
      </w:r>
      <w:proofErr w:type="spellEnd"/>
      <w:r w:rsidRPr="00750617">
        <w:rPr>
          <w:i/>
        </w:rPr>
        <w:t xml:space="preserve"> Law</w:t>
      </w:r>
      <w:r w:rsidRPr="00750617">
        <w:t xml:space="preserve"> (note </w:t>
      </w:r>
      <w:r w:rsidRPr="00750617">
        <w:fldChar w:fldCharType="begin"/>
      </w:r>
      <w:r w:rsidRPr="00750617">
        <w:instrText xml:space="preserve"> NOTEREF _Ref81559757 \h </w:instrText>
      </w:r>
      <w:r>
        <w:instrText xml:space="preserve"> \* MERGEFORMAT </w:instrText>
      </w:r>
      <w:r w:rsidRPr="00750617">
        <w:fldChar w:fldCharType="separate"/>
      </w:r>
      <w:r>
        <w:t>21</w:t>
      </w:r>
      <w:r w:rsidRPr="00750617">
        <w:fldChar w:fldCharType="end"/>
      </w:r>
      <w:r w:rsidRPr="00750617">
        <w:t xml:space="preserve"> </w:t>
      </w:r>
      <w:r w:rsidRPr="00750617">
        <w:rPr>
          <w:i/>
        </w:rPr>
        <w:t>supra</w:t>
      </w:r>
      <w:r w:rsidRPr="00750617">
        <w:t>), p</w:t>
      </w:r>
      <w:r w:rsidRPr="00F22925">
        <w:t>.</w:t>
      </w:r>
      <w:r w:rsidRPr="00750617">
        <w:t> 379 à 400 ; C</w:t>
      </w:r>
      <w:r w:rsidRPr="00F22925">
        <w:t>.</w:t>
      </w:r>
      <w:r w:rsidRPr="00750617">
        <w:t> P</w:t>
      </w:r>
      <w:r w:rsidRPr="00F22925">
        <w:t>.</w:t>
      </w:r>
      <w:r w:rsidRPr="00750617">
        <w:t> R</w:t>
      </w:r>
      <w:r w:rsidRPr="00F22925">
        <w:t>.</w:t>
      </w:r>
      <w:r w:rsidRPr="00750617">
        <w:t xml:space="preserve"> Romano, « International dispute </w:t>
      </w:r>
      <w:proofErr w:type="spellStart"/>
      <w:r w:rsidRPr="00750617">
        <w:t>settlement</w:t>
      </w:r>
      <w:proofErr w:type="spellEnd"/>
      <w:r w:rsidRPr="00750617">
        <w:t xml:space="preserve"> », dans </w:t>
      </w:r>
      <w:proofErr w:type="spellStart"/>
      <w:r w:rsidRPr="00750617">
        <w:t>Bodansky</w:t>
      </w:r>
      <w:proofErr w:type="spellEnd"/>
      <w:r w:rsidRPr="00750617">
        <w:t xml:space="preserve"> </w:t>
      </w:r>
      <w:r w:rsidRPr="00750617">
        <w:rPr>
          <w:i/>
        </w:rPr>
        <w:t>et al</w:t>
      </w:r>
      <w:r w:rsidRPr="00F22925">
        <w:rPr>
          <w:i/>
        </w:rPr>
        <w:t>.</w:t>
      </w:r>
      <w:r w:rsidRPr="00750617">
        <w:rPr>
          <w:i/>
        </w:rPr>
        <w:t>,</w:t>
      </w:r>
      <w:r w:rsidRPr="00750617">
        <w:t xml:space="preserve"> </w:t>
      </w:r>
      <w:r w:rsidRPr="00750617">
        <w:rPr>
          <w:i/>
        </w:rPr>
        <w:t>The Oxford</w:t>
      </w:r>
      <w:r w:rsidRPr="00750617">
        <w:t xml:space="preserve"> </w:t>
      </w:r>
      <w:proofErr w:type="spellStart"/>
      <w:r w:rsidRPr="00750617">
        <w:rPr>
          <w:i/>
        </w:rPr>
        <w:t>Handbook</w:t>
      </w:r>
      <w:proofErr w:type="spellEnd"/>
      <w:r w:rsidRPr="00750617">
        <w:rPr>
          <w:i/>
        </w:rPr>
        <w:t xml:space="preserve"> of International </w:t>
      </w:r>
      <w:proofErr w:type="spellStart"/>
      <w:r w:rsidRPr="00750617">
        <w:rPr>
          <w:i/>
        </w:rPr>
        <w:t>Environmental</w:t>
      </w:r>
      <w:proofErr w:type="spellEnd"/>
      <w:r w:rsidRPr="00750617">
        <w:rPr>
          <w:i/>
        </w:rPr>
        <w:t xml:space="preserve"> Law</w:t>
      </w:r>
      <w:r w:rsidRPr="00750617">
        <w:t xml:space="preserve"> (note </w:t>
      </w:r>
      <w:r w:rsidRPr="00750617">
        <w:fldChar w:fldCharType="begin"/>
      </w:r>
      <w:r w:rsidRPr="00750617">
        <w:instrText xml:space="preserve"> NOTEREF _Ref81559757 \h </w:instrText>
      </w:r>
      <w:r>
        <w:instrText xml:space="preserve"> \* MERGEFORMAT </w:instrText>
      </w:r>
      <w:r w:rsidRPr="00750617">
        <w:fldChar w:fldCharType="separate"/>
      </w:r>
      <w:r>
        <w:t>21</w:t>
      </w:r>
      <w:r w:rsidRPr="00750617">
        <w:fldChar w:fldCharType="end"/>
      </w:r>
      <w:r w:rsidRPr="00750617">
        <w:t xml:space="preserve"> </w:t>
      </w:r>
      <w:r w:rsidRPr="00750617">
        <w:rPr>
          <w:i/>
        </w:rPr>
        <w:t>supra</w:t>
      </w:r>
      <w:r w:rsidRPr="00750617">
        <w:t>), p</w:t>
      </w:r>
      <w:r w:rsidRPr="00F22925">
        <w:t>.</w:t>
      </w:r>
      <w:r w:rsidRPr="00750617">
        <w:t> 1037 à 1056</w:t>
      </w:r>
      <w:r w:rsidRPr="00F22925">
        <w:t>.</w:t>
      </w:r>
    </w:p>
  </w:footnote>
  <w:footnote w:id="182">
    <w:p w14:paraId="20B96990" w14:textId="77777777" w:rsidR="00D01ECD" w:rsidRPr="000D3559" w:rsidRDefault="00D01ECD" w:rsidP="00D01ECD">
      <w:pPr>
        <w:pStyle w:val="FootnoteText"/>
        <w:rPr>
          <w:lang w:val="en-US"/>
        </w:rPr>
      </w:pPr>
      <w:r w:rsidRPr="00750617">
        <w:tab/>
      </w:r>
      <w:r w:rsidRPr="00750617">
        <w:rPr>
          <w:rStyle w:val="FootnoteReference"/>
        </w:rPr>
        <w:footnoteRef/>
      </w:r>
      <w:r w:rsidRPr="000D3559">
        <w:rPr>
          <w:lang w:val="en-US"/>
        </w:rPr>
        <w:tab/>
      </w:r>
      <w:proofErr w:type="spellStart"/>
      <w:r w:rsidRPr="000D3559">
        <w:rPr>
          <w:lang w:val="en-US"/>
        </w:rPr>
        <w:t>Voir</w:t>
      </w:r>
      <w:proofErr w:type="spellEnd"/>
      <w:r w:rsidRPr="000D3559">
        <w:rPr>
          <w:lang w:val="en-US"/>
        </w:rPr>
        <w:t xml:space="preserve"> S. </w:t>
      </w:r>
      <w:proofErr w:type="spellStart"/>
      <w:r w:rsidRPr="000D3559">
        <w:rPr>
          <w:lang w:val="en-US"/>
        </w:rPr>
        <w:t>Murase</w:t>
      </w:r>
      <w:proofErr w:type="spellEnd"/>
      <w:r w:rsidRPr="000D3559">
        <w:rPr>
          <w:lang w:val="en-US"/>
        </w:rPr>
        <w:t xml:space="preserve">, « Scientific knowledge and the progressive development of international </w:t>
      </w:r>
      <w:proofErr w:type="gramStart"/>
      <w:r w:rsidRPr="000D3559">
        <w:rPr>
          <w:lang w:val="en-US"/>
        </w:rPr>
        <w:t>law :</w:t>
      </w:r>
      <w:proofErr w:type="gramEnd"/>
      <w:r w:rsidRPr="000D3559">
        <w:rPr>
          <w:lang w:val="en-US"/>
        </w:rPr>
        <w:t xml:space="preserve"> with reference to the ILC topic on the protection of the atmosphere », dans J. Crawford </w:t>
      </w:r>
      <w:r w:rsidRPr="000D3559">
        <w:rPr>
          <w:i/>
          <w:lang w:val="en-US"/>
        </w:rPr>
        <w:t>et al.</w:t>
      </w:r>
      <w:r w:rsidRPr="000D3559">
        <w:rPr>
          <w:lang w:val="en-US"/>
        </w:rPr>
        <w:t xml:space="preserve"> (dir. publ.), </w:t>
      </w:r>
      <w:r w:rsidRPr="000D3559">
        <w:rPr>
          <w:i/>
          <w:lang w:val="en-US"/>
        </w:rPr>
        <w:t xml:space="preserve">The International Legal Order : Current Needs and Possible Responses : Essays in </w:t>
      </w:r>
      <w:proofErr w:type="spellStart"/>
      <w:r w:rsidRPr="000D3559">
        <w:rPr>
          <w:i/>
          <w:lang w:val="en-US"/>
        </w:rPr>
        <w:t>Honour</w:t>
      </w:r>
      <w:proofErr w:type="spellEnd"/>
      <w:r w:rsidRPr="000D3559">
        <w:rPr>
          <w:i/>
          <w:lang w:val="en-US"/>
        </w:rPr>
        <w:t xml:space="preserve"> of </w:t>
      </w:r>
      <w:proofErr w:type="spellStart"/>
      <w:r w:rsidRPr="000D3559">
        <w:rPr>
          <w:i/>
          <w:lang w:val="en-US"/>
        </w:rPr>
        <w:t>Djamchid</w:t>
      </w:r>
      <w:proofErr w:type="spellEnd"/>
      <w:r w:rsidRPr="000D3559">
        <w:rPr>
          <w:i/>
          <w:lang w:val="en-US"/>
        </w:rPr>
        <w:t xml:space="preserve"> </w:t>
      </w:r>
      <w:proofErr w:type="spellStart"/>
      <w:r w:rsidRPr="000D3559">
        <w:rPr>
          <w:i/>
          <w:lang w:val="en-US"/>
        </w:rPr>
        <w:t>Momtaz</w:t>
      </w:r>
      <w:proofErr w:type="spellEnd"/>
      <w:r w:rsidRPr="000D3559">
        <w:rPr>
          <w:lang w:val="en-US"/>
        </w:rPr>
        <w:t xml:space="preserve"> (</w:t>
      </w:r>
      <w:proofErr w:type="spellStart"/>
      <w:r w:rsidRPr="000D3559">
        <w:rPr>
          <w:lang w:val="en-US"/>
        </w:rPr>
        <w:t>Leyde</w:t>
      </w:r>
      <w:proofErr w:type="spellEnd"/>
      <w:r w:rsidRPr="000D3559">
        <w:rPr>
          <w:lang w:val="en-US"/>
        </w:rPr>
        <w:t xml:space="preserve">, Brill </w:t>
      </w:r>
      <w:proofErr w:type="spellStart"/>
      <w:r w:rsidRPr="000D3559">
        <w:rPr>
          <w:lang w:val="en-US"/>
        </w:rPr>
        <w:t>Nijhoff</w:t>
      </w:r>
      <w:proofErr w:type="spellEnd"/>
      <w:r w:rsidRPr="000D3559">
        <w:rPr>
          <w:lang w:val="en-US"/>
        </w:rPr>
        <w:t>, 2017), p. 41 à 52.</w:t>
      </w:r>
    </w:p>
  </w:footnote>
  <w:footnote w:id="183">
    <w:p w14:paraId="0413800C"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750617">
        <w:tab/>
        <w:t xml:space="preserve">Voir le discours prononcé le 28 octobre 2016 par le Président de la Cour internationale de Justice, Ronny Abraham, devant la Sixième Commission (sur les affaires relatives au droit international de l’environnement devant la Cour) (disponible à l’adresse suivante : </w:t>
      </w:r>
      <w:hyperlink r:id="rId57" w:history="1">
        <w:r w:rsidRPr="00750617">
          <w:rPr>
            <w:rStyle w:val="Hyperlink"/>
          </w:rPr>
          <w:t>www</w:t>
        </w:r>
        <w:r w:rsidRPr="00F22925">
          <w:rPr>
            <w:rStyle w:val="Hyperlink"/>
          </w:rPr>
          <w:t>.</w:t>
        </w:r>
        <w:r w:rsidRPr="00750617">
          <w:rPr>
            <w:rStyle w:val="Hyperlink"/>
          </w:rPr>
          <w:t>icj-cij</w:t>
        </w:r>
        <w:r w:rsidRPr="00F22925">
          <w:rPr>
            <w:rStyle w:val="Hyperlink"/>
          </w:rPr>
          <w:t>.</w:t>
        </w:r>
        <w:r w:rsidRPr="00750617">
          <w:rPr>
            <w:rStyle w:val="Hyperlink"/>
          </w:rPr>
          <w:t>org/en/statements-by-the-president</w:t>
        </w:r>
      </w:hyperlink>
      <w:r w:rsidRPr="00750617">
        <w:t xml:space="preserve">) ; et celui prononcé par le Président </w:t>
      </w:r>
      <w:proofErr w:type="spellStart"/>
      <w:r w:rsidRPr="00750617">
        <w:t>Tomka</w:t>
      </w:r>
      <w:proofErr w:type="spellEnd"/>
      <w:r w:rsidRPr="00750617">
        <w:t xml:space="preserve">, « The ICJ in the service of </w:t>
      </w:r>
      <w:proofErr w:type="spellStart"/>
      <w:r w:rsidRPr="00750617">
        <w:t>peace</w:t>
      </w:r>
      <w:proofErr w:type="spellEnd"/>
      <w:r w:rsidRPr="00750617">
        <w:t xml:space="preserve"> and justice − </w:t>
      </w:r>
      <w:proofErr w:type="spellStart"/>
      <w:r w:rsidRPr="00750617">
        <w:t>words</w:t>
      </w:r>
      <w:proofErr w:type="spellEnd"/>
      <w:r w:rsidRPr="00750617">
        <w:t xml:space="preserve"> of </w:t>
      </w:r>
      <w:proofErr w:type="spellStart"/>
      <w:r w:rsidRPr="00750617">
        <w:t>welcome</w:t>
      </w:r>
      <w:proofErr w:type="spellEnd"/>
      <w:r w:rsidRPr="00750617">
        <w:t xml:space="preserve"> by </w:t>
      </w:r>
      <w:proofErr w:type="spellStart"/>
      <w:r w:rsidRPr="00750617">
        <w:t>President</w:t>
      </w:r>
      <w:proofErr w:type="spellEnd"/>
      <w:r w:rsidRPr="00750617">
        <w:t xml:space="preserve"> </w:t>
      </w:r>
      <w:proofErr w:type="spellStart"/>
      <w:r w:rsidRPr="00750617">
        <w:t>Tomka</w:t>
      </w:r>
      <w:proofErr w:type="spellEnd"/>
      <w:r w:rsidRPr="00750617">
        <w:t xml:space="preserve"> », le 27 septembre 2013 (disponible à l’adresse suivante : </w:t>
      </w:r>
      <w:hyperlink r:id="rId58" w:history="1">
        <w:r w:rsidRPr="00750617">
          <w:rPr>
            <w:rStyle w:val="Hyperlink"/>
          </w:rPr>
          <w:t>https://www</w:t>
        </w:r>
        <w:r w:rsidRPr="00F22925">
          <w:rPr>
            <w:rStyle w:val="Hyperlink"/>
          </w:rPr>
          <w:t>.</w:t>
        </w:r>
        <w:r w:rsidRPr="00750617">
          <w:rPr>
            <w:rStyle w:val="Hyperlink"/>
          </w:rPr>
          <w:t>icj-cij</w:t>
        </w:r>
        <w:r w:rsidRPr="00F22925">
          <w:rPr>
            <w:rStyle w:val="Hyperlink"/>
          </w:rPr>
          <w:t>.</w:t>
        </w:r>
        <w:r w:rsidRPr="00750617">
          <w:rPr>
            <w:rStyle w:val="Hyperlink"/>
          </w:rPr>
          <w:t>org/en/statements-by-the-president</w:t>
        </w:r>
      </w:hyperlink>
      <w:r w:rsidRPr="00750617">
        <w:t>)</w:t>
      </w:r>
      <w:r w:rsidRPr="00F22925">
        <w:t>.</w:t>
      </w:r>
      <w:r w:rsidRPr="00750617">
        <w:t xml:space="preserve"> </w:t>
      </w:r>
      <w:proofErr w:type="spellStart"/>
      <w:r w:rsidRPr="000D3559">
        <w:rPr>
          <w:lang w:val="en-US"/>
        </w:rPr>
        <w:t>Voir</w:t>
      </w:r>
      <w:proofErr w:type="spellEnd"/>
      <w:r w:rsidRPr="000D3559">
        <w:rPr>
          <w:lang w:val="en-US"/>
        </w:rPr>
        <w:t xml:space="preserve"> </w:t>
      </w:r>
      <w:proofErr w:type="spellStart"/>
      <w:r w:rsidRPr="000D3559">
        <w:rPr>
          <w:lang w:val="en-US"/>
        </w:rPr>
        <w:t>aussi</w:t>
      </w:r>
      <w:proofErr w:type="spellEnd"/>
      <w:r w:rsidRPr="000D3559">
        <w:rPr>
          <w:lang w:val="en-US"/>
        </w:rPr>
        <w:t xml:space="preserve"> E. Valencia-Ospina, « Evidence before the International Court of Justice », </w:t>
      </w:r>
      <w:r w:rsidRPr="000D3559">
        <w:rPr>
          <w:i/>
          <w:lang w:val="en-US"/>
        </w:rPr>
        <w:t>International Law, Forum du droit international</w:t>
      </w:r>
      <w:r w:rsidRPr="000D3559">
        <w:rPr>
          <w:lang w:val="en-US"/>
        </w:rPr>
        <w:t xml:space="preserve">, vol. 1 (1999), p. 202 à 207 ; A. Riddell, « Scientific evidence in the International Court of Justice − problems and possibilities », </w:t>
      </w:r>
      <w:r w:rsidRPr="000D3559">
        <w:rPr>
          <w:i/>
          <w:lang w:val="en-US"/>
        </w:rPr>
        <w:t>Finnish Yearbook of International Law</w:t>
      </w:r>
      <w:r w:rsidRPr="000D3559">
        <w:rPr>
          <w:lang w:val="en-US"/>
        </w:rPr>
        <w:t>, vol. 20 (2009), p. 229 à 258 ; B. </w:t>
      </w:r>
      <w:proofErr w:type="spellStart"/>
      <w:r w:rsidRPr="000D3559">
        <w:rPr>
          <w:lang w:val="en-US"/>
        </w:rPr>
        <w:t>Simma</w:t>
      </w:r>
      <w:proofErr w:type="spellEnd"/>
      <w:r w:rsidRPr="000D3559">
        <w:rPr>
          <w:lang w:val="en-US"/>
        </w:rPr>
        <w:t xml:space="preserve">, « The International Court of Justice and scientific expertise », </w:t>
      </w:r>
      <w:r w:rsidRPr="000D3559">
        <w:rPr>
          <w:i/>
          <w:lang w:val="en-US"/>
        </w:rPr>
        <w:t>American Society of International Law Proceedings</w:t>
      </w:r>
      <w:r w:rsidRPr="000D3559">
        <w:rPr>
          <w:iCs/>
          <w:lang w:val="en-US"/>
        </w:rPr>
        <w:t xml:space="preserve">, vol. 106 </w:t>
      </w:r>
      <w:r w:rsidRPr="000D3559">
        <w:rPr>
          <w:lang w:val="en-US"/>
        </w:rPr>
        <w:t xml:space="preserve">(2012), p. 230 à 233 ; A. Riddell et B. Plant, </w:t>
      </w:r>
      <w:r w:rsidRPr="000D3559">
        <w:rPr>
          <w:i/>
          <w:iCs/>
          <w:lang w:val="en-US"/>
        </w:rPr>
        <w:t>Evidence Before the International Court of Justice</w:t>
      </w:r>
      <w:r w:rsidRPr="000D3559">
        <w:rPr>
          <w:lang w:val="en-US"/>
        </w:rPr>
        <w:t xml:space="preserve"> (</w:t>
      </w:r>
      <w:proofErr w:type="spellStart"/>
      <w:r w:rsidRPr="000D3559">
        <w:rPr>
          <w:lang w:val="en-US"/>
        </w:rPr>
        <w:t>Londres</w:t>
      </w:r>
      <w:proofErr w:type="spellEnd"/>
      <w:r w:rsidRPr="000D3559">
        <w:rPr>
          <w:lang w:val="en-US"/>
        </w:rPr>
        <w:t xml:space="preserve">, British Institute of International and Comparative Law, 2009), chap. 9 ; G. </w:t>
      </w:r>
      <w:proofErr w:type="spellStart"/>
      <w:r w:rsidRPr="000D3559">
        <w:rPr>
          <w:lang w:val="en-US"/>
        </w:rPr>
        <w:t>Niyungeko</w:t>
      </w:r>
      <w:proofErr w:type="spellEnd"/>
      <w:r w:rsidRPr="000D3559">
        <w:rPr>
          <w:lang w:val="en-US"/>
        </w:rPr>
        <w:t xml:space="preserve">, La </w:t>
      </w:r>
      <w:proofErr w:type="spellStart"/>
      <w:r w:rsidRPr="000D3559">
        <w:rPr>
          <w:lang w:val="en-US"/>
        </w:rPr>
        <w:t>preuve</w:t>
      </w:r>
      <w:proofErr w:type="spellEnd"/>
      <w:r w:rsidRPr="000D3559">
        <w:rPr>
          <w:lang w:val="en-US"/>
        </w:rPr>
        <w:t xml:space="preserve"> </w:t>
      </w:r>
      <w:proofErr w:type="spellStart"/>
      <w:r w:rsidRPr="000D3559">
        <w:rPr>
          <w:lang w:val="en-US"/>
        </w:rPr>
        <w:t>devant</w:t>
      </w:r>
      <w:proofErr w:type="spellEnd"/>
      <w:r w:rsidRPr="000D3559">
        <w:rPr>
          <w:lang w:val="en-US"/>
        </w:rPr>
        <w:t xml:space="preserve"> les </w:t>
      </w:r>
      <w:proofErr w:type="spellStart"/>
      <w:r w:rsidRPr="000D3559">
        <w:rPr>
          <w:lang w:val="en-US"/>
        </w:rPr>
        <w:t>juridictions</w:t>
      </w:r>
      <w:proofErr w:type="spellEnd"/>
      <w:r w:rsidRPr="000D3559">
        <w:rPr>
          <w:lang w:val="en-US"/>
        </w:rPr>
        <w:t xml:space="preserve"> </w:t>
      </w:r>
      <w:proofErr w:type="spellStart"/>
      <w:r w:rsidRPr="000D3559">
        <w:rPr>
          <w:lang w:val="en-US"/>
        </w:rPr>
        <w:t>internationales</w:t>
      </w:r>
      <w:proofErr w:type="spellEnd"/>
      <w:r w:rsidRPr="000D3559">
        <w:rPr>
          <w:lang w:val="en-US"/>
        </w:rPr>
        <w:t xml:space="preserve"> (</w:t>
      </w:r>
      <w:proofErr w:type="spellStart"/>
      <w:r w:rsidRPr="000D3559">
        <w:rPr>
          <w:lang w:val="en-US"/>
        </w:rPr>
        <w:t>Bruxelles</w:t>
      </w:r>
      <w:proofErr w:type="spellEnd"/>
      <w:r w:rsidRPr="000D3559">
        <w:rPr>
          <w:lang w:val="en-US"/>
        </w:rPr>
        <w:t xml:space="preserve">, </w:t>
      </w:r>
      <w:proofErr w:type="spellStart"/>
      <w:r w:rsidRPr="000D3559">
        <w:rPr>
          <w:lang w:val="en-US"/>
        </w:rPr>
        <w:t>Bruylant</w:t>
      </w:r>
      <w:proofErr w:type="spellEnd"/>
      <w:r w:rsidRPr="000D3559">
        <w:rPr>
          <w:lang w:val="en-US"/>
        </w:rPr>
        <w:t>, 2005).</w:t>
      </w:r>
    </w:p>
  </w:footnote>
  <w:footnote w:id="184">
    <w:p w14:paraId="7B2411D1" w14:textId="77777777" w:rsidR="00D01ECD" w:rsidRPr="000D3559" w:rsidRDefault="00D01ECD" w:rsidP="00D01ECD">
      <w:pPr>
        <w:pStyle w:val="FootnoteText"/>
        <w:rPr>
          <w:iCs/>
          <w:lang w:val="en-US"/>
        </w:rPr>
      </w:pPr>
      <w:r w:rsidRPr="000D3559">
        <w:rPr>
          <w:lang w:val="en-US"/>
        </w:rPr>
        <w:tab/>
      </w:r>
      <w:r w:rsidRPr="00750617">
        <w:rPr>
          <w:rStyle w:val="FootnoteReference"/>
        </w:rPr>
        <w:footnoteRef/>
      </w:r>
      <w:r w:rsidRPr="00750617">
        <w:tab/>
        <w:t xml:space="preserve">Dans l’affaire du </w:t>
      </w:r>
      <w:r w:rsidRPr="00750617">
        <w:rPr>
          <w:i/>
        </w:rPr>
        <w:t xml:space="preserve">Projet </w:t>
      </w:r>
      <w:proofErr w:type="spellStart"/>
      <w:r w:rsidRPr="00750617">
        <w:rPr>
          <w:i/>
        </w:rPr>
        <w:t>Gabčíkovo-Nagymaros</w:t>
      </w:r>
      <w:proofErr w:type="spellEnd"/>
      <w:r w:rsidRPr="00750617">
        <w:rPr>
          <w:i/>
        </w:rPr>
        <w:t xml:space="preserve"> </w:t>
      </w:r>
      <w:r w:rsidRPr="00750617">
        <w:t xml:space="preserve">(1997) (voir </w:t>
      </w:r>
      <w:r w:rsidRPr="00750617">
        <w:rPr>
          <w:i/>
          <w:iCs/>
        </w:rPr>
        <w:t>supra</w:t>
      </w:r>
      <w:r w:rsidRPr="00750617">
        <w:t xml:space="preserve"> la note </w:t>
      </w:r>
      <w:r w:rsidRPr="00750617">
        <w:fldChar w:fldCharType="begin"/>
      </w:r>
      <w:r w:rsidRPr="00750617">
        <w:instrText xml:space="preserve"> NOTEREF _Ref456787330 \h </w:instrText>
      </w:r>
      <w:r>
        <w:instrText xml:space="preserve"> \* MERGEFORMAT </w:instrText>
      </w:r>
      <w:r w:rsidRPr="00750617">
        <w:fldChar w:fldCharType="separate"/>
      </w:r>
      <w:r>
        <w:t>84</w:t>
      </w:r>
      <w:r w:rsidRPr="00750617">
        <w:fldChar w:fldCharType="end"/>
      </w:r>
      <w:r w:rsidRPr="00750617">
        <w:t>)</w:t>
      </w:r>
      <w:r w:rsidRPr="00750617">
        <w:rPr>
          <w:i/>
        </w:rPr>
        <w:t xml:space="preserve"> </w:t>
      </w:r>
      <w:r w:rsidRPr="00750617">
        <w:t xml:space="preserve">et celle des </w:t>
      </w:r>
      <w:r w:rsidRPr="00750617">
        <w:rPr>
          <w:i/>
        </w:rPr>
        <w:t>Usines de pâte à papier</w:t>
      </w:r>
      <w:r w:rsidRPr="00750617">
        <w:t xml:space="preserve"> (2010) (voir </w:t>
      </w:r>
      <w:r w:rsidRPr="00750617">
        <w:rPr>
          <w:i/>
          <w:iCs/>
        </w:rPr>
        <w:t>supra</w:t>
      </w:r>
      <w:r w:rsidRPr="00750617">
        <w:t xml:space="preserve"> la note </w:t>
      </w:r>
      <w:r w:rsidRPr="00750617">
        <w:fldChar w:fldCharType="begin"/>
      </w:r>
      <w:r w:rsidRPr="00750617">
        <w:instrText xml:space="preserve"> NOTEREF _Ref456789244 \h </w:instrText>
      </w:r>
      <w:r>
        <w:instrText xml:space="preserve"> \* MERGEFORMAT </w:instrText>
      </w:r>
      <w:r w:rsidRPr="00750617">
        <w:fldChar w:fldCharType="separate"/>
      </w:r>
      <w:r>
        <w:t>79</w:t>
      </w:r>
      <w:r w:rsidRPr="00750617">
        <w:fldChar w:fldCharType="end"/>
      </w:r>
      <w:r w:rsidRPr="00750617">
        <w:t>), les parties ont suivi la méthode habituelle de présentation des éléments de preuve et eu recours à des conseils-experts</w:t>
      </w:r>
      <w:r w:rsidRPr="00F22925">
        <w:t>.</w:t>
      </w:r>
      <w:r w:rsidRPr="00750617">
        <w:t xml:space="preserve"> Toutefois, ceux-ci étaient des scientifiques et non des avocats</w:t>
      </w:r>
      <w:r w:rsidRPr="00F22925">
        <w:t>.</w:t>
      </w:r>
      <w:r w:rsidRPr="00750617">
        <w:t xml:space="preserve"> </w:t>
      </w:r>
      <w:proofErr w:type="gramStart"/>
      <w:r w:rsidRPr="00750617">
        <w:t>Leur expertises</w:t>
      </w:r>
      <w:proofErr w:type="gramEnd"/>
      <w:r w:rsidRPr="00750617">
        <w:t xml:space="preserve"> ont été versées au dossier, ce qui a soulevé la critique de certains juges (</w:t>
      </w:r>
      <w:r w:rsidRPr="00750617">
        <w:rPr>
          <w:i/>
          <w:iCs/>
        </w:rPr>
        <w:t>Usines de pâte à papier sur le fleuve Uruguay</w:t>
      </w:r>
      <w:r w:rsidRPr="00750617">
        <w:t>, arrêt, opinion individuelle de M. le juge Greenwood, par</w:t>
      </w:r>
      <w:r w:rsidRPr="00F22925">
        <w:t>.</w:t>
      </w:r>
      <w:r w:rsidRPr="00750617">
        <w:t xml:space="preserve"> 27 et 28, et opinion dissidente commune de MM</w:t>
      </w:r>
      <w:r w:rsidRPr="00F22925">
        <w:t>.</w:t>
      </w:r>
      <w:r w:rsidRPr="00750617">
        <w:t xml:space="preserve"> les juges Al-</w:t>
      </w:r>
      <w:proofErr w:type="spellStart"/>
      <w:r w:rsidRPr="00750617">
        <w:t>Khasawneh</w:t>
      </w:r>
      <w:proofErr w:type="spellEnd"/>
      <w:r w:rsidRPr="00750617">
        <w:t xml:space="preserve"> et </w:t>
      </w:r>
      <w:proofErr w:type="spellStart"/>
      <w:r w:rsidRPr="00750617">
        <w:t>Simma</w:t>
      </w:r>
      <w:proofErr w:type="spellEnd"/>
      <w:r w:rsidRPr="00750617">
        <w:t>, par</w:t>
      </w:r>
      <w:r w:rsidRPr="00F22925">
        <w:t>.</w:t>
      </w:r>
      <w:r w:rsidRPr="00750617">
        <w:t xml:space="preserve"> 6) et commentateurs</w:t>
      </w:r>
      <w:r w:rsidRPr="00F22925">
        <w:t>.</w:t>
      </w:r>
      <w:r w:rsidRPr="00750617">
        <w:t xml:space="preserve"> Dans l’affaire des </w:t>
      </w:r>
      <w:r w:rsidRPr="00750617">
        <w:rPr>
          <w:i/>
        </w:rPr>
        <w:t xml:space="preserve">Épandages aériens d’herbicides </w:t>
      </w:r>
      <w:r w:rsidRPr="00750617">
        <w:t>(retirée du rôle en 2013) (</w:t>
      </w:r>
      <w:r w:rsidRPr="00750617">
        <w:rPr>
          <w:i/>
        </w:rPr>
        <w:t>Épandages aériens d’herbicides (Équateur c</w:t>
      </w:r>
      <w:r w:rsidRPr="00F22925">
        <w:rPr>
          <w:i/>
        </w:rPr>
        <w:t>.</w:t>
      </w:r>
      <w:r w:rsidRPr="00750617">
        <w:rPr>
          <w:i/>
        </w:rPr>
        <w:t> Colombie), ordonnance du 13 septembre 2013, C</w:t>
      </w:r>
      <w:r w:rsidRPr="00F22925">
        <w:rPr>
          <w:i/>
        </w:rPr>
        <w:t>.</w:t>
      </w:r>
      <w:r w:rsidRPr="00750617">
        <w:rPr>
          <w:i/>
        </w:rPr>
        <w:t>I</w:t>
      </w:r>
      <w:r w:rsidRPr="00F22925">
        <w:rPr>
          <w:i/>
        </w:rPr>
        <w:t>.</w:t>
      </w:r>
      <w:r w:rsidRPr="00750617">
        <w:rPr>
          <w:i/>
        </w:rPr>
        <w:t>J</w:t>
      </w:r>
      <w:r w:rsidRPr="00F22925">
        <w:rPr>
          <w:i/>
        </w:rPr>
        <w:t>.</w:t>
      </w:r>
      <w:r w:rsidRPr="00750617">
        <w:rPr>
          <w:i/>
        </w:rPr>
        <w:t xml:space="preserve"> Recueil 2013</w:t>
      </w:r>
      <w:r w:rsidRPr="00750617">
        <w:t>, p</w:t>
      </w:r>
      <w:r w:rsidRPr="00F22925">
        <w:t>.</w:t>
      </w:r>
      <w:r w:rsidRPr="00750617">
        <w:t xml:space="preserve"> 278), celle de la </w:t>
      </w:r>
      <w:r w:rsidRPr="00750617">
        <w:rPr>
          <w:i/>
        </w:rPr>
        <w:t xml:space="preserve">Chasse à la baleine dans l’Antarctique </w:t>
      </w:r>
      <w:r w:rsidRPr="00750617">
        <w:t>(2014) (</w:t>
      </w:r>
      <w:r w:rsidRPr="00750617">
        <w:rPr>
          <w:i/>
        </w:rPr>
        <w:t>Chasse à la baleine dans l’Antarctique (Australie c</w:t>
      </w:r>
      <w:r w:rsidRPr="00F22925">
        <w:rPr>
          <w:i/>
        </w:rPr>
        <w:t>.</w:t>
      </w:r>
      <w:r w:rsidRPr="00750617">
        <w:rPr>
          <w:i/>
        </w:rPr>
        <w:t> Japon ; New Zélande (intervenant)), arrêt, C</w:t>
      </w:r>
      <w:r w:rsidRPr="00F22925">
        <w:rPr>
          <w:i/>
        </w:rPr>
        <w:t>.</w:t>
      </w:r>
      <w:r w:rsidRPr="00750617">
        <w:rPr>
          <w:i/>
        </w:rPr>
        <w:t>I</w:t>
      </w:r>
      <w:r w:rsidRPr="00F22925">
        <w:rPr>
          <w:i/>
        </w:rPr>
        <w:t>.</w:t>
      </w:r>
      <w:r w:rsidRPr="00750617">
        <w:rPr>
          <w:i/>
        </w:rPr>
        <w:t>J</w:t>
      </w:r>
      <w:r w:rsidRPr="00F22925">
        <w:rPr>
          <w:i/>
        </w:rPr>
        <w:t>.</w:t>
      </w:r>
      <w:r w:rsidRPr="00750617">
        <w:rPr>
          <w:i/>
        </w:rPr>
        <w:t xml:space="preserve"> Recueil 2014</w:t>
      </w:r>
      <w:r w:rsidRPr="00750617">
        <w:t>, p</w:t>
      </w:r>
      <w:r w:rsidRPr="00F22925">
        <w:t>.</w:t>
      </w:r>
      <w:r w:rsidRPr="00750617">
        <w:t> 226)</w:t>
      </w:r>
      <w:r w:rsidRPr="00750617">
        <w:rPr>
          <w:i/>
        </w:rPr>
        <w:t xml:space="preserve"> </w:t>
      </w:r>
      <w:r w:rsidRPr="00750617">
        <w:t xml:space="preserve">et celle de la </w:t>
      </w:r>
      <w:r w:rsidRPr="00750617">
        <w:rPr>
          <w:i/>
        </w:rPr>
        <w:t xml:space="preserve">Construction d’une route </w:t>
      </w:r>
      <w:r w:rsidRPr="00750617">
        <w:t xml:space="preserve">(2015) (voir </w:t>
      </w:r>
      <w:r w:rsidRPr="00750617">
        <w:rPr>
          <w:i/>
          <w:iCs/>
        </w:rPr>
        <w:t>supra</w:t>
      </w:r>
      <w:r w:rsidRPr="00750617">
        <w:t xml:space="preserve"> la note </w:t>
      </w:r>
      <w:r w:rsidRPr="00750617">
        <w:fldChar w:fldCharType="begin"/>
      </w:r>
      <w:r w:rsidRPr="00750617">
        <w:instrText xml:space="preserve"> NOTEREF _Ref81552631 \h </w:instrText>
      </w:r>
      <w:r>
        <w:instrText xml:space="preserve"> \* MERGEFORMAT </w:instrText>
      </w:r>
      <w:r w:rsidRPr="00750617">
        <w:fldChar w:fldCharType="separate"/>
      </w:r>
      <w:r>
        <w:t>58</w:t>
      </w:r>
      <w:r w:rsidRPr="00750617">
        <w:fldChar w:fldCharType="end"/>
      </w:r>
      <w:r w:rsidRPr="00750617">
        <w:t>), les parties ont désigné des experts indépendants qui, dans les deux derniers cas, ont été contre-interrogés, ce qui a donné à leur déposition davantage de poids que s’ils étaient intervenus en qualité de conseils-experts</w:t>
      </w:r>
      <w:r w:rsidRPr="00F22925">
        <w:t>.</w:t>
      </w:r>
      <w:r w:rsidRPr="00750617">
        <w:t xml:space="preserve"> Dans aucune de ces affaires, la Cour n’a désigné ses propres experts, comme elle aurait pu le faire conformément à l’article 50 de son statut</w:t>
      </w:r>
      <w:r w:rsidRPr="00F22925">
        <w:t>.</w:t>
      </w:r>
      <w:r w:rsidRPr="00750617">
        <w:t xml:space="preserve"> Ce n’est que dans l’affaire de la </w:t>
      </w:r>
      <w:r w:rsidRPr="00750617">
        <w:rPr>
          <w:i/>
        </w:rPr>
        <w:t>Délimitation</w:t>
      </w:r>
      <w:r w:rsidRPr="00750617">
        <w:t xml:space="preserve"> </w:t>
      </w:r>
      <w:r w:rsidRPr="00750617">
        <w:rPr>
          <w:i/>
        </w:rPr>
        <w:t>maritime</w:t>
      </w:r>
      <w:r w:rsidRPr="00750617">
        <w:t>, qui ne concerne toutefois pas en soi le droit de l’environnement, qu’elle a eu recours à cette pratique (</w:t>
      </w:r>
      <w:r w:rsidRPr="00750617">
        <w:rPr>
          <w:i/>
        </w:rPr>
        <w:t>Délimitation maritime dans la mer des Caraïbes et l’océan Pacifique (Costa Rica c</w:t>
      </w:r>
      <w:r w:rsidRPr="00F22925">
        <w:rPr>
          <w:i/>
        </w:rPr>
        <w:t>.</w:t>
      </w:r>
      <w:r w:rsidRPr="00750617">
        <w:rPr>
          <w:i/>
        </w:rPr>
        <w:t xml:space="preserve"> Nicaragua) </w:t>
      </w:r>
      <w:r w:rsidRPr="00750617">
        <w:rPr>
          <w:iCs/>
        </w:rPr>
        <w:t>et</w:t>
      </w:r>
      <w:r w:rsidRPr="00750617">
        <w:rPr>
          <w:i/>
        </w:rPr>
        <w:t xml:space="preserve"> Frontière terrestre dans la partie septentrionale d’Isla </w:t>
      </w:r>
      <w:proofErr w:type="spellStart"/>
      <w:r w:rsidRPr="00750617">
        <w:rPr>
          <w:i/>
        </w:rPr>
        <w:t>Portillos</w:t>
      </w:r>
      <w:proofErr w:type="spellEnd"/>
      <w:r w:rsidRPr="00750617">
        <w:rPr>
          <w:i/>
        </w:rPr>
        <w:t xml:space="preserve"> (Costa Rica c</w:t>
      </w:r>
      <w:r w:rsidRPr="00F22925">
        <w:rPr>
          <w:i/>
        </w:rPr>
        <w:t>.</w:t>
      </w:r>
      <w:r w:rsidRPr="00750617">
        <w:rPr>
          <w:i/>
        </w:rPr>
        <w:t xml:space="preserve"> Nicaragua), arrêt, C</w:t>
      </w:r>
      <w:r w:rsidRPr="00F22925">
        <w:rPr>
          <w:i/>
        </w:rPr>
        <w:t>.</w:t>
      </w:r>
      <w:r w:rsidRPr="00750617">
        <w:rPr>
          <w:i/>
        </w:rPr>
        <w:t>I</w:t>
      </w:r>
      <w:r w:rsidRPr="00F22925">
        <w:rPr>
          <w:i/>
        </w:rPr>
        <w:t>.</w:t>
      </w:r>
      <w:r w:rsidRPr="00750617">
        <w:rPr>
          <w:i/>
        </w:rPr>
        <w:t>J</w:t>
      </w:r>
      <w:r w:rsidRPr="00F22925">
        <w:rPr>
          <w:i/>
        </w:rPr>
        <w:t>.</w:t>
      </w:r>
      <w:r w:rsidRPr="00750617">
        <w:rPr>
          <w:i/>
        </w:rPr>
        <w:t xml:space="preserve"> Recueil 2018</w:t>
      </w:r>
      <w:r w:rsidRPr="00750617">
        <w:rPr>
          <w:iCs/>
        </w:rPr>
        <w:t>, p</w:t>
      </w:r>
      <w:r w:rsidRPr="00F22925">
        <w:rPr>
          <w:iCs/>
        </w:rPr>
        <w:t>.</w:t>
      </w:r>
      <w:r w:rsidRPr="00750617">
        <w:rPr>
          <w:iCs/>
        </w:rPr>
        <w:t xml:space="preserve"> 139)</w:t>
      </w:r>
      <w:r w:rsidRPr="00F22925">
        <w:rPr>
          <w:iCs/>
        </w:rPr>
        <w:t>.</w:t>
      </w:r>
      <w:r w:rsidRPr="00750617">
        <w:rPr>
          <w:iCs/>
        </w:rPr>
        <w:t xml:space="preserve"> Si elle y fait parfois référence en des termes abstraits, la Cour internationale de Justice évite généralement de s’étendre sur la question du critère de preuve, se laissant le soin de l’apprécier souverainement</w:t>
      </w:r>
      <w:r w:rsidRPr="00F22925">
        <w:rPr>
          <w:iCs/>
        </w:rPr>
        <w:t>.</w:t>
      </w:r>
      <w:r w:rsidRPr="00750617">
        <w:rPr>
          <w:iCs/>
        </w:rPr>
        <w:t xml:space="preserve"> Dans les affaires dans lesquelles elle est amenée à apprécier des éléments factuels et techniques complexes, comme celles qui concernent des questions de droit de l’environnement, il peut arriver qu’elle applique au critère moins rigoureux, s’il convient, et se prononce après avoir simplement apprécié les éléments présentés par les parties</w:t>
      </w:r>
      <w:r w:rsidRPr="00F22925">
        <w:rPr>
          <w:iCs/>
        </w:rPr>
        <w:t>.</w:t>
      </w:r>
      <w:r w:rsidRPr="00750617">
        <w:rPr>
          <w:iCs/>
        </w:rPr>
        <w:t xml:space="preserve"> Voir, par exemple, l’opinion individuelle du juge Greenwood concernant l’arrêt </w:t>
      </w:r>
      <w:r w:rsidRPr="00750617">
        <w:rPr>
          <w:i/>
        </w:rPr>
        <w:t>Usines de pâte à papier sur le fleuve Uruguay</w:t>
      </w:r>
      <w:r w:rsidRPr="00750617">
        <w:rPr>
          <w:iCs/>
        </w:rPr>
        <w:t xml:space="preserve"> (par</w:t>
      </w:r>
      <w:r w:rsidRPr="00F22925">
        <w:rPr>
          <w:iCs/>
        </w:rPr>
        <w:t>.</w:t>
      </w:r>
      <w:r w:rsidRPr="00750617">
        <w:rPr>
          <w:iCs/>
        </w:rPr>
        <w:t xml:space="preserve"> 26), dans laquelle il est dit que, en pareilles affaires, la partie à qui incombe la charge de la preuve n’est tenue d’établir les faits qu’elle avance « qu’en termes de probabilité la plus forte (on parle parfois de prééminence de la preuve) »</w:t>
      </w:r>
      <w:r w:rsidRPr="00F22925">
        <w:rPr>
          <w:iCs/>
        </w:rPr>
        <w:t>.</w:t>
      </w:r>
      <w:r w:rsidRPr="00750617">
        <w:rPr>
          <w:iCs/>
        </w:rPr>
        <w:t xml:space="preserve"> </w:t>
      </w:r>
      <w:proofErr w:type="spellStart"/>
      <w:r w:rsidRPr="000D3559">
        <w:rPr>
          <w:iCs/>
          <w:lang w:val="en-US"/>
        </w:rPr>
        <w:t>Voir</w:t>
      </w:r>
      <w:proofErr w:type="spellEnd"/>
      <w:r w:rsidRPr="000D3559">
        <w:rPr>
          <w:iCs/>
          <w:lang w:val="en-US"/>
        </w:rPr>
        <w:t xml:space="preserve"> </w:t>
      </w:r>
      <w:proofErr w:type="spellStart"/>
      <w:r w:rsidRPr="000D3559">
        <w:rPr>
          <w:iCs/>
          <w:lang w:val="en-US"/>
        </w:rPr>
        <w:t>aussi</w:t>
      </w:r>
      <w:proofErr w:type="spellEnd"/>
      <w:r w:rsidRPr="000D3559">
        <w:rPr>
          <w:iCs/>
          <w:lang w:val="en-US"/>
        </w:rPr>
        <w:t xml:space="preserve"> K. Del Mar, </w:t>
      </w:r>
      <w:r w:rsidRPr="000D3559">
        <w:rPr>
          <w:rFonts w:eastAsia="Times New Roman"/>
          <w:szCs w:val="18"/>
          <w:lang w:val="en-US"/>
        </w:rPr>
        <w:t xml:space="preserve">« The International Court of Justice and standards of proof », dans K. </w:t>
      </w:r>
      <w:proofErr w:type="spellStart"/>
      <w:r w:rsidRPr="000D3559">
        <w:rPr>
          <w:rFonts w:eastAsia="Times New Roman"/>
          <w:szCs w:val="18"/>
          <w:lang w:val="en-US"/>
        </w:rPr>
        <w:t>Bannelier</w:t>
      </w:r>
      <w:proofErr w:type="spellEnd"/>
      <w:r w:rsidRPr="000D3559">
        <w:rPr>
          <w:rFonts w:eastAsia="Times New Roman"/>
          <w:szCs w:val="18"/>
          <w:lang w:val="en-US"/>
        </w:rPr>
        <w:t xml:space="preserve">, T. Christakis et S. Heathcote (dir. publ.), </w:t>
      </w:r>
      <w:r w:rsidRPr="000D3559">
        <w:rPr>
          <w:rFonts w:eastAsia="Times New Roman"/>
          <w:i/>
          <w:iCs/>
          <w:szCs w:val="18"/>
          <w:lang w:val="en-US"/>
        </w:rPr>
        <w:t xml:space="preserve">The ICJ and the Evolution of International Law: the enduring impact of the </w:t>
      </w:r>
      <w:r w:rsidRPr="000D3559">
        <w:rPr>
          <w:rFonts w:eastAsia="Times New Roman"/>
          <w:szCs w:val="18"/>
          <w:lang w:val="en-US"/>
        </w:rPr>
        <w:t xml:space="preserve">Corfu Channel </w:t>
      </w:r>
      <w:r w:rsidRPr="000D3559">
        <w:rPr>
          <w:rFonts w:eastAsia="Times New Roman"/>
          <w:i/>
          <w:iCs/>
          <w:szCs w:val="18"/>
          <w:lang w:val="en-US"/>
        </w:rPr>
        <w:t>case</w:t>
      </w:r>
      <w:r w:rsidRPr="000D3559">
        <w:rPr>
          <w:rFonts w:eastAsia="Times New Roman"/>
          <w:szCs w:val="18"/>
          <w:lang w:val="en-US"/>
        </w:rPr>
        <w:t xml:space="preserve"> (Abingdon, Routledge, 2012), p. 98 à 123, aux pages 99 et </w:t>
      </w:r>
      <w:proofErr w:type="gramStart"/>
      <w:r w:rsidRPr="000D3559">
        <w:rPr>
          <w:rFonts w:eastAsia="Times New Roman"/>
          <w:szCs w:val="18"/>
          <w:lang w:val="en-US"/>
        </w:rPr>
        <w:t>100 ;</w:t>
      </w:r>
      <w:proofErr w:type="gramEnd"/>
      <w:r w:rsidRPr="000D3559">
        <w:rPr>
          <w:rFonts w:eastAsia="Times New Roman"/>
          <w:szCs w:val="18"/>
          <w:lang w:val="en-US"/>
        </w:rPr>
        <w:t xml:space="preserve"> A. Rajput, « Standard of proof », dans </w:t>
      </w:r>
      <w:r w:rsidRPr="000D3559">
        <w:rPr>
          <w:rFonts w:eastAsia="Times New Roman"/>
          <w:i/>
          <w:iCs/>
          <w:szCs w:val="18"/>
          <w:lang w:val="en-US"/>
        </w:rPr>
        <w:t xml:space="preserve">Max Planck </w:t>
      </w:r>
      <w:proofErr w:type="spellStart"/>
      <w:r w:rsidRPr="000D3559">
        <w:rPr>
          <w:rFonts w:eastAsia="Times New Roman"/>
          <w:i/>
          <w:iCs/>
          <w:szCs w:val="18"/>
          <w:lang w:val="en-US"/>
        </w:rPr>
        <w:t>Encylopedia</w:t>
      </w:r>
      <w:proofErr w:type="spellEnd"/>
      <w:r w:rsidRPr="000D3559">
        <w:rPr>
          <w:rFonts w:eastAsia="Times New Roman"/>
          <w:i/>
          <w:iCs/>
          <w:szCs w:val="18"/>
          <w:lang w:val="en-US"/>
        </w:rPr>
        <w:t xml:space="preserve"> of Public International Law</w:t>
      </w:r>
      <w:r w:rsidRPr="000D3559">
        <w:rPr>
          <w:rFonts w:eastAsia="Times New Roman"/>
          <w:szCs w:val="18"/>
          <w:lang w:val="en-US"/>
        </w:rPr>
        <w:t xml:space="preserve"> (</w:t>
      </w:r>
      <w:proofErr w:type="spellStart"/>
      <w:r w:rsidRPr="000D3559">
        <w:rPr>
          <w:rFonts w:eastAsia="Times New Roman"/>
          <w:szCs w:val="18"/>
          <w:lang w:val="en-US"/>
        </w:rPr>
        <w:t>actualisé</w:t>
      </w:r>
      <w:proofErr w:type="spellEnd"/>
      <w:r w:rsidRPr="000D3559">
        <w:rPr>
          <w:rFonts w:eastAsia="Times New Roman"/>
          <w:szCs w:val="18"/>
          <w:lang w:val="en-US"/>
        </w:rPr>
        <w:t xml:space="preserve"> </w:t>
      </w:r>
      <w:proofErr w:type="spellStart"/>
      <w:r w:rsidRPr="000D3559">
        <w:rPr>
          <w:rFonts w:eastAsia="Times New Roman"/>
          <w:szCs w:val="18"/>
          <w:lang w:val="en-US"/>
        </w:rPr>
        <w:t>en</w:t>
      </w:r>
      <w:proofErr w:type="spellEnd"/>
      <w:r w:rsidRPr="000D3559">
        <w:rPr>
          <w:rFonts w:eastAsia="Times New Roman"/>
          <w:szCs w:val="18"/>
          <w:lang w:val="en-US"/>
        </w:rPr>
        <w:t xml:space="preserve"> 2021).</w:t>
      </w:r>
      <w:r w:rsidRPr="000D3559">
        <w:rPr>
          <w:iCs/>
          <w:lang w:val="en-US"/>
        </w:rPr>
        <w:t xml:space="preserve"> </w:t>
      </w:r>
    </w:p>
  </w:footnote>
  <w:footnote w:id="185">
    <w:p w14:paraId="31CC6761" w14:textId="77777777" w:rsidR="00D01ECD" w:rsidRPr="000D3559" w:rsidRDefault="00D01ECD" w:rsidP="00D01ECD">
      <w:pPr>
        <w:pStyle w:val="FootnoteText"/>
        <w:rPr>
          <w:lang w:val="en-US"/>
        </w:rPr>
      </w:pPr>
      <w:r w:rsidRPr="000D3559">
        <w:rPr>
          <w:lang w:val="en-US"/>
        </w:rPr>
        <w:tab/>
      </w:r>
      <w:r w:rsidRPr="00750617">
        <w:rPr>
          <w:rStyle w:val="FootnoteReference"/>
        </w:rPr>
        <w:footnoteRef/>
      </w:r>
      <w:r w:rsidRPr="000D3559">
        <w:rPr>
          <w:lang w:val="en-US"/>
        </w:rPr>
        <w:tab/>
      </w:r>
      <w:proofErr w:type="spellStart"/>
      <w:r w:rsidRPr="000D3559">
        <w:rPr>
          <w:iCs/>
          <w:lang w:val="en-US"/>
        </w:rPr>
        <w:t>Voir</w:t>
      </w:r>
      <w:proofErr w:type="spellEnd"/>
      <w:r w:rsidRPr="000D3559">
        <w:rPr>
          <w:iCs/>
          <w:lang w:val="en-US"/>
        </w:rPr>
        <w:t xml:space="preserve"> </w:t>
      </w:r>
      <w:r w:rsidRPr="000D3559">
        <w:rPr>
          <w:lang w:val="en-US"/>
        </w:rPr>
        <w:t xml:space="preserve">D. Peat, « The use of court-appointed experts by the International Court of Justice », </w:t>
      </w:r>
      <w:r w:rsidRPr="000D3559">
        <w:rPr>
          <w:i/>
          <w:lang w:val="en-US"/>
        </w:rPr>
        <w:t xml:space="preserve">British Yearbook of International Law, </w:t>
      </w:r>
      <w:r w:rsidRPr="000D3559">
        <w:rPr>
          <w:lang w:val="en-US"/>
        </w:rPr>
        <w:t xml:space="preserve">vol. 84 (2014), p. 271 à 303 ; J. G. Devaney, </w:t>
      </w:r>
      <w:r w:rsidRPr="000D3559">
        <w:rPr>
          <w:i/>
          <w:iCs/>
          <w:lang w:val="en-US"/>
        </w:rPr>
        <w:t>Fact-finding before the International Court of Justice</w:t>
      </w:r>
      <w:r w:rsidRPr="000D3559">
        <w:rPr>
          <w:lang w:val="en-US"/>
        </w:rPr>
        <w:t xml:space="preserve"> (Cambridge, Cambridge University Press, 2016) ; C. E. Foster, </w:t>
      </w:r>
      <w:r w:rsidRPr="000D3559">
        <w:rPr>
          <w:i/>
          <w:iCs/>
          <w:lang w:val="en-US"/>
        </w:rPr>
        <w:t>Science and the Precautionary Principle in International Courts and Tribunals : Expert Evidence, Burden of Proof and Finality</w:t>
      </w:r>
      <w:r w:rsidRPr="000D3559">
        <w:rPr>
          <w:lang w:val="en-US"/>
        </w:rPr>
        <w:t xml:space="preserve"> (Cambridge, Cambridge University Press, 2011), p. 77 à 135 ; Special edition on courts and tribunals and the treatment of scientific issues, </w:t>
      </w:r>
      <w:r w:rsidRPr="000D3559">
        <w:rPr>
          <w:i/>
          <w:lang w:val="en-US"/>
        </w:rPr>
        <w:t>Journal of International Dispute Settlement</w:t>
      </w:r>
      <w:r w:rsidRPr="000D3559">
        <w:rPr>
          <w:lang w:val="en-US"/>
        </w:rPr>
        <w:t xml:space="preserve">, vol. 3 (2012) ; C. Tams, « Article 50 » et « Article 51 », dans A. Zimmermann </w:t>
      </w:r>
      <w:r w:rsidRPr="000D3559">
        <w:rPr>
          <w:i/>
          <w:lang w:val="en-US"/>
        </w:rPr>
        <w:t>et al.</w:t>
      </w:r>
      <w:r w:rsidRPr="000D3559">
        <w:rPr>
          <w:lang w:val="en-US"/>
        </w:rPr>
        <w:t xml:space="preserve"> (dir. publ.), </w:t>
      </w:r>
      <w:r w:rsidRPr="000D3559">
        <w:rPr>
          <w:i/>
          <w:iCs/>
          <w:lang w:val="en-US"/>
        </w:rPr>
        <w:t>The </w:t>
      </w:r>
      <w:r w:rsidRPr="000D3559">
        <w:rPr>
          <w:i/>
          <w:lang w:val="en-US"/>
        </w:rPr>
        <w:t>Statute of the International Court of Justice : A Commentary</w:t>
      </w:r>
      <w:r w:rsidRPr="000D3559">
        <w:rPr>
          <w:lang w:val="en-US"/>
        </w:rPr>
        <w:t xml:space="preserve"> (Oxford, Oxford University Press, 2012), p. 1287 à 1311 ; C. E. Foster, « New clothes for the emperor ? Consultation of experts by the International Court of Justice », </w:t>
      </w:r>
      <w:r w:rsidRPr="000D3559">
        <w:rPr>
          <w:i/>
          <w:lang w:val="en-US"/>
        </w:rPr>
        <w:t xml:space="preserve">Journal of International Dispute Settlement, </w:t>
      </w:r>
      <w:r w:rsidRPr="000D3559">
        <w:rPr>
          <w:lang w:val="en-US"/>
        </w:rPr>
        <w:t xml:space="preserve">vol. 5 (2014), p. 139 à 173 ; J. E. Viñuales, « Legal techniques for dealing with scientific uncertainty in environmental law », </w:t>
      </w:r>
      <w:r w:rsidRPr="000D3559">
        <w:rPr>
          <w:i/>
          <w:lang w:val="en-US"/>
        </w:rPr>
        <w:t xml:space="preserve">Vanderbilt Journal of Transnational Law, </w:t>
      </w:r>
      <w:r w:rsidRPr="000D3559">
        <w:rPr>
          <w:lang w:val="en-US"/>
        </w:rPr>
        <w:t>vol. 43 (2010), p. 437 à 504, aux pages 476 à 480 ; G. </w:t>
      </w:r>
      <w:proofErr w:type="spellStart"/>
      <w:r w:rsidRPr="000D3559">
        <w:rPr>
          <w:lang w:val="en-US"/>
        </w:rPr>
        <w:t>Gaja</w:t>
      </w:r>
      <w:proofErr w:type="spellEnd"/>
      <w:r w:rsidRPr="000D3559">
        <w:rPr>
          <w:lang w:val="en-US"/>
        </w:rPr>
        <w:t xml:space="preserve">, « Assessing expert evidence in the ICJ », </w:t>
      </w:r>
      <w:r w:rsidRPr="000D3559">
        <w:rPr>
          <w:i/>
          <w:lang w:val="en-US"/>
        </w:rPr>
        <w:t>The Law and Practice of International Courts and Tribunals</w:t>
      </w:r>
      <w:r w:rsidRPr="000D3559">
        <w:rPr>
          <w:lang w:val="en-US"/>
        </w:rPr>
        <w:t>, vol. 15 (2016), p. 409 à 418.</w:t>
      </w:r>
    </w:p>
  </w:footnote>
  <w:footnote w:id="186">
    <w:p w14:paraId="09A6AFCF" w14:textId="77777777" w:rsidR="00D01ECD" w:rsidRPr="00750617" w:rsidRDefault="00D01ECD" w:rsidP="00D01ECD">
      <w:pPr>
        <w:pStyle w:val="FootnoteText"/>
      </w:pPr>
      <w:r w:rsidRPr="000D3559">
        <w:rPr>
          <w:lang w:val="en-US"/>
        </w:rPr>
        <w:tab/>
      </w:r>
      <w:r w:rsidRPr="00750617">
        <w:rPr>
          <w:rStyle w:val="FootnoteReference"/>
        </w:rPr>
        <w:footnoteRef/>
      </w:r>
      <w:r w:rsidRPr="00750617">
        <w:tab/>
        <w:t>Il faut rappeler que les modes judiciaires et non judiciaires de règlement des différends sont étroitement liés</w:t>
      </w:r>
      <w:r w:rsidRPr="00F22925">
        <w:t>.</w:t>
      </w:r>
      <w:r w:rsidRPr="00750617">
        <w:t xml:space="preserve"> Lorsque le différend porte sur l’environnement et en particulier sur la protection de l’atmosphère, même au stade des négociations initiales, les États doivent souvent disposer de preuves scientifiques solides pour étayer leurs prétentions</w:t>
      </w:r>
      <w:r w:rsidRPr="00F22925">
        <w:t>.</w:t>
      </w:r>
      <w:r w:rsidRPr="00750617">
        <w:t xml:space="preserve"> Autrement dit, la négociation n’est jamais très loin du règlement juridictionnel</w:t>
      </w:r>
      <w:r w:rsidRPr="00F22925">
        <w:t>.</w:t>
      </w:r>
    </w:p>
  </w:footnote>
  <w:footnote w:id="187">
    <w:p w14:paraId="5AB35B2F" w14:textId="77777777" w:rsidR="00D01ECD" w:rsidRPr="000D3559" w:rsidRDefault="00D01ECD" w:rsidP="00D01ECD">
      <w:pPr>
        <w:pStyle w:val="FootnoteText"/>
        <w:rPr>
          <w:lang w:val="en-US"/>
        </w:rPr>
      </w:pPr>
      <w:r w:rsidRPr="00750617">
        <w:tab/>
      </w:r>
      <w:r w:rsidRPr="00750617">
        <w:rPr>
          <w:rStyle w:val="FootnoteReference"/>
        </w:rPr>
        <w:footnoteRef/>
      </w:r>
      <w:r w:rsidRPr="00750617">
        <w:tab/>
        <w:t xml:space="preserve">Selon le principe </w:t>
      </w:r>
      <w:r w:rsidRPr="00750617">
        <w:rPr>
          <w:i/>
          <w:iCs/>
        </w:rPr>
        <w:t xml:space="preserve">jura </w:t>
      </w:r>
      <w:proofErr w:type="spellStart"/>
      <w:r w:rsidRPr="00750617">
        <w:rPr>
          <w:i/>
          <w:iCs/>
        </w:rPr>
        <w:t>novit</w:t>
      </w:r>
      <w:proofErr w:type="spellEnd"/>
      <w:r w:rsidRPr="00750617">
        <w:rPr>
          <w:i/>
          <w:iCs/>
        </w:rPr>
        <w:t xml:space="preserve"> </w:t>
      </w:r>
      <w:proofErr w:type="spellStart"/>
      <w:r w:rsidRPr="00750617">
        <w:rPr>
          <w:i/>
          <w:iCs/>
        </w:rPr>
        <w:t>curia</w:t>
      </w:r>
      <w:proofErr w:type="spellEnd"/>
      <w:r w:rsidRPr="00750617">
        <w:t xml:space="preserve">, la Cour peut en principe appliquer toute règle de droit pertinente aux faits dont elle est saisie et a toute latitude pour apprécier les éléments de preuve et en tirer des conclusions (dès lors qu’elle se conforme au principe </w:t>
      </w:r>
      <w:r w:rsidRPr="00750617">
        <w:rPr>
          <w:i/>
          <w:iCs/>
        </w:rPr>
        <w:t xml:space="preserve">non ultra </w:t>
      </w:r>
      <w:proofErr w:type="spellStart"/>
      <w:r w:rsidRPr="00750617">
        <w:rPr>
          <w:i/>
          <w:iCs/>
        </w:rPr>
        <w:t>petita</w:t>
      </w:r>
      <w:proofErr w:type="spellEnd"/>
      <w:r w:rsidRPr="00750617">
        <w:t>)</w:t>
      </w:r>
      <w:r w:rsidRPr="00F22925">
        <w:t>.</w:t>
      </w:r>
      <w:r w:rsidRPr="00750617">
        <w:t xml:space="preserve"> Parce qu’elle a le pouvoir de dire le droit, elle doit suffisamment comprendre le sens de chaque point technique</w:t>
      </w:r>
      <w:r w:rsidRPr="00F22925">
        <w:t>.</w:t>
      </w:r>
      <w:r w:rsidRPr="00750617">
        <w:t xml:space="preserve"> Voir le discours du juge </w:t>
      </w:r>
      <w:proofErr w:type="spellStart"/>
      <w:r w:rsidRPr="00750617">
        <w:t>Abdulqawi</w:t>
      </w:r>
      <w:proofErr w:type="spellEnd"/>
      <w:r w:rsidRPr="00750617">
        <w:t xml:space="preserve"> Yusuf, Président de la Cour internationale de Justice, sur le recours à des experts désignés par la Cour en vertu de l’article 50 du Statut</w:t>
      </w:r>
      <w:r>
        <w:t>,</w:t>
      </w:r>
      <w:r w:rsidRPr="00750617">
        <w:t xml:space="preserve"> prononcé devant la Sixième Commission de l’Assemblée générale le 26 octobre 2018 (disponible à l’adresse suivante : </w:t>
      </w:r>
      <w:hyperlink r:id="rId59" w:history="1">
        <w:r w:rsidRPr="00750617">
          <w:rPr>
            <w:rStyle w:val="Hyperlink"/>
          </w:rPr>
          <w:t>www</w:t>
        </w:r>
        <w:r w:rsidRPr="00F22925">
          <w:rPr>
            <w:rStyle w:val="Hyperlink"/>
          </w:rPr>
          <w:t>.</w:t>
        </w:r>
        <w:r w:rsidRPr="00750617">
          <w:rPr>
            <w:rStyle w:val="Hyperlink"/>
          </w:rPr>
          <w:t>icj-cij</w:t>
        </w:r>
        <w:r w:rsidRPr="00F22925">
          <w:rPr>
            <w:rStyle w:val="Hyperlink"/>
          </w:rPr>
          <w:t>.</w:t>
        </w:r>
        <w:r w:rsidRPr="00750617">
          <w:rPr>
            <w:rStyle w:val="Hyperlink"/>
          </w:rPr>
          <w:t>org/en/</w:t>
        </w:r>
        <w:r>
          <w:rPr>
            <w:rStyle w:val="Hyperlink"/>
          </w:rPr>
          <w:t xml:space="preserve"> </w:t>
        </w:r>
        <w:proofErr w:type="spellStart"/>
        <w:r w:rsidRPr="00750617">
          <w:rPr>
            <w:rStyle w:val="Hyperlink"/>
          </w:rPr>
          <w:t>statements</w:t>
        </w:r>
        <w:proofErr w:type="spellEnd"/>
        <w:r w:rsidRPr="00750617">
          <w:rPr>
            <w:rStyle w:val="Hyperlink"/>
          </w:rPr>
          <w:t>-by-the-</w:t>
        </w:r>
        <w:proofErr w:type="spellStart"/>
        <w:r w:rsidRPr="00750617">
          <w:rPr>
            <w:rStyle w:val="Hyperlink"/>
          </w:rPr>
          <w:t>president</w:t>
        </w:r>
        <w:proofErr w:type="spellEnd"/>
      </w:hyperlink>
      <w:r w:rsidRPr="00750617">
        <w:rPr>
          <w:szCs w:val="18"/>
        </w:rPr>
        <w:t>)</w:t>
      </w:r>
      <w:r w:rsidRPr="00F22925">
        <w:t>.</w:t>
      </w:r>
      <w:r w:rsidRPr="00750617">
        <w:t xml:space="preserve"> La frontière entre le « fait » et le « droit » est souvent floue (M</w:t>
      </w:r>
      <w:r w:rsidRPr="00F22925">
        <w:t>.</w:t>
      </w:r>
      <w:r w:rsidRPr="00750617">
        <w:t> </w:t>
      </w:r>
      <w:proofErr w:type="spellStart"/>
      <w:r w:rsidRPr="00750617">
        <w:t>Kazazi</w:t>
      </w:r>
      <w:proofErr w:type="spellEnd"/>
      <w:r w:rsidRPr="00750617">
        <w:t xml:space="preserve">, </w:t>
      </w:r>
      <w:proofErr w:type="spellStart"/>
      <w:r w:rsidRPr="00750617">
        <w:rPr>
          <w:i/>
          <w:iCs/>
        </w:rPr>
        <w:t>Burden</w:t>
      </w:r>
      <w:proofErr w:type="spellEnd"/>
      <w:r w:rsidRPr="00750617">
        <w:rPr>
          <w:i/>
          <w:iCs/>
        </w:rPr>
        <w:t xml:space="preserve"> of Proof and </w:t>
      </w:r>
      <w:proofErr w:type="spellStart"/>
      <w:r w:rsidRPr="00750617">
        <w:rPr>
          <w:i/>
          <w:iCs/>
        </w:rPr>
        <w:t>Related</w:t>
      </w:r>
      <w:proofErr w:type="spellEnd"/>
      <w:r w:rsidRPr="00750617">
        <w:rPr>
          <w:i/>
          <w:iCs/>
        </w:rPr>
        <w:t xml:space="preserve"> Issues : A </w:t>
      </w:r>
      <w:proofErr w:type="spellStart"/>
      <w:r w:rsidRPr="00750617">
        <w:rPr>
          <w:i/>
          <w:iCs/>
        </w:rPr>
        <w:t>Study</w:t>
      </w:r>
      <w:proofErr w:type="spellEnd"/>
      <w:r w:rsidRPr="00750617">
        <w:rPr>
          <w:i/>
          <w:iCs/>
        </w:rPr>
        <w:t xml:space="preserve"> on </w:t>
      </w:r>
      <w:proofErr w:type="spellStart"/>
      <w:r w:rsidRPr="00750617">
        <w:rPr>
          <w:i/>
          <w:iCs/>
        </w:rPr>
        <w:t>Evidence</w:t>
      </w:r>
      <w:proofErr w:type="spellEnd"/>
      <w:r w:rsidRPr="00750617">
        <w:rPr>
          <w:i/>
          <w:iCs/>
        </w:rPr>
        <w:t xml:space="preserve"> </w:t>
      </w:r>
      <w:proofErr w:type="spellStart"/>
      <w:r w:rsidRPr="00750617">
        <w:rPr>
          <w:i/>
          <w:iCs/>
        </w:rPr>
        <w:t>before</w:t>
      </w:r>
      <w:proofErr w:type="spellEnd"/>
      <w:r w:rsidRPr="00750617">
        <w:rPr>
          <w:i/>
          <w:iCs/>
        </w:rPr>
        <w:t xml:space="preserve"> International </w:t>
      </w:r>
      <w:proofErr w:type="spellStart"/>
      <w:r w:rsidRPr="00750617">
        <w:rPr>
          <w:i/>
          <w:iCs/>
        </w:rPr>
        <w:t>Tribunals</w:t>
      </w:r>
      <w:proofErr w:type="spellEnd"/>
      <w:r w:rsidRPr="00750617">
        <w:rPr>
          <w:i/>
          <w:iCs/>
        </w:rPr>
        <w:t xml:space="preserve"> </w:t>
      </w:r>
      <w:r w:rsidRPr="00750617">
        <w:t>(La Haye, Kluwer Law International, 1996), p</w:t>
      </w:r>
      <w:r w:rsidRPr="00F22925">
        <w:t>.</w:t>
      </w:r>
      <w:r w:rsidRPr="00750617">
        <w:t> 42 à 49</w:t>
      </w:r>
      <w:r w:rsidRPr="00F22925">
        <w:t>.</w:t>
      </w:r>
      <w:r w:rsidRPr="00750617">
        <w:t xml:space="preserve"> Les questions scientifiques sont décrites par certains commentateurs</w:t>
      </w:r>
      <w:r w:rsidRPr="00750617">
        <w:rPr>
          <w:bCs/>
        </w:rPr>
        <w:t xml:space="preserve"> comme « des questions mélangées de droit et de fait » (par exemple, </w:t>
      </w:r>
      <w:r w:rsidRPr="00750617">
        <w:t>C</w:t>
      </w:r>
      <w:r w:rsidRPr="00F22925">
        <w:t>.</w:t>
      </w:r>
      <w:r w:rsidRPr="00750617">
        <w:t> F</w:t>
      </w:r>
      <w:r w:rsidRPr="00F22925">
        <w:t>.</w:t>
      </w:r>
      <w:r w:rsidRPr="00750617">
        <w:t> </w:t>
      </w:r>
      <w:proofErr w:type="spellStart"/>
      <w:r w:rsidRPr="00750617">
        <w:t>Amerasinghe</w:t>
      </w:r>
      <w:proofErr w:type="spellEnd"/>
      <w:r w:rsidRPr="00750617">
        <w:t xml:space="preserve">, </w:t>
      </w:r>
      <w:proofErr w:type="spellStart"/>
      <w:r w:rsidRPr="00750617">
        <w:rPr>
          <w:i/>
          <w:iCs/>
        </w:rPr>
        <w:t>Evidence</w:t>
      </w:r>
      <w:proofErr w:type="spellEnd"/>
      <w:r w:rsidRPr="00750617">
        <w:rPr>
          <w:i/>
          <w:iCs/>
        </w:rPr>
        <w:t xml:space="preserve"> in International </w:t>
      </w:r>
      <w:proofErr w:type="spellStart"/>
      <w:r w:rsidRPr="00750617">
        <w:rPr>
          <w:i/>
          <w:iCs/>
        </w:rPr>
        <w:t>Litigation</w:t>
      </w:r>
      <w:proofErr w:type="spellEnd"/>
      <w:r w:rsidRPr="00750617">
        <w:rPr>
          <w:i/>
          <w:iCs/>
        </w:rPr>
        <w:t xml:space="preserve"> </w:t>
      </w:r>
      <w:r w:rsidRPr="00750617">
        <w:t xml:space="preserve">(Leyde, </w:t>
      </w:r>
      <w:proofErr w:type="spellStart"/>
      <w:r w:rsidRPr="00750617">
        <w:t>Martinus</w:t>
      </w:r>
      <w:proofErr w:type="spellEnd"/>
      <w:r w:rsidRPr="00750617">
        <w:t xml:space="preserve"> </w:t>
      </w:r>
      <w:proofErr w:type="spellStart"/>
      <w:r w:rsidRPr="00750617">
        <w:t>Nijhoff</w:t>
      </w:r>
      <w:proofErr w:type="spellEnd"/>
      <w:r w:rsidRPr="00750617">
        <w:t xml:space="preserve"> </w:t>
      </w:r>
      <w:proofErr w:type="spellStart"/>
      <w:r w:rsidRPr="00750617">
        <w:t>Publishers</w:t>
      </w:r>
      <w:proofErr w:type="spellEnd"/>
      <w:r w:rsidRPr="00750617">
        <w:t>, 2005), p</w:t>
      </w:r>
      <w:r w:rsidRPr="00F22925">
        <w:t>.</w:t>
      </w:r>
      <w:r w:rsidRPr="00750617">
        <w:t> 58)</w:t>
      </w:r>
      <w:r w:rsidRPr="00750617">
        <w:rPr>
          <w:bCs/>
        </w:rPr>
        <w:t>, qu’il est difficile de ranger dans l’une ou l’autre catégorie</w:t>
      </w:r>
      <w:r w:rsidRPr="00F22925">
        <w:t>.</w:t>
      </w:r>
      <w:r w:rsidRPr="00750617">
        <w:t xml:space="preserve"> Le juge Yusuf a estimé dans la déclaration qu’il a faite dans l’affaire des </w:t>
      </w:r>
      <w:r w:rsidRPr="00750617">
        <w:rPr>
          <w:i/>
        </w:rPr>
        <w:t>Usines de pâte à papier</w:t>
      </w:r>
      <w:r w:rsidRPr="00750617">
        <w:t xml:space="preserve"> que les experts avaient pour rôle d’élucider les faits et de vérifier la validité scientifique des méthodes utilisées pour établir certains faits ou recueillir des données, tandis qu’il appartenait à la Cour d’évaluer la force probante des faits (</w:t>
      </w:r>
      <w:r w:rsidRPr="00750617">
        <w:rPr>
          <w:i/>
          <w:iCs/>
        </w:rPr>
        <w:t xml:space="preserve">Usines de pâte à papier </w:t>
      </w:r>
      <w:r w:rsidRPr="00750617">
        <w:rPr>
          <w:iCs/>
        </w:rPr>
        <w:t>(</w:t>
      </w:r>
      <w:r w:rsidRPr="00750617">
        <w:t>note </w:t>
      </w:r>
      <w:r w:rsidRPr="00750617">
        <w:fldChar w:fldCharType="begin"/>
      </w:r>
      <w:r w:rsidRPr="00750617">
        <w:instrText xml:space="preserve"> NOTEREF _Ref456789244 \h </w:instrText>
      </w:r>
      <w:r>
        <w:instrText xml:space="preserve"> \* MERGEFORMAT </w:instrText>
      </w:r>
      <w:r w:rsidRPr="00750617">
        <w:fldChar w:fldCharType="separate"/>
      </w:r>
      <w:r>
        <w:t>79</w:t>
      </w:r>
      <w:r w:rsidRPr="00750617">
        <w:fldChar w:fldCharType="end"/>
      </w:r>
      <w:r w:rsidRPr="00750617">
        <w:t xml:space="preserve"> </w:t>
      </w:r>
      <w:r w:rsidRPr="00750617">
        <w:rPr>
          <w:i/>
        </w:rPr>
        <w:t>supra</w:t>
      </w:r>
      <w:r w:rsidRPr="00750617">
        <w:rPr>
          <w:iCs/>
        </w:rPr>
        <w:t>),</w:t>
      </w:r>
      <w:r w:rsidRPr="00750617">
        <w:t xml:space="preserve"> Déclaration du juge Yusuf, par</w:t>
      </w:r>
      <w:r w:rsidRPr="00F22925">
        <w:t>.</w:t>
      </w:r>
      <w:r w:rsidRPr="00750617">
        <w:t> 10)</w:t>
      </w:r>
      <w:r w:rsidRPr="00F22925">
        <w:t>.</w:t>
      </w:r>
      <w:r w:rsidRPr="00750617">
        <w:t xml:space="preserve"> </w:t>
      </w:r>
      <w:proofErr w:type="spellStart"/>
      <w:r w:rsidRPr="000D3559">
        <w:rPr>
          <w:lang w:val="en-US"/>
        </w:rPr>
        <w:t>Voir</w:t>
      </w:r>
      <w:proofErr w:type="spellEnd"/>
      <w:r w:rsidRPr="000D3559">
        <w:rPr>
          <w:lang w:val="en-US"/>
        </w:rPr>
        <w:t xml:space="preserve"> </w:t>
      </w:r>
      <w:proofErr w:type="spellStart"/>
      <w:r w:rsidRPr="000D3559">
        <w:rPr>
          <w:lang w:val="en-US"/>
        </w:rPr>
        <w:t>aussi</w:t>
      </w:r>
      <w:proofErr w:type="spellEnd"/>
      <w:r w:rsidRPr="000D3559">
        <w:rPr>
          <w:lang w:val="en-US"/>
        </w:rPr>
        <w:t xml:space="preserve"> Foster, </w:t>
      </w:r>
      <w:r w:rsidRPr="000D3559">
        <w:rPr>
          <w:i/>
          <w:iCs/>
          <w:lang w:val="en-US"/>
        </w:rPr>
        <w:t xml:space="preserve">Science and the Precautionary Principle in International Courts and </w:t>
      </w:r>
      <w:proofErr w:type="gramStart"/>
      <w:r w:rsidRPr="000D3559">
        <w:rPr>
          <w:i/>
          <w:iCs/>
          <w:lang w:val="en-US"/>
        </w:rPr>
        <w:t>Tribunals :</w:t>
      </w:r>
      <w:proofErr w:type="gramEnd"/>
      <w:r w:rsidRPr="000D3559">
        <w:rPr>
          <w:i/>
          <w:iCs/>
          <w:lang w:val="en-US"/>
        </w:rPr>
        <w:t xml:space="preserve"> Expert Evidence, Burden of Proof and Finality</w:t>
      </w:r>
      <w:r w:rsidRPr="000D3559">
        <w:rPr>
          <w:lang w:val="en-US"/>
        </w:rPr>
        <w:t xml:space="preserve"> (note </w:t>
      </w:r>
      <w:r w:rsidRPr="00750617">
        <w:fldChar w:fldCharType="begin"/>
      </w:r>
      <w:r w:rsidRPr="000D3559">
        <w:rPr>
          <w:lang w:val="en-US"/>
        </w:rPr>
        <w:instrText xml:space="preserve"> NOTEREF _Ref74827808 \h  \* MERGEFORMAT </w:instrText>
      </w:r>
      <w:r w:rsidRPr="00750617">
        <w:fldChar w:fldCharType="separate"/>
      </w:r>
      <w:r>
        <w:rPr>
          <w:lang w:val="en-US"/>
        </w:rPr>
        <w:t>193</w:t>
      </w:r>
      <w:r w:rsidRPr="00750617">
        <w:fldChar w:fldCharType="end"/>
      </w:r>
      <w:r w:rsidRPr="000D3559">
        <w:rPr>
          <w:lang w:val="en-US"/>
        </w:rPr>
        <w:t xml:space="preserve"> </w:t>
      </w:r>
      <w:r w:rsidRPr="000D3559">
        <w:rPr>
          <w:i/>
          <w:lang w:val="en-US"/>
        </w:rPr>
        <w:t>supra</w:t>
      </w:r>
      <w:r w:rsidRPr="000D3559">
        <w:rPr>
          <w:lang w:val="en-US"/>
        </w:rPr>
        <w:t xml:space="preserve">), p. 145 à 147.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16D4C83"/>
    <w:multiLevelType w:val="multilevel"/>
    <w:tmpl w:val="40E036F0"/>
    <w:styleLink w:val="CurrentList2"/>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9206BAD"/>
    <w:multiLevelType w:val="multilevel"/>
    <w:tmpl w:val="9C363498"/>
    <w:styleLink w:val="CurrentList1"/>
    <w:lvl w:ilvl="0">
      <w:start w:val="1"/>
      <w:numFmt w:val="lowerRoman"/>
      <w:lvlText w:val="(%1)"/>
      <w:lvlJc w:val="left"/>
      <w:pPr>
        <w:ind w:left="1890" w:hanging="72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2"/>
  </w:num>
  <w:num w:numId="4">
    <w:abstractNumId w:val="0"/>
  </w:num>
  <w:num w:numId="5">
    <w:abstractNumId w:val="6"/>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CD"/>
    <w:rsid w:val="000B75FE"/>
    <w:rsid w:val="002A3CEE"/>
    <w:rsid w:val="00330E9D"/>
    <w:rsid w:val="00332B5D"/>
    <w:rsid w:val="00383A15"/>
    <w:rsid w:val="00464F7E"/>
    <w:rsid w:val="0052070F"/>
    <w:rsid w:val="005B0396"/>
    <w:rsid w:val="00610EC5"/>
    <w:rsid w:val="00632697"/>
    <w:rsid w:val="006F2A17"/>
    <w:rsid w:val="007A64AC"/>
    <w:rsid w:val="007C22A5"/>
    <w:rsid w:val="00A3455E"/>
    <w:rsid w:val="00B03ED2"/>
    <w:rsid w:val="00C205B2"/>
    <w:rsid w:val="00C3256E"/>
    <w:rsid w:val="00CB6319"/>
    <w:rsid w:val="00D01ECD"/>
    <w:rsid w:val="00E20467"/>
    <w:rsid w:val="00E52F3B"/>
    <w:rsid w:val="00E66E99"/>
    <w:rsid w:val="00EE5DAE"/>
    <w:rsid w:val="00F6717E"/>
    <w:rsid w:val="00F70EFE"/>
    <w:rsid w:val="00F82317"/>
    <w:rsid w:val="00FD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B5B24"/>
  <w14:defaultImageDpi w14:val="32767"/>
  <w15:chartTrackingRefBased/>
  <w15:docId w15:val="{18D9B6FD-AE6C-1D46-9E39-DDBD0998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1ECD"/>
    <w:pPr>
      <w:suppressAutoHyphens/>
      <w:kinsoku w:val="0"/>
      <w:overflowPunct w:val="0"/>
      <w:autoSpaceDE w:val="0"/>
      <w:autoSpaceDN w:val="0"/>
      <w:adjustRightInd w:val="0"/>
      <w:snapToGrid w:val="0"/>
      <w:spacing w:line="240" w:lineRule="atLeast"/>
    </w:pPr>
    <w:rPr>
      <w:rFonts w:ascii="Times New Roman" w:hAnsi="Times New Roman" w:cs="Times New Roman"/>
      <w:sz w:val="20"/>
      <w:szCs w:val="20"/>
      <w:lang w:val="fr-CH"/>
    </w:rPr>
  </w:style>
  <w:style w:type="paragraph" w:styleId="Heading1">
    <w:name w:val="heading 1"/>
    <w:aliases w:val="Table_G"/>
    <w:basedOn w:val="SingleTxtG"/>
    <w:next w:val="SingleTxtG"/>
    <w:link w:val="Heading1Char"/>
    <w:qFormat/>
    <w:rsid w:val="00D01ECD"/>
    <w:pPr>
      <w:keepNext/>
      <w:keepLines/>
      <w:spacing w:after="0" w:line="240" w:lineRule="auto"/>
      <w:ind w:right="0"/>
      <w:jc w:val="left"/>
      <w:outlineLvl w:val="0"/>
    </w:pPr>
  </w:style>
  <w:style w:type="paragraph" w:styleId="Heading2">
    <w:name w:val="heading 2"/>
    <w:basedOn w:val="Normal"/>
    <w:next w:val="Normal"/>
    <w:link w:val="Heading2Char"/>
    <w:qFormat/>
    <w:rsid w:val="00D01ECD"/>
    <w:pPr>
      <w:outlineLvl w:val="1"/>
    </w:pPr>
  </w:style>
  <w:style w:type="paragraph" w:styleId="Heading3">
    <w:name w:val="heading 3"/>
    <w:basedOn w:val="Normal"/>
    <w:next w:val="Normal"/>
    <w:link w:val="Heading3Char"/>
    <w:qFormat/>
    <w:rsid w:val="00D01ECD"/>
    <w:pPr>
      <w:outlineLvl w:val="2"/>
    </w:pPr>
  </w:style>
  <w:style w:type="paragraph" w:styleId="Heading4">
    <w:name w:val="heading 4"/>
    <w:basedOn w:val="Normal"/>
    <w:next w:val="Normal"/>
    <w:link w:val="Heading4Char"/>
    <w:qFormat/>
    <w:rsid w:val="00D01ECD"/>
    <w:pPr>
      <w:outlineLvl w:val="3"/>
    </w:pPr>
  </w:style>
  <w:style w:type="paragraph" w:styleId="Heading5">
    <w:name w:val="heading 5"/>
    <w:basedOn w:val="Normal"/>
    <w:next w:val="Normal"/>
    <w:link w:val="Heading5Char"/>
    <w:qFormat/>
    <w:rsid w:val="00D01ECD"/>
    <w:pPr>
      <w:outlineLvl w:val="4"/>
    </w:pPr>
  </w:style>
  <w:style w:type="paragraph" w:styleId="Heading6">
    <w:name w:val="heading 6"/>
    <w:basedOn w:val="Normal"/>
    <w:next w:val="Normal"/>
    <w:link w:val="Heading6Char"/>
    <w:qFormat/>
    <w:rsid w:val="00D01ECD"/>
    <w:pPr>
      <w:outlineLvl w:val="5"/>
    </w:pPr>
  </w:style>
  <w:style w:type="paragraph" w:styleId="Heading7">
    <w:name w:val="heading 7"/>
    <w:basedOn w:val="Normal"/>
    <w:next w:val="Normal"/>
    <w:link w:val="Heading7Char"/>
    <w:qFormat/>
    <w:rsid w:val="00D01ECD"/>
    <w:pPr>
      <w:outlineLvl w:val="6"/>
    </w:pPr>
  </w:style>
  <w:style w:type="paragraph" w:styleId="Heading8">
    <w:name w:val="heading 8"/>
    <w:basedOn w:val="Normal"/>
    <w:next w:val="Normal"/>
    <w:link w:val="Heading8Char"/>
    <w:qFormat/>
    <w:rsid w:val="00D01ECD"/>
    <w:pPr>
      <w:outlineLvl w:val="7"/>
    </w:pPr>
  </w:style>
  <w:style w:type="paragraph" w:styleId="Heading9">
    <w:name w:val="heading 9"/>
    <w:basedOn w:val="Normal"/>
    <w:next w:val="Normal"/>
    <w:link w:val="Heading9Char"/>
    <w:qFormat/>
    <w:rsid w:val="00D01E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D01ECD"/>
    <w:rPr>
      <w:rFonts w:ascii="Times New Roman" w:hAnsi="Times New Roman" w:cs="Times New Roman"/>
      <w:sz w:val="20"/>
      <w:szCs w:val="20"/>
      <w:lang w:val="fr-CH"/>
    </w:rPr>
  </w:style>
  <w:style w:type="character" w:customStyle="1" w:styleId="Heading2Char">
    <w:name w:val="Heading 2 Char"/>
    <w:basedOn w:val="DefaultParagraphFont"/>
    <w:link w:val="Heading2"/>
    <w:rsid w:val="00D01ECD"/>
    <w:rPr>
      <w:rFonts w:ascii="Times New Roman" w:hAnsi="Times New Roman" w:cs="Times New Roman"/>
      <w:sz w:val="20"/>
      <w:szCs w:val="20"/>
      <w:lang w:val="fr-CH"/>
    </w:rPr>
  </w:style>
  <w:style w:type="character" w:customStyle="1" w:styleId="Heading3Char">
    <w:name w:val="Heading 3 Char"/>
    <w:basedOn w:val="DefaultParagraphFont"/>
    <w:link w:val="Heading3"/>
    <w:rsid w:val="00D01ECD"/>
    <w:rPr>
      <w:rFonts w:ascii="Times New Roman" w:hAnsi="Times New Roman" w:cs="Times New Roman"/>
      <w:sz w:val="20"/>
      <w:szCs w:val="20"/>
      <w:lang w:val="fr-CH"/>
    </w:rPr>
  </w:style>
  <w:style w:type="character" w:customStyle="1" w:styleId="Heading4Char">
    <w:name w:val="Heading 4 Char"/>
    <w:basedOn w:val="DefaultParagraphFont"/>
    <w:link w:val="Heading4"/>
    <w:rsid w:val="00D01ECD"/>
    <w:rPr>
      <w:rFonts w:ascii="Times New Roman" w:hAnsi="Times New Roman" w:cs="Times New Roman"/>
      <w:sz w:val="20"/>
      <w:szCs w:val="20"/>
      <w:lang w:val="fr-CH"/>
    </w:rPr>
  </w:style>
  <w:style w:type="character" w:customStyle="1" w:styleId="Heading5Char">
    <w:name w:val="Heading 5 Char"/>
    <w:basedOn w:val="DefaultParagraphFont"/>
    <w:link w:val="Heading5"/>
    <w:rsid w:val="00D01ECD"/>
    <w:rPr>
      <w:rFonts w:ascii="Times New Roman" w:hAnsi="Times New Roman" w:cs="Times New Roman"/>
      <w:sz w:val="20"/>
      <w:szCs w:val="20"/>
      <w:lang w:val="fr-CH"/>
    </w:rPr>
  </w:style>
  <w:style w:type="character" w:customStyle="1" w:styleId="Heading6Char">
    <w:name w:val="Heading 6 Char"/>
    <w:basedOn w:val="DefaultParagraphFont"/>
    <w:link w:val="Heading6"/>
    <w:rsid w:val="00D01ECD"/>
    <w:rPr>
      <w:rFonts w:ascii="Times New Roman" w:hAnsi="Times New Roman" w:cs="Times New Roman"/>
      <w:sz w:val="20"/>
      <w:szCs w:val="20"/>
      <w:lang w:val="fr-CH"/>
    </w:rPr>
  </w:style>
  <w:style w:type="character" w:customStyle="1" w:styleId="Heading7Char">
    <w:name w:val="Heading 7 Char"/>
    <w:basedOn w:val="DefaultParagraphFont"/>
    <w:link w:val="Heading7"/>
    <w:rsid w:val="00D01ECD"/>
    <w:rPr>
      <w:rFonts w:ascii="Times New Roman" w:hAnsi="Times New Roman" w:cs="Times New Roman"/>
      <w:sz w:val="20"/>
      <w:szCs w:val="20"/>
      <w:lang w:val="fr-CH"/>
    </w:rPr>
  </w:style>
  <w:style w:type="character" w:customStyle="1" w:styleId="Heading8Char">
    <w:name w:val="Heading 8 Char"/>
    <w:basedOn w:val="DefaultParagraphFont"/>
    <w:link w:val="Heading8"/>
    <w:rsid w:val="00D01ECD"/>
    <w:rPr>
      <w:rFonts w:ascii="Times New Roman" w:hAnsi="Times New Roman" w:cs="Times New Roman"/>
      <w:sz w:val="20"/>
      <w:szCs w:val="20"/>
      <w:lang w:val="fr-CH"/>
    </w:rPr>
  </w:style>
  <w:style w:type="character" w:customStyle="1" w:styleId="Heading9Char">
    <w:name w:val="Heading 9 Char"/>
    <w:basedOn w:val="DefaultParagraphFont"/>
    <w:link w:val="Heading9"/>
    <w:rsid w:val="00D01ECD"/>
    <w:rPr>
      <w:rFonts w:ascii="Times New Roman" w:hAnsi="Times New Roman" w:cs="Times New Roman"/>
      <w:sz w:val="20"/>
      <w:szCs w:val="20"/>
      <w:lang w:val="fr-CH"/>
    </w:rPr>
  </w:style>
  <w:style w:type="paragraph" w:customStyle="1" w:styleId="SingleTxtG">
    <w:name w:val="_ Single Txt_G"/>
    <w:basedOn w:val="Normal"/>
    <w:link w:val="SingleTxtGCar"/>
    <w:qFormat/>
    <w:rsid w:val="00D01ECD"/>
    <w:pPr>
      <w:tabs>
        <w:tab w:val="left" w:pos="1701"/>
        <w:tab w:val="left" w:pos="2268"/>
        <w:tab w:val="left" w:pos="2835"/>
      </w:tabs>
      <w:spacing w:after="120"/>
      <w:ind w:left="1134" w:right="1134"/>
      <w:jc w:val="both"/>
    </w:pPr>
  </w:style>
  <w:style w:type="paragraph" w:styleId="EndnoteText">
    <w:name w:val="endnote text"/>
    <w:aliases w:val="2_G"/>
    <w:basedOn w:val="FootnoteText"/>
    <w:link w:val="EndnoteTextChar"/>
    <w:qFormat/>
    <w:rsid w:val="00D01ECD"/>
  </w:style>
  <w:style w:type="character" w:customStyle="1" w:styleId="EndnoteTextChar">
    <w:name w:val="Endnote Text Char"/>
    <w:aliases w:val="2_G Char"/>
    <w:basedOn w:val="DefaultParagraphFont"/>
    <w:link w:val="EndnoteText"/>
    <w:rsid w:val="00D01ECD"/>
    <w:rPr>
      <w:rFonts w:ascii="Times New Roman" w:hAnsi="Times New Roman" w:cs="Times New Roman"/>
      <w:sz w:val="18"/>
      <w:szCs w:val="20"/>
      <w:lang w:val="fr-CH"/>
    </w:rPr>
  </w:style>
  <w:style w:type="paragraph" w:styleId="FootnoteText">
    <w:name w:val="footnote text"/>
    <w:aliases w:val="5_G,FOOTNOTES,fn,single space,footnote text,f,ft,Footnote Text 1,Footnote Text Char Char,Footnote Text Char Char Char,Footnote Text Char2 Char,Footnote Text Char1 Char Char,ALTS FOOTNOTE,ADB,Footnote Style,Footnote,Char"/>
    <w:basedOn w:val="Normal"/>
    <w:link w:val="FootnoteTextChar"/>
    <w:qFormat/>
    <w:rsid w:val="00D01ECD"/>
    <w:pPr>
      <w:tabs>
        <w:tab w:val="right" w:pos="1021"/>
      </w:tabs>
      <w:spacing w:line="220" w:lineRule="exact"/>
      <w:ind w:left="1134" w:right="1134" w:hanging="1134"/>
    </w:pPr>
    <w:rPr>
      <w:sz w:val="18"/>
    </w:rPr>
  </w:style>
  <w:style w:type="character" w:customStyle="1" w:styleId="FootnoteTextChar">
    <w:name w:val="Footnote Text Char"/>
    <w:aliases w:val="5_G Char,FOOTNOTES Char,fn Char,single space Char,footnote text Char,f Char,ft Char,Footnote Text 1 Char,Footnote Text Char Char Char1,Footnote Text Char Char Char Char,Footnote Text Char2 Char Char,Footnote Text Char1 Char Char Char"/>
    <w:basedOn w:val="DefaultParagraphFont"/>
    <w:link w:val="FootnoteText"/>
    <w:qFormat/>
    <w:rsid w:val="00D01ECD"/>
    <w:rPr>
      <w:rFonts w:ascii="Times New Roman" w:hAnsi="Times New Roman" w:cs="Times New Roman"/>
      <w:sz w:val="18"/>
      <w:szCs w:val="20"/>
      <w:lang w:val="fr-CH"/>
    </w:rPr>
  </w:style>
  <w:style w:type="paragraph" w:styleId="Footer">
    <w:name w:val="footer"/>
    <w:aliases w:val="3_G"/>
    <w:basedOn w:val="Normal"/>
    <w:next w:val="Normal"/>
    <w:link w:val="FooterChar"/>
    <w:uiPriority w:val="99"/>
    <w:qFormat/>
    <w:rsid w:val="00D01ECD"/>
    <w:pPr>
      <w:spacing w:line="240" w:lineRule="auto"/>
    </w:pPr>
    <w:rPr>
      <w:sz w:val="16"/>
    </w:rPr>
  </w:style>
  <w:style w:type="character" w:customStyle="1" w:styleId="FooterChar">
    <w:name w:val="Footer Char"/>
    <w:aliases w:val="3_G Char"/>
    <w:basedOn w:val="DefaultParagraphFont"/>
    <w:link w:val="Footer"/>
    <w:uiPriority w:val="99"/>
    <w:rsid w:val="00D01ECD"/>
    <w:rPr>
      <w:rFonts w:ascii="Times New Roman" w:hAnsi="Times New Roman" w:cs="Times New Roman"/>
      <w:sz w:val="16"/>
      <w:szCs w:val="20"/>
      <w:lang w:val="fr-CH"/>
    </w:rPr>
  </w:style>
  <w:style w:type="character" w:styleId="EndnoteReference">
    <w:name w:val="endnote reference"/>
    <w:aliases w:val="1_G"/>
    <w:basedOn w:val="FootnoteReference"/>
    <w:qFormat/>
    <w:rsid w:val="00D01ECD"/>
    <w:rPr>
      <w:rFonts w:ascii="Times New Roman" w:hAnsi="Times New Roman"/>
      <w:sz w:val="18"/>
      <w:vertAlign w:val="superscript"/>
      <w:lang w:val="fr-CH"/>
    </w:rPr>
  </w:style>
  <w:style w:type="character" w:styleId="FootnoteReference">
    <w:name w:val="footnote reference"/>
    <w:aliases w:val="4_G,Appel note de bas de page Char,Texto de nota al pie Char,referencia nota al pie Char,FZ Char,a Footnote Reference Char,a Footnote text + MetaNormal-Roman Char,Appel note de bas de page Char1 Char Char Char Char Char Char"/>
    <w:basedOn w:val="DefaultParagraphFont"/>
    <w:qFormat/>
    <w:rsid w:val="00D01ECD"/>
    <w:rPr>
      <w:rFonts w:ascii="Times New Roman" w:hAnsi="Times New Roman"/>
      <w:sz w:val="18"/>
      <w:vertAlign w:val="superscript"/>
      <w:lang w:val="fr-CH"/>
    </w:rPr>
  </w:style>
  <w:style w:type="character" w:styleId="PageNumber">
    <w:name w:val="page number"/>
    <w:aliases w:val="7_G"/>
    <w:basedOn w:val="DefaultParagraphFont"/>
    <w:qFormat/>
    <w:rsid w:val="00D01ECD"/>
    <w:rPr>
      <w:rFonts w:ascii="Times New Roman" w:hAnsi="Times New Roman"/>
      <w:b/>
      <w:sz w:val="18"/>
      <w:lang w:val="fr-CH"/>
    </w:rPr>
  </w:style>
  <w:style w:type="paragraph" w:styleId="Header">
    <w:name w:val="header"/>
    <w:aliases w:val="6_G"/>
    <w:basedOn w:val="Normal"/>
    <w:next w:val="Normal"/>
    <w:link w:val="HeaderChar"/>
    <w:uiPriority w:val="99"/>
    <w:qFormat/>
    <w:rsid w:val="00D01EC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D01ECD"/>
    <w:rPr>
      <w:rFonts w:ascii="Times New Roman" w:hAnsi="Times New Roman" w:cs="Times New Roman"/>
      <w:b/>
      <w:sz w:val="18"/>
      <w:szCs w:val="20"/>
      <w:lang w:val="fr-CH"/>
    </w:rPr>
  </w:style>
  <w:style w:type="paragraph" w:customStyle="1" w:styleId="H1G">
    <w:name w:val="_ H_1_G"/>
    <w:basedOn w:val="Normal"/>
    <w:next w:val="Normal"/>
    <w:qFormat/>
    <w:rsid w:val="00D01EC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D01EC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D01EC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link w:val="H23GChar"/>
    <w:qFormat/>
    <w:rsid w:val="00D01EC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01EC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01EC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D01ECD"/>
    <w:pPr>
      <w:keepNext/>
      <w:keepLines/>
      <w:spacing w:before="240" w:after="240" w:line="420" w:lineRule="exact"/>
      <w:ind w:left="1134" w:right="1134"/>
    </w:pPr>
    <w:rPr>
      <w:b/>
      <w:sz w:val="40"/>
    </w:rPr>
  </w:style>
  <w:style w:type="paragraph" w:customStyle="1" w:styleId="SLG">
    <w:name w:val="__S_L_G"/>
    <w:basedOn w:val="Normal"/>
    <w:next w:val="Normal"/>
    <w:rsid w:val="00D01ECD"/>
    <w:pPr>
      <w:keepNext/>
      <w:keepLines/>
      <w:spacing w:before="240" w:after="240" w:line="580" w:lineRule="exact"/>
      <w:ind w:left="1134" w:right="1134"/>
    </w:pPr>
    <w:rPr>
      <w:b/>
      <w:sz w:val="56"/>
    </w:rPr>
  </w:style>
  <w:style w:type="paragraph" w:customStyle="1" w:styleId="SSG">
    <w:name w:val="__S_S_G"/>
    <w:basedOn w:val="Normal"/>
    <w:next w:val="Normal"/>
    <w:rsid w:val="00D01ECD"/>
    <w:pPr>
      <w:keepNext/>
      <w:keepLines/>
      <w:spacing w:before="240" w:after="240" w:line="300" w:lineRule="exact"/>
      <w:ind w:left="1134" w:right="1134"/>
    </w:pPr>
    <w:rPr>
      <w:b/>
      <w:sz w:val="28"/>
    </w:rPr>
  </w:style>
  <w:style w:type="paragraph" w:customStyle="1" w:styleId="XLargeG">
    <w:name w:val="__XLarge_G"/>
    <w:basedOn w:val="Normal"/>
    <w:next w:val="Normal"/>
    <w:rsid w:val="00D01ECD"/>
    <w:pPr>
      <w:keepNext/>
      <w:keepLines/>
      <w:spacing w:before="240" w:after="240" w:line="420" w:lineRule="exact"/>
      <w:ind w:left="1134" w:right="1134"/>
    </w:pPr>
    <w:rPr>
      <w:b/>
      <w:sz w:val="40"/>
    </w:rPr>
  </w:style>
  <w:style w:type="paragraph" w:customStyle="1" w:styleId="Bullet1G">
    <w:name w:val="_Bullet 1_G"/>
    <w:basedOn w:val="Normal"/>
    <w:qFormat/>
    <w:rsid w:val="00D01ECD"/>
    <w:pPr>
      <w:numPr>
        <w:numId w:val="1"/>
      </w:numPr>
      <w:spacing w:after="120"/>
      <w:ind w:right="1134"/>
      <w:jc w:val="both"/>
    </w:pPr>
  </w:style>
  <w:style w:type="paragraph" w:customStyle="1" w:styleId="Bullet2G">
    <w:name w:val="_Bullet 2_G"/>
    <w:basedOn w:val="Normal"/>
    <w:qFormat/>
    <w:rsid w:val="00D01ECD"/>
    <w:pPr>
      <w:numPr>
        <w:numId w:val="2"/>
      </w:numPr>
      <w:spacing w:after="120"/>
      <w:ind w:right="1134"/>
      <w:jc w:val="both"/>
    </w:pPr>
  </w:style>
  <w:style w:type="table" w:styleId="TableGrid">
    <w:name w:val="Table Grid"/>
    <w:basedOn w:val="TableNormal"/>
    <w:rsid w:val="00D01ECD"/>
    <w:pPr>
      <w:suppressAutoHyphens/>
      <w:spacing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DefaultParagraphFont"/>
    <w:link w:val="SingleTxtG"/>
    <w:rsid w:val="00D01ECD"/>
    <w:rPr>
      <w:rFonts w:ascii="Times New Roman" w:hAnsi="Times New Roman" w:cs="Times New Roman"/>
      <w:sz w:val="20"/>
      <w:szCs w:val="20"/>
      <w:lang w:val="fr-CH"/>
    </w:rPr>
  </w:style>
  <w:style w:type="character" w:styleId="Hyperlink">
    <w:name w:val="Hyperlink"/>
    <w:basedOn w:val="DefaultParagraphFont"/>
    <w:qFormat/>
    <w:rsid w:val="00D01ECD"/>
    <w:rPr>
      <w:color w:val="0000FF"/>
      <w:u w:val="none"/>
    </w:rPr>
  </w:style>
  <w:style w:type="character" w:styleId="FollowedHyperlink">
    <w:name w:val="FollowedHyperlink"/>
    <w:basedOn w:val="DefaultParagraphFont"/>
    <w:uiPriority w:val="99"/>
    <w:qFormat/>
    <w:rsid w:val="00D01ECD"/>
    <w:rPr>
      <w:color w:val="0000FF"/>
      <w:u w:val="none"/>
    </w:rPr>
  </w:style>
  <w:style w:type="paragraph" w:customStyle="1" w:styleId="ParNoG">
    <w:name w:val="_ParNo_G"/>
    <w:basedOn w:val="Normal"/>
    <w:qFormat/>
    <w:rsid w:val="00D01ECD"/>
    <w:pPr>
      <w:numPr>
        <w:numId w:val="3"/>
      </w:numPr>
      <w:tabs>
        <w:tab w:val="left" w:pos="1701"/>
        <w:tab w:val="left" w:pos="2268"/>
        <w:tab w:val="left" w:pos="2835"/>
      </w:tabs>
      <w:spacing w:after="120"/>
      <w:ind w:right="1134"/>
      <w:jc w:val="both"/>
    </w:pPr>
  </w:style>
  <w:style w:type="paragraph" w:styleId="BalloonText">
    <w:name w:val="Balloon Text"/>
    <w:basedOn w:val="Normal"/>
    <w:link w:val="BalloonTextChar"/>
    <w:uiPriority w:val="99"/>
    <w:rsid w:val="00D01E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01ECD"/>
    <w:rPr>
      <w:rFonts w:ascii="Tahoma" w:hAnsi="Tahoma" w:cs="Tahoma"/>
      <w:sz w:val="16"/>
      <w:szCs w:val="16"/>
      <w:lang w:val="fr-CH"/>
    </w:rPr>
  </w:style>
  <w:style w:type="character" w:customStyle="1" w:styleId="SingleTxtGChar">
    <w:name w:val="_ Single Txt_G Char"/>
    <w:basedOn w:val="DefaultParagraphFont"/>
    <w:rsid w:val="00D01ECD"/>
    <w:rPr>
      <w:rFonts w:ascii="Times New Roman" w:eastAsia="SimSun" w:hAnsi="Times New Roman" w:cs="Times New Roman"/>
      <w:sz w:val="20"/>
      <w:szCs w:val="20"/>
      <w:lang w:val="en-GB"/>
    </w:rPr>
  </w:style>
  <w:style w:type="paragraph" w:customStyle="1" w:styleId="ParaNoG">
    <w:name w:val="_ParaNo._G"/>
    <w:basedOn w:val="SingleTxtG"/>
    <w:qFormat/>
    <w:rsid w:val="00D01ECD"/>
    <w:pPr>
      <w:numPr>
        <w:numId w:val="4"/>
      </w:numPr>
      <w:tabs>
        <w:tab w:val="clear" w:pos="0"/>
        <w:tab w:val="clear" w:pos="2835"/>
        <w:tab w:val="num" w:pos="360"/>
      </w:tabs>
    </w:pPr>
    <w:rPr>
      <w:lang w:val="en-GB"/>
    </w:rPr>
  </w:style>
  <w:style w:type="numbering" w:styleId="111111">
    <w:name w:val="Outline List 2"/>
    <w:basedOn w:val="NoList"/>
    <w:rsid w:val="00D01ECD"/>
    <w:pPr>
      <w:numPr>
        <w:numId w:val="5"/>
      </w:numPr>
    </w:pPr>
  </w:style>
  <w:style w:type="numbering" w:styleId="1ai">
    <w:name w:val="Outline List 1"/>
    <w:basedOn w:val="NoList"/>
    <w:rsid w:val="00D01ECD"/>
    <w:pPr>
      <w:numPr>
        <w:numId w:val="6"/>
      </w:numPr>
    </w:pPr>
  </w:style>
  <w:style w:type="character" w:styleId="BookTitle">
    <w:name w:val="Book Title"/>
    <w:basedOn w:val="DefaultParagraphFont"/>
    <w:uiPriority w:val="33"/>
    <w:rsid w:val="00D01ECD"/>
    <w:rPr>
      <w:b/>
      <w:bCs/>
      <w:smallCaps/>
      <w:spacing w:val="5"/>
    </w:rPr>
  </w:style>
  <w:style w:type="character" w:styleId="CommentReference">
    <w:name w:val="annotation reference"/>
    <w:basedOn w:val="DefaultParagraphFont"/>
    <w:uiPriority w:val="99"/>
    <w:semiHidden/>
    <w:unhideWhenUsed/>
    <w:rsid w:val="00D01ECD"/>
    <w:rPr>
      <w:sz w:val="16"/>
      <w:szCs w:val="16"/>
    </w:rPr>
  </w:style>
  <w:style w:type="paragraph" w:styleId="CommentText">
    <w:name w:val="annotation text"/>
    <w:basedOn w:val="Normal"/>
    <w:link w:val="CommentTextChar"/>
    <w:uiPriority w:val="99"/>
    <w:unhideWhenUsed/>
    <w:rsid w:val="00D01ECD"/>
    <w:pPr>
      <w:suppressAutoHyphens w:val="0"/>
      <w:kinsoku/>
      <w:overflowPunct/>
      <w:autoSpaceDE/>
      <w:autoSpaceDN/>
      <w:adjustRightInd/>
      <w:snapToGrid/>
      <w:spacing w:line="240" w:lineRule="auto"/>
    </w:pPr>
    <w:rPr>
      <w:rFonts w:eastAsia="SimSun"/>
      <w:lang w:val="en-GB" w:eastAsia="zh-CN"/>
    </w:rPr>
  </w:style>
  <w:style w:type="character" w:customStyle="1" w:styleId="CommentTextChar">
    <w:name w:val="Comment Text Char"/>
    <w:basedOn w:val="DefaultParagraphFont"/>
    <w:link w:val="CommentText"/>
    <w:uiPriority w:val="99"/>
    <w:rsid w:val="00D01ECD"/>
    <w:rPr>
      <w:rFonts w:ascii="Times New Roman" w:eastAsia="SimSun" w:hAnsi="Times New Roman" w:cs="Times New Roman"/>
      <w:sz w:val="20"/>
      <w:szCs w:val="20"/>
      <w:lang w:val="en-GB" w:eastAsia="zh-CN"/>
    </w:rPr>
  </w:style>
  <w:style w:type="paragraph" w:styleId="CommentSubject">
    <w:name w:val="annotation subject"/>
    <w:basedOn w:val="Normal"/>
    <w:next w:val="Normal"/>
    <w:link w:val="CommentSubjectChar"/>
    <w:uiPriority w:val="99"/>
    <w:semiHidden/>
    <w:unhideWhenUsed/>
    <w:rsid w:val="00D01ECD"/>
    <w:pPr>
      <w:suppressAutoHyphens w:val="0"/>
      <w:kinsoku/>
      <w:overflowPunct/>
      <w:autoSpaceDE/>
      <w:autoSpaceDN/>
      <w:adjustRightInd/>
      <w:snapToGrid/>
      <w:spacing w:line="240" w:lineRule="auto"/>
    </w:pPr>
    <w:rPr>
      <w:rFonts w:eastAsia="SimSun"/>
      <w:b/>
      <w:bCs/>
      <w:lang w:val="en-GB" w:eastAsia="zh-CN"/>
    </w:rPr>
  </w:style>
  <w:style w:type="character" w:customStyle="1" w:styleId="CommentSubjectChar">
    <w:name w:val="Comment Subject Char"/>
    <w:basedOn w:val="CommentTextChar"/>
    <w:link w:val="CommentSubject"/>
    <w:uiPriority w:val="99"/>
    <w:semiHidden/>
    <w:rsid w:val="00D01ECD"/>
    <w:rPr>
      <w:rFonts w:ascii="Times New Roman" w:eastAsia="SimSun" w:hAnsi="Times New Roman" w:cs="Times New Roman"/>
      <w:b/>
      <w:bCs/>
      <w:sz w:val="20"/>
      <w:szCs w:val="20"/>
      <w:lang w:val="en-GB" w:eastAsia="zh-CN"/>
    </w:rPr>
  </w:style>
  <w:style w:type="character" w:customStyle="1" w:styleId="H23GChar">
    <w:name w:val="_ H_2/3_G Char"/>
    <w:link w:val="H23G"/>
    <w:rsid w:val="00D01ECD"/>
    <w:rPr>
      <w:rFonts w:ascii="Times New Roman" w:hAnsi="Times New Roman" w:cs="Times New Roman"/>
      <w:b/>
      <w:sz w:val="20"/>
      <w:szCs w:val="20"/>
      <w:lang w:val="fr-CH"/>
    </w:rPr>
  </w:style>
  <w:style w:type="paragraph" w:customStyle="1" w:styleId="Revision1">
    <w:name w:val="Revision1"/>
    <w:next w:val="Revision"/>
    <w:hidden/>
    <w:uiPriority w:val="99"/>
    <w:semiHidden/>
    <w:rsid w:val="00D01ECD"/>
    <w:rPr>
      <w:rFonts w:eastAsiaTheme="minorEastAsia"/>
      <w:sz w:val="22"/>
      <w:szCs w:val="22"/>
      <w:lang w:val="en-GB"/>
    </w:rPr>
  </w:style>
  <w:style w:type="paragraph" w:customStyle="1" w:styleId="Rvision1">
    <w:name w:val="Révision1"/>
    <w:hidden/>
    <w:semiHidden/>
    <w:rsid w:val="00D01ECD"/>
    <w:rPr>
      <w:rFonts w:ascii="Times New Roman" w:eastAsia="Times New Roman" w:hAnsi="Times New Roman" w:cs="Times New Roman"/>
      <w:sz w:val="20"/>
      <w:szCs w:val="20"/>
      <w:lang w:val="en-GB"/>
    </w:rPr>
  </w:style>
  <w:style w:type="character" w:customStyle="1" w:styleId="Mentionnonrsolue1">
    <w:name w:val="Mention non résolue1"/>
    <w:basedOn w:val="DefaultParagraphFont"/>
    <w:uiPriority w:val="99"/>
    <w:semiHidden/>
    <w:unhideWhenUsed/>
    <w:rsid w:val="00D01ECD"/>
    <w:rPr>
      <w:color w:val="605E5C"/>
      <w:shd w:val="clear" w:color="auto" w:fill="E1DFDD"/>
    </w:rPr>
  </w:style>
  <w:style w:type="paragraph" w:customStyle="1" w:styleId="Rvision11">
    <w:name w:val="Révision11"/>
    <w:hidden/>
    <w:semiHidden/>
    <w:rsid w:val="00D01ECD"/>
    <w:rPr>
      <w:rFonts w:ascii="Times New Roman" w:eastAsia="Times New Roman" w:hAnsi="Times New Roman" w:cs="Times New Roman"/>
      <w:sz w:val="20"/>
      <w:szCs w:val="20"/>
      <w:lang w:val="en-GB"/>
    </w:rPr>
  </w:style>
  <w:style w:type="paragraph" w:styleId="Revision">
    <w:name w:val="Revision"/>
    <w:hidden/>
    <w:uiPriority w:val="99"/>
    <w:semiHidden/>
    <w:rsid w:val="00D01ECD"/>
    <w:rPr>
      <w:rFonts w:eastAsiaTheme="minorEastAsia"/>
      <w:sz w:val="22"/>
      <w:szCs w:val="22"/>
    </w:rPr>
  </w:style>
  <w:style w:type="character" w:customStyle="1" w:styleId="Hyperlink1">
    <w:name w:val="Hyperlink1"/>
    <w:basedOn w:val="DefaultParagraphFont"/>
    <w:uiPriority w:val="99"/>
    <w:unhideWhenUsed/>
    <w:qFormat/>
    <w:rsid w:val="00D01ECD"/>
    <w:rPr>
      <w:color w:val="0000FF"/>
      <w:u w:val="none"/>
    </w:rPr>
  </w:style>
  <w:style w:type="paragraph" w:styleId="ListParagraph">
    <w:name w:val="List Paragraph"/>
    <w:basedOn w:val="Normal"/>
    <w:uiPriority w:val="34"/>
    <w:qFormat/>
    <w:rsid w:val="00D01ECD"/>
    <w:pPr>
      <w:suppressAutoHyphens w:val="0"/>
      <w:kinsoku/>
      <w:overflowPunct/>
      <w:autoSpaceDE/>
      <w:autoSpaceDN/>
      <w:adjustRightInd/>
      <w:snapToGrid/>
      <w:spacing w:line="240" w:lineRule="auto"/>
      <w:ind w:left="720"/>
      <w:contextualSpacing/>
    </w:pPr>
    <w:rPr>
      <w:rFonts w:eastAsia="SimSun"/>
      <w:lang w:val="en-GB" w:eastAsia="zh-CN"/>
    </w:rPr>
  </w:style>
  <w:style w:type="character" w:styleId="Emphasis">
    <w:name w:val="Emphasis"/>
    <w:basedOn w:val="DefaultParagraphFont"/>
    <w:uiPriority w:val="20"/>
    <w:qFormat/>
    <w:rsid w:val="00D01ECD"/>
    <w:rPr>
      <w:i/>
      <w:iCs/>
    </w:rPr>
  </w:style>
  <w:style w:type="paragraph" w:styleId="NormalWeb">
    <w:name w:val="Normal (Web)"/>
    <w:basedOn w:val="Normal"/>
    <w:uiPriority w:val="99"/>
    <w:unhideWhenUsed/>
    <w:rsid w:val="00D01ECD"/>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p1">
    <w:name w:val="p1"/>
    <w:basedOn w:val="Normal"/>
    <w:rsid w:val="00D01ECD"/>
    <w:pPr>
      <w:suppressAutoHyphens w:val="0"/>
      <w:kinsoku/>
      <w:overflowPunct/>
      <w:autoSpaceDE/>
      <w:autoSpaceDN/>
      <w:adjustRightInd/>
      <w:snapToGrid/>
      <w:spacing w:line="240" w:lineRule="auto"/>
    </w:pPr>
    <w:rPr>
      <w:rFonts w:ascii="Times" w:eastAsia="Times New Roman" w:hAnsi="Times"/>
      <w:sz w:val="15"/>
      <w:szCs w:val="15"/>
      <w:lang w:val="en-US"/>
    </w:rPr>
  </w:style>
  <w:style w:type="character" w:customStyle="1" w:styleId="apple-converted-space">
    <w:name w:val="apple-converted-space"/>
    <w:basedOn w:val="DefaultParagraphFont"/>
    <w:rsid w:val="00D01ECD"/>
  </w:style>
  <w:style w:type="character" w:customStyle="1" w:styleId="s1">
    <w:name w:val="s1"/>
    <w:basedOn w:val="DefaultParagraphFont"/>
    <w:rsid w:val="00D01ECD"/>
    <w:rPr>
      <w:rFonts w:ascii="Times" w:hAnsi="Times" w:hint="default"/>
      <w:sz w:val="11"/>
      <w:szCs w:val="11"/>
    </w:rPr>
  </w:style>
  <w:style w:type="character" w:customStyle="1" w:styleId="a-size-base">
    <w:name w:val="a-size-base"/>
    <w:basedOn w:val="DefaultParagraphFont"/>
    <w:rsid w:val="00D01ECD"/>
  </w:style>
  <w:style w:type="character" w:customStyle="1" w:styleId="a-size-extra-large">
    <w:name w:val="a-size-extra-large"/>
    <w:basedOn w:val="DefaultParagraphFont"/>
    <w:rsid w:val="00D01ECD"/>
  </w:style>
  <w:style w:type="character" w:customStyle="1" w:styleId="smallcaps">
    <w:name w:val="smallcaps"/>
    <w:basedOn w:val="DefaultParagraphFont"/>
    <w:rsid w:val="00D01ECD"/>
  </w:style>
  <w:style w:type="character" w:customStyle="1" w:styleId="ssleftalign">
    <w:name w:val="ss_leftalign"/>
    <w:basedOn w:val="DefaultParagraphFont"/>
    <w:rsid w:val="00D01ECD"/>
  </w:style>
  <w:style w:type="character" w:customStyle="1" w:styleId="sssh">
    <w:name w:val="ss_sh"/>
    <w:basedOn w:val="DefaultParagraphFont"/>
    <w:rsid w:val="00D01ECD"/>
  </w:style>
  <w:style w:type="paragraph" w:customStyle="1" w:styleId="p2">
    <w:name w:val="p2"/>
    <w:basedOn w:val="Normal"/>
    <w:rsid w:val="00D01ECD"/>
    <w:pPr>
      <w:suppressAutoHyphens w:val="0"/>
      <w:kinsoku/>
      <w:overflowPunct/>
      <w:autoSpaceDE/>
      <w:autoSpaceDN/>
      <w:adjustRightInd/>
      <w:snapToGrid/>
      <w:spacing w:line="240" w:lineRule="auto"/>
    </w:pPr>
    <w:rPr>
      <w:rFonts w:ascii="Times" w:eastAsia="Times New Roman" w:hAnsi="Times"/>
      <w:color w:val="011278"/>
      <w:sz w:val="30"/>
      <w:szCs w:val="30"/>
      <w:lang w:val="en-US"/>
    </w:rPr>
  </w:style>
  <w:style w:type="character" w:customStyle="1" w:styleId="ssit">
    <w:name w:val="ss_it"/>
    <w:basedOn w:val="DefaultParagraphFont"/>
    <w:rsid w:val="00D01ECD"/>
  </w:style>
  <w:style w:type="character" w:customStyle="1" w:styleId="addmd">
    <w:name w:val="addmd"/>
    <w:basedOn w:val="DefaultParagraphFont"/>
    <w:rsid w:val="00D01ECD"/>
  </w:style>
  <w:style w:type="character" w:styleId="Strong">
    <w:name w:val="Strong"/>
    <w:basedOn w:val="DefaultParagraphFont"/>
    <w:uiPriority w:val="22"/>
    <w:qFormat/>
    <w:rsid w:val="00D01ECD"/>
    <w:rPr>
      <w:b/>
      <w:bCs/>
    </w:rPr>
  </w:style>
  <w:style w:type="character" w:customStyle="1" w:styleId="title1">
    <w:name w:val="title1"/>
    <w:basedOn w:val="DefaultParagraphFont"/>
    <w:rsid w:val="00D01ECD"/>
  </w:style>
  <w:style w:type="paragraph" w:styleId="HTMLPreformatted">
    <w:name w:val="HTML Preformatted"/>
    <w:basedOn w:val="Normal"/>
    <w:link w:val="HTMLPreformattedChar"/>
    <w:uiPriority w:val="99"/>
    <w:semiHidden/>
    <w:unhideWhenUsed/>
    <w:rsid w:val="00D01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semiHidden/>
    <w:rsid w:val="00D01ECD"/>
    <w:rPr>
      <w:rFonts w:ascii="Courier New" w:eastAsia="Times New Roman" w:hAnsi="Courier New" w:cs="Courier New"/>
      <w:sz w:val="20"/>
      <w:szCs w:val="20"/>
    </w:rPr>
  </w:style>
  <w:style w:type="character" w:customStyle="1" w:styleId="st">
    <w:name w:val="st"/>
    <w:basedOn w:val="DefaultParagraphFont"/>
    <w:rsid w:val="00D01ECD"/>
  </w:style>
  <w:style w:type="paragraph" w:customStyle="1" w:styleId="p3">
    <w:name w:val="p3"/>
    <w:basedOn w:val="Normal"/>
    <w:rsid w:val="00D01ECD"/>
    <w:pPr>
      <w:suppressAutoHyphens w:val="0"/>
      <w:kinsoku/>
      <w:overflowPunct/>
      <w:autoSpaceDE/>
      <w:autoSpaceDN/>
      <w:adjustRightInd/>
      <w:snapToGrid/>
      <w:spacing w:after="90" w:line="240" w:lineRule="auto"/>
      <w:ind w:hanging="825"/>
    </w:pPr>
    <w:rPr>
      <w:rFonts w:eastAsia="Times New Roman"/>
      <w:sz w:val="15"/>
      <w:szCs w:val="15"/>
      <w:lang w:val="en-US"/>
    </w:rPr>
  </w:style>
  <w:style w:type="paragraph" w:customStyle="1" w:styleId="p4">
    <w:name w:val="p4"/>
    <w:basedOn w:val="Normal"/>
    <w:rsid w:val="00D01ECD"/>
    <w:pPr>
      <w:suppressAutoHyphens w:val="0"/>
      <w:kinsoku/>
      <w:overflowPunct/>
      <w:autoSpaceDE/>
      <w:autoSpaceDN/>
      <w:adjustRightInd/>
      <w:snapToGrid/>
      <w:spacing w:after="90" w:line="240" w:lineRule="auto"/>
    </w:pPr>
    <w:rPr>
      <w:rFonts w:eastAsia="Times New Roman"/>
      <w:sz w:val="15"/>
      <w:szCs w:val="15"/>
      <w:lang w:val="en-US"/>
    </w:rPr>
  </w:style>
  <w:style w:type="paragraph" w:customStyle="1" w:styleId="p5">
    <w:name w:val="p5"/>
    <w:basedOn w:val="Normal"/>
    <w:rsid w:val="00D01ECD"/>
    <w:pPr>
      <w:suppressAutoHyphens w:val="0"/>
      <w:kinsoku/>
      <w:overflowPunct/>
      <w:autoSpaceDE/>
      <w:autoSpaceDN/>
      <w:adjustRightInd/>
      <w:snapToGrid/>
      <w:spacing w:after="90" w:line="240" w:lineRule="auto"/>
      <w:ind w:hanging="1290"/>
    </w:pPr>
    <w:rPr>
      <w:rFonts w:eastAsia="Times New Roman"/>
      <w:sz w:val="15"/>
      <w:szCs w:val="15"/>
      <w:lang w:val="en-US"/>
    </w:rPr>
  </w:style>
  <w:style w:type="paragraph" w:customStyle="1" w:styleId="p6">
    <w:name w:val="p6"/>
    <w:basedOn w:val="Normal"/>
    <w:rsid w:val="00D01ECD"/>
    <w:pPr>
      <w:suppressAutoHyphens w:val="0"/>
      <w:kinsoku/>
      <w:overflowPunct/>
      <w:autoSpaceDE/>
      <w:autoSpaceDN/>
      <w:adjustRightInd/>
      <w:snapToGrid/>
      <w:spacing w:line="240" w:lineRule="auto"/>
      <w:ind w:firstLine="465"/>
    </w:pPr>
    <w:rPr>
      <w:rFonts w:eastAsia="Times New Roman"/>
      <w:sz w:val="15"/>
      <w:szCs w:val="15"/>
      <w:lang w:val="en-US"/>
    </w:rPr>
  </w:style>
  <w:style w:type="paragraph" w:customStyle="1" w:styleId="suggested-citation">
    <w:name w:val="suggested-citation"/>
    <w:basedOn w:val="Normal"/>
    <w:rsid w:val="00D01ECD"/>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styleId="HTMLCite">
    <w:name w:val="HTML Cite"/>
    <w:basedOn w:val="DefaultParagraphFont"/>
    <w:uiPriority w:val="99"/>
    <w:semiHidden/>
    <w:unhideWhenUsed/>
    <w:rsid w:val="00D01ECD"/>
    <w:rPr>
      <w:i/>
      <w:iCs/>
    </w:rPr>
  </w:style>
  <w:style w:type="character" w:customStyle="1" w:styleId="s2">
    <w:name w:val="s2"/>
    <w:basedOn w:val="DefaultParagraphFont"/>
    <w:rsid w:val="00D01ECD"/>
    <w:rPr>
      <w:color w:val="000000"/>
    </w:rPr>
  </w:style>
  <w:style w:type="character" w:customStyle="1" w:styleId="UnresolvedMention1">
    <w:name w:val="Unresolved Mention1"/>
    <w:basedOn w:val="DefaultParagraphFont"/>
    <w:uiPriority w:val="99"/>
    <w:rsid w:val="00D01ECD"/>
    <w:rPr>
      <w:color w:val="808080"/>
      <w:shd w:val="clear" w:color="auto" w:fill="E6E6E6"/>
    </w:rPr>
  </w:style>
  <w:style w:type="paragraph" w:customStyle="1" w:styleId="textbox">
    <w:name w:val="textbox"/>
    <w:basedOn w:val="Normal"/>
    <w:rsid w:val="00D01ECD"/>
    <w:pPr>
      <w:suppressAutoHyphens w:val="0"/>
      <w:kinsoku/>
      <w:overflowPunct/>
      <w:autoSpaceDE/>
      <w:autoSpaceDN/>
      <w:adjustRightInd/>
      <w:snapToGrid/>
      <w:spacing w:before="100" w:beforeAutospacing="1" w:after="100" w:afterAutospacing="1" w:line="240" w:lineRule="auto"/>
    </w:pPr>
    <w:rPr>
      <w:rFonts w:ascii="Times" w:hAnsi="Times" w:cstheme="minorBidi"/>
      <w:lang w:val="en-US"/>
    </w:rPr>
  </w:style>
  <w:style w:type="character" w:customStyle="1" w:styleId="UnresolvedMention2">
    <w:name w:val="Unresolved Mention2"/>
    <w:basedOn w:val="DefaultParagraphFont"/>
    <w:uiPriority w:val="99"/>
    <w:unhideWhenUsed/>
    <w:rsid w:val="00D01ECD"/>
    <w:rPr>
      <w:color w:val="808080"/>
      <w:shd w:val="clear" w:color="auto" w:fill="E6E6E6"/>
    </w:rPr>
  </w:style>
  <w:style w:type="character" w:customStyle="1" w:styleId="a-size-large">
    <w:name w:val="a-size-large"/>
    <w:basedOn w:val="DefaultParagraphFont"/>
    <w:rsid w:val="00D01ECD"/>
  </w:style>
  <w:style w:type="paragraph" w:customStyle="1" w:styleId="Default">
    <w:name w:val="Default"/>
    <w:rsid w:val="00D01ECD"/>
    <w:pPr>
      <w:autoSpaceDE w:val="0"/>
      <w:autoSpaceDN w:val="0"/>
      <w:adjustRightInd w:val="0"/>
    </w:pPr>
    <w:rPr>
      <w:rFonts w:ascii="Times New Roman" w:hAnsi="Times New Roman" w:cs="Times New Roman"/>
      <w:color w:val="000000"/>
    </w:rPr>
  </w:style>
  <w:style w:type="paragraph" w:customStyle="1" w:styleId="Prrafodelista1">
    <w:name w:val="Párrafo de lista1"/>
    <w:basedOn w:val="Normal"/>
    <w:uiPriority w:val="34"/>
    <w:qFormat/>
    <w:rsid w:val="00D01ECD"/>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en-US"/>
    </w:rPr>
  </w:style>
  <w:style w:type="character" w:customStyle="1" w:styleId="UnresolvedMention3">
    <w:name w:val="Unresolved Mention3"/>
    <w:basedOn w:val="DefaultParagraphFont"/>
    <w:uiPriority w:val="99"/>
    <w:semiHidden/>
    <w:unhideWhenUsed/>
    <w:rsid w:val="00D01ECD"/>
    <w:rPr>
      <w:color w:val="605E5C"/>
      <w:shd w:val="clear" w:color="auto" w:fill="E1DFDD"/>
    </w:rPr>
  </w:style>
  <w:style w:type="paragraph" w:styleId="Subtitle">
    <w:name w:val="Subtitle"/>
    <w:basedOn w:val="Normal"/>
    <w:next w:val="Normal"/>
    <w:link w:val="SubtitleChar"/>
    <w:uiPriority w:val="11"/>
    <w:qFormat/>
    <w:rsid w:val="00D01ECD"/>
    <w:pPr>
      <w:numPr>
        <w:ilvl w:val="1"/>
      </w:numPr>
      <w:suppressAutoHyphens w:val="0"/>
      <w:kinsoku/>
      <w:overflowPunct/>
      <w:autoSpaceDE/>
      <w:autoSpaceDN/>
      <w:adjustRightInd/>
      <w:snapToGrid/>
      <w:spacing w:after="160" w:line="240" w:lineRule="auto"/>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D01ECD"/>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D01ECD"/>
    <w:pPr>
      <w:suppressAutoHyphens w:val="0"/>
      <w:kinsoku/>
      <w:overflowPunct/>
      <w:autoSpaceDE/>
      <w:autoSpaceDN/>
      <w:adjustRightInd/>
      <w:snapToGrid/>
      <w:spacing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01ECD"/>
    <w:rPr>
      <w:rFonts w:asciiTheme="majorHAnsi" w:eastAsiaTheme="majorEastAsia" w:hAnsiTheme="majorHAnsi" w:cstheme="majorBidi"/>
      <w:spacing w:val="-10"/>
      <w:kern w:val="28"/>
      <w:sz w:val="56"/>
      <w:szCs w:val="56"/>
    </w:rPr>
  </w:style>
  <w:style w:type="character" w:customStyle="1" w:styleId="citationitalic">
    <w:name w:val="citationitalic"/>
    <w:basedOn w:val="DefaultParagraphFont"/>
    <w:rsid w:val="00D01ECD"/>
  </w:style>
  <w:style w:type="character" w:customStyle="1" w:styleId="UnresolvedMention4">
    <w:name w:val="Unresolved Mention4"/>
    <w:basedOn w:val="DefaultParagraphFont"/>
    <w:uiPriority w:val="99"/>
    <w:semiHidden/>
    <w:unhideWhenUsed/>
    <w:rsid w:val="00D01ECD"/>
    <w:rPr>
      <w:color w:val="605E5C"/>
      <w:shd w:val="clear" w:color="auto" w:fill="E1DFDD"/>
    </w:rPr>
  </w:style>
  <w:style w:type="character" w:styleId="SubtleReference">
    <w:name w:val="Subtle Reference"/>
    <w:basedOn w:val="DefaultParagraphFont"/>
    <w:uiPriority w:val="31"/>
    <w:qFormat/>
    <w:rsid w:val="00D01ECD"/>
    <w:rPr>
      <w:smallCaps/>
      <w:color w:val="5A5A5A" w:themeColor="text1" w:themeTint="A5"/>
    </w:rPr>
  </w:style>
  <w:style w:type="character" w:customStyle="1" w:styleId="footnotemark">
    <w:name w:val="footnote mark"/>
    <w:hidden/>
    <w:rsid w:val="00D01ECD"/>
    <w:rPr>
      <w:rFonts w:ascii="Times New Roman" w:eastAsia="Times New Roman" w:hAnsi="Times New Roman" w:cs="Times New Roman"/>
      <w:color w:val="000000"/>
      <w:sz w:val="18"/>
      <w:vertAlign w:val="superscript"/>
    </w:rPr>
  </w:style>
  <w:style w:type="character" w:styleId="UnresolvedMention">
    <w:name w:val="Unresolved Mention"/>
    <w:basedOn w:val="DefaultParagraphFont"/>
    <w:uiPriority w:val="99"/>
    <w:unhideWhenUsed/>
    <w:rsid w:val="00D01ECD"/>
    <w:rPr>
      <w:color w:val="605E5C"/>
      <w:shd w:val="clear" w:color="auto" w:fill="E1DFDD"/>
    </w:rPr>
  </w:style>
  <w:style w:type="character" w:customStyle="1" w:styleId="preferred">
    <w:name w:val="preferred"/>
    <w:basedOn w:val="DefaultParagraphFont"/>
    <w:rsid w:val="00D01ECD"/>
  </w:style>
  <w:style w:type="character" w:customStyle="1" w:styleId="fr">
    <w:name w:val="fr"/>
    <w:basedOn w:val="DefaultParagraphFont"/>
    <w:rsid w:val="00D01ECD"/>
  </w:style>
  <w:style w:type="character" w:customStyle="1" w:styleId="admitted">
    <w:name w:val="admitted"/>
    <w:basedOn w:val="DefaultParagraphFont"/>
    <w:rsid w:val="00D01ECD"/>
  </w:style>
  <w:style w:type="paragraph" w:customStyle="1" w:styleId="SingleTxt">
    <w:name w:val="__Single Txt"/>
    <w:basedOn w:val="Normal"/>
    <w:rsid w:val="00D01ECD"/>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lang w:val="en-GB"/>
    </w:rPr>
  </w:style>
  <w:style w:type="paragraph" w:customStyle="1" w:styleId="H4">
    <w:name w:val="_ H_4"/>
    <w:basedOn w:val="Normal"/>
    <w:next w:val="SingleTxt"/>
    <w:rsid w:val="00D01E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i/>
      <w:spacing w:val="3"/>
      <w:w w:val="103"/>
      <w:kern w:val="14"/>
      <w:lang w:val="en-GB"/>
    </w:rPr>
  </w:style>
  <w:style w:type="numbering" w:customStyle="1" w:styleId="CurrentList1">
    <w:name w:val="Current List1"/>
    <w:uiPriority w:val="99"/>
    <w:rsid w:val="00D01ECD"/>
    <w:pPr>
      <w:numPr>
        <w:numId w:val="9"/>
      </w:numPr>
    </w:pPr>
  </w:style>
  <w:style w:type="numbering" w:customStyle="1" w:styleId="CurrentList2">
    <w:name w:val="Current List2"/>
    <w:uiPriority w:val="99"/>
    <w:rsid w:val="00D01ECD"/>
    <w:pPr>
      <w:numPr>
        <w:numId w:val="10"/>
      </w:numPr>
    </w:pPr>
  </w:style>
  <w:style w:type="character" w:customStyle="1" w:styleId="Mentionnonrsolue2">
    <w:name w:val="Mention non résolue2"/>
    <w:basedOn w:val="DefaultParagraphFont"/>
    <w:uiPriority w:val="99"/>
    <w:semiHidden/>
    <w:unhideWhenUsed/>
    <w:rsid w:val="00D01ECD"/>
    <w:rPr>
      <w:color w:val="605E5C"/>
      <w:shd w:val="clear" w:color="auto" w:fill="E1DFDD"/>
    </w:rPr>
  </w:style>
  <w:style w:type="paragraph" w:customStyle="1" w:styleId="heading20">
    <w:name w:val="heading2"/>
    <w:basedOn w:val="Normal"/>
    <w:next w:val="Heading2"/>
    <w:rsid w:val="00C3256E"/>
    <w:pPr>
      <w:keepNext/>
      <w:keepLines/>
      <w:kinsoku/>
      <w:overflowPunct/>
      <w:autoSpaceDE/>
      <w:autoSpaceDN/>
      <w:adjustRightInd/>
      <w:snapToGrid/>
      <w:spacing w:before="80" w:after="80" w:line="240" w:lineRule="auto"/>
      <w:jc w:val="center"/>
    </w:pPr>
    <w:rPr>
      <w:rFonts w:eastAsia="Times New Roman"/>
      <w:b/>
      <w:bCs/>
      <w:spacing w:val="4"/>
      <w:w w:val="103"/>
      <w:kern w:val="14"/>
      <w:sz w:val="19"/>
      <w:szCs w:val="19"/>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undocs.org/fr/A/RES/71/257%20" TargetMode="External"/><Relationship Id="rId18" Type="http://schemas.openxmlformats.org/officeDocument/2006/relationships/hyperlink" Target="https://www.ipcc.ch/srocc/" TargetMode="External"/><Relationship Id="rId26" Type="http://schemas.openxmlformats.org/officeDocument/2006/relationships/hyperlink" Target="https://undocs.org/fr/A/RES/51/229%20" TargetMode="External"/><Relationship Id="rId39" Type="http://schemas.openxmlformats.org/officeDocument/2006/relationships/hyperlink" Target="https://opil.ouplaw.com/view/10.1093/law:epil/9780199231690/law-9780199231690-e1421" TargetMode="External"/><Relationship Id="rId21" Type="http://schemas.openxmlformats.org/officeDocument/2006/relationships/hyperlink" Target="http://www.ipcc.ch/report/ar5/wg3" TargetMode="External"/><Relationship Id="rId34" Type="http://schemas.openxmlformats.org/officeDocument/2006/relationships/hyperlink" Target="https://undocs.org/fr/A/CN.4/667" TargetMode="External"/><Relationship Id="rId42" Type="http://schemas.openxmlformats.org/officeDocument/2006/relationships/hyperlink" Target="https://web.archive.org/web/20111224143140/http:/www.unep.org/urban_environment/PDFs/BAQ09_AgreementFr.pdf" TargetMode="External"/><Relationship Id="rId47" Type="http://schemas.openxmlformats.org/officeDocument/2006/relationships/hyperlink" Target="http://www.italaw.com" TargetMode="External"/><Relationship Id="rId50" Type="http://schemas.openxmlformats.org/officeDocument/2006/relationships/hyperlink" Target="https://undocs.org/fr/A/HRC/19/34" TargetMode="External"/><Relationship Id="rId55" Type="http://schemas.openxmlformats.org/officeDocument/2006/relationships/hyperlink" Target="https://undocs.org/fr/A/73/10" TargetMode="External"/><Relationship Id="rId7" Type="http://schemas.openxmlformats.org/officeDocument/2006/relationships/hyperlink" Target="https://undocs.org/fr/A/CONF.48/14/Rev.1" TargetMode="External"/><Relationship Id="rId2" Type="http://schemas.openxmlformats.org/officeDocument/2006/relationships/hyperlink" Target="https://undocs.org/fr/A/CONF.48/14/Rev.1" TargetMode="External"/><Relationship Id="rId16" Type="http://schemas.openxmlformats.org/officeDocument/2006/relationships/hyperlink" Target="https://undocs.org/fr/A/RES/70/1%20" TargetMode="External"/><Relationship Id="rId29" Type="http://schemas.openxmlformats.org/officeDocument/2006/relationships/hyperlink" Target="https://undocs.org/fr/A/RES/63/124%20" TargetMode="External"/><Relationship Id="rId11" Type="http://schemas.openxmlformats.org/officeDocument/2006/relationships/hyperlink" Target="https://undocs.org/fr/A/51/49(Vol.I)(SUPP)" TargetMode="External"/><Relationship Id="rId24" Type="http://schemas.openxmlformats.org/officeDocument/2006/relationships/hyperlink" Target="http://glossary.ametsoc.org/wiki/Upper_atmosphere" TargetMode="External"/><Relationship Id="rId32" Type="http://schemas.openxmlformats.org/officeDocument/2006/relationships/hyperlink" Target="https://undocs.org/fr/A/CONF.151/26/Rev.1(Vol.I)" TargetMode="External"/><Relationship Id="rId37" Type="http://schemas.openxmlformats.org/officeDocument/2006/relationships/hyperlink" Target="https://undocs.org/fr/A/RES/63/124" TargetMode="External"/><Relationship Id="rId40" Type="http://schemas.openxmlformats.org/officeDocument/2006/relationships/hyperlink" Target="http://www.geoengineering.ox.ac.uk/what-is-geoengineering/what-is-geoengineering/" TargetMode="External"/><Relationship Id="rId45" Type="http://schemas.openxmlformats.org/officeDocument/2006/relationships/hyperlink" Target="https://undocs.org/fr/A/CN.4/L.682/Add.1" TargetMode="External"/><Relationship Id="rId53" Type="http://schemas.openxmlformats.org/officeDocument/2006/relationships/hyperlink" Target="https://www.ohchr.org/EN/HRBodies/CEDAW/Pages/ClimateChange.aspx" TargetMode="External"/><Relationship Id="rId58" Type="http://schemas.openxmlformats.org/officeDocument/2006/relationships/hyperlink" Target="https://www.icj-cij.org/en/statements-by-the-president" TargetMode="External"/><Relationship Id="rId5" Type="http://schemas.openxmlformats.org/officeDocument/2006/relationships/hyperlink" Target="https://treaties.un.org" TargetMode="External"/><Relationship Id="rId19" Type="http://schemas.openxmlformats.org/officeDocument/2006/relationships/hyperlink" Target="https://undocs.org/fr/A/RES/70/1" TargetMode="External"/><Relationship Id="rId4" Type="http://schemas.openxmlformats.org/officeDocument/2006/relationships/hyperlink" Target="https://undocs.org/fr/A/RES/37/7" TargetMode="External"/><Relationship Id="rId9" Type="http://schemas.openxmlformats.org/officeDocument/2006/relationships/hyperlink" Target="https://undocs.org/fr/A/CONF.151/26/Rev.1%20(vol.%20I)/Corr.1" TargetMode="External"/><Relationship Id="rId14" Type="http://schemas.openxmlformats.org/officeDocument/2006/relationships/hyperlink" Target="https://www.ipcc.ch/srccl/" TargetMode="External"/><Relationship Id="rId22" Type="http://schemas.openxmlformats.org/officeDocument/2006/relationships/hyperlink" Target="http://glossary.ametsoc.org/wiki/Atmospheric_shell" TargetMode="External"/><Relationship Id="rId27" Type="http://schemas.openxmlformats.org/officeDocument/2006/relationships/hyperlink" Target="https://undocs.org/fr/A/RES/62/68%20" TargetMode="External"/><Relationship Id="rId30" Type="http://schemas.openxmlformats.org/officeDocument/2006/relationships/hyperlink" Target="http://www.unscear.org/docs/reports/2013/13-85418_Report_2013_Annex_A.pdf" TargetMode="External"/><Relationship Id="rId35" Type="http://schemas.openxmlformats.org/officeDocument/2006/relationships/hyperlink" Target="http://undocs.org/fr/A/RES/56/83" TargetMode="External"/><Relationship Id="rId43" Type="http://schemas.openxmlformats.org/officeDocument/2006/relationships/hyperlink" Target="https://undocs.org/fr/A/CN.4/L.682" TargetMode="External"/><Relationship Id="rId48" Type="http://schemas.openxmlformats.org/officeDocument/2006/relationships/hyperlink" Target="http://unctad.org/en/PublicationsLibrary/diaepcb2015d5_en.pdf" TargetMode="External"/><Relationship Id="rId56" Type="http://schemas.openxmlformats.org/officeDocument/2006/relationships/hyperlink" Target="https://undocs.org/fr/FCCC/CP/2001/13/Add.3" TargetMode="External"/><Relationship Id="rId8" Type="http://schemas.openxmlformats.org/officeDocument/2006/relationships/hyperlink" Target="https://undocs.org/fr/A/CONF.151/26/Rev.1%20(vol.%20I)" TargetMode="External"/><Relationship Id="rId51" Type="http://schemas.openxmlformats.org/officeDocument/2006/relationships/hyperlink" Target="https://undocs.org/fr/A/RES/19/10%20" TargetMode="External"/><Relationship Id="rId3" Type="http://schemas.openxmlformats.org/officeDocument/2006/relationships/hyperlink" Target="http://undocs.org/fr/A/CONF.48/14/Rev.1/Corr.1" TargetMode="External"/><Relationship Id="rId12" Type="http://schemas.openxmlformats.org/officeDocument/2006/relationships/hyperlink" Target="https://treaties.un.org/doc/Treaties/2013/10/20131010%2011-16%20AM/CTC-XXVII-17.pdf" TargetMode="External"/><Relationship Id="rId17" Type="http://schemas.openxmlformats.org/officeDocument/2006/relationships/hyperlink" Target="https://undocs.org/fr/A/71/74/Add.1" TargetMode="External"/><Relationship Id="rId25" Type="http://schemas.openxmlformats.org/officeDocument/2006/relationships/hyperlink" Target="http://www.idi-iil.org" TargetMode="External"/><Relationship Id="rId33" Type="http://schemas.openxmlformats.org/officeDocument/2006/relationships/hyperlink" Target="https://www.ipcc.ch/site/assets/uploads/sites/2/2019/09/IPCC-Special-Report-1.5-SPM_fr.pdf" TargetMode="External"/><Relationship Id="rId38" Type="http://schemas.openxmlformats.org/officeDocument/2006/relationships/hyperlink" Target="http://www.icj-cij.org/docket/files/135/11235.pdf" TargetMode="External"/><Relationship Id="rId46" Type="http://schemas.openxmlformats.org/officeDocument/2006/relationships/hyperlink" Target="https://www.international.gc.ca/trade-commerce/trade-agreements-accords-commerciaux/agr-acc/cusma-aceum/text-texte/toc-tdm.aspx?lang=fra" TargetMode="External"/><Relationship Id="rId59" Type="http://schemas.openxmlformats.org/officeDocument/2006/relationships/hyperlink" Target="https://www.icj-cij.org/en/statements-by-the-president" TargetMode="External"/><Relationship Id="rId20" Type="http://schemas.openxmlformats.org/officeDocument/2006/relationships/hyperlink" Target="http://www.ourchildrenstrust.org/pakistan" TargetMode="External"/><Relationship Id="rId41" Type="http://schemas.openxmlformats.org/officeDocument/2006/relationships/hyperlink" Target="https://web.archive.org/web/20111226174901/http:/www.unep.org/urban_environment/PDFs/EABAQ2008-AirPollutionAgreementFR.pdf" TargetMode="External"/><Relationship Id="rId54" Type="http://schemas.openxmlformats.org/officeDocument/2006/relationships/hyperlink" Target="https://undocs.org/fr/A/CN.4/711" TargetMode="External"/><Relationship Id="rId1" Type="http://schemas.openxmlformats.org/officeDocument/2006/relationships/hyperlink" Target="https://undocs.org/fr/E/4969" TargetMode="External"/><Relationship Id="rId6" Type="http://schemas.openxmlformats.org/officeDocument/2006/relationships/hyperlink" Target="https://treaties.un.org" TargetMode="External"/><Relationship Id="rId15" Type="http://schemas.openxmlformats.org/officeDocument/2006/relationships/hyperlink" Target="http://www.un.org/depts/los/global_reporting/WOA_RegProcess.htm" TargetMode="External"/><Relationship Id="rId23" Type="http://schemas.openxmlformats.org/officeDocument/2006/relationships/hyperlink" Target="http://glossary.ametsoc.org/wiki/Lower_atmosphere" TargetMode="External"/><Relationship Id="rId28" Type="http://schemas.openxmlformats.org/officeDocument/2006/relationships/hyperlink" Target="https://undocs.org/fr/A/RES/61/36%20" TargetMode="External"/><Relationship Id="rId36" Type="http://schemas.openxmlformats.org/officeDocument/2006/relationships/hyperlink" Target="https://undocs.org/fr/A/RES/62/68%20" TargetMode="External"/><Relationship Id="rId49" Type="http://schemas.openxmlformats.org/officeDocument/2006/relationships/hyperlink" Target="https://ssrn.com/abstract=2037038" TargetMode="External"/><Relationship Id="rId57" Type="http://schemas.openxmlformats.org/officeDocument/2006/relationships/hyperlink" Target="https://www.icj-cij.org/en/statements-by-the-president" TargetMode="External"/><Relationship Id="rId10" Type="http://schemas.openxmlformats.org/officeDocument/2006/relationships/hyperlink" Target="https://undocs.org/fr/A/CONF.199/20" TargetMode="External"/><Relationship Id="rId31" Type="http://schemas.openxmlformats.org/officeDocument/2006/relationships/hyperlink" Target="http://www.ipcc.ch/pdf/assessment-report/ar5/wg1/WG1AR5_SPM_FINAL.pdf" TargetMode="External"/><Relationship Id="rId44" Type="http://schemas.openxmlformats.org/officeDocument/2006/relationships/hyperlink" Target="https://undocs.org/fr/A/CN.4/L.682/Corr.1" TargetMode="External"/><Relationship Id="rId52" Type="http://schemas.openxmlformats.org/officeDocument/2006/relationships/hyperlink" Target="http://pubdocs.worldbank.org/en/677331460056382875/WBG-Climate-Change-Action-Plan-public-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16930</Words>
  <Characters>96504</Characters>
  <Application>Microsoft Office Word</Application>
  <DocSecurity>0</DocSecurity>
  <Lines>804</Lines>
  <Paragraphs>226</Paragraphs>
  <ScaleCrop>false</ScaleCrop>
  <Company/>
  <LinksUpToDate>false</LinksUpToDate>
  <CharactersWithSpaces>113208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3</cp:revision>
  <dcterms:created xsi:type="dcterms:W3CDTF">2021-10-07T00:30:00Z</dcterms:created>
  <dcterms:modified xsi:type="dcterms:W3CDTF">2021-10-07T21:10:00Z</dcterms:modified>
</cp:coreProperties>
</file>