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5161" w14:textId="77777777" w:rsidR="00010000" w:rsidRDefault="00010000" w:rsidP="00010000">
      <w:pPr>
        <w:pStyle w:val="heading20"/>
      </w:pPr>
    </w:p>
    <w:p w14:paraId="4B4ED4B9" w14:textId="77777777" w:rsidR="00010000" w:rsidRDefault="00010000" w:rsidP="00010000">
      <w:pPr>
        <w:pStyle w:val="heading20"/>
      </w:pPr>
    </w:p>
    <w:p w14:paraId="2A4398EC" w14:textId="77777777" w:rsidR="00010000" w:rsidRDefault="00010000" w:rsidP="00010000">
      <w:pPr>
        <w:pStyle w:val="heading20"/>
      </w:pPr>
    </w:p>
    <w:p w14:paraId="7E4E55CB" w14:textId="77777777" w:rsidR="00010000" w:rsidRDefault="00010000" w:rsidP="00010000">
      <w:pPr>
        <w:pStyle w:val="heading20"/>
      </w:pPr>
    </w:p>
    <w:p w14:paraId="1E3E5891" w14:textId="77777777" w:rsidR="00010000" w:rsidRPr="00FF0815" w:rsidRDefault="00010000" w:rsidP="00010000">
      <w:pPr>
        <w:pStyle w:val="heading20"/>
        <w:rPr>
          <w:lang w:val="fr-FR"/>
        </w:rPr>
      </w:pPr>
      <w:r w:rsidRPr="0029137B">
        <w:rPr>
          <w:sz w:val="28"/>
          <w:szCs w:val="28"/>
          <w:lang w:val="fr-CH"/>
        </w:rPr>
        <w:t xml:space="preserve">Texte des projets de directive formant le </w:t>
      </w:r>
      <w:r>
        <w:rPr>
          <w:sz w:val="28"/>
          <w:szCs w:val="28"/>
          <w:lang w:val="fr-CH"/>
        </w:rPr>
        <w:br/>
      </w:r>
      <w:r w:rsidRPr="0029137B">
        <w:rPr>
          <w:sz w:val="28"/>
          <w:szCs w:val="28"/>
          <w:lang w:val="fr-CH"/>
        </w:rPr>
        <w:t xml:space="preserve">Guide de l’application à titre provisoire des traités </w:t>
      </w:r>
      <w:r>
        <w:rPr>
          <w:sz w:val="28"/>
          <w:szCs w:val="28"/>
          <w:lang w:val="fr-FR"/>
        </w:rPr>
        <w:br/>
      </w:r>
      <w:r>
        <w:rPr>
          <w:lang w:val="fr-FR"/>
        </w:rPr>
        <w:t>2021</w:t>
      </w:r>
    </w:p>
    <w:p w14:paraId="58D8640D" w14:textId="77777777" w:rsidR="00010000" w:rsidRPr="00FF0815" w:rsidRDefault="00010000" w:rsidP="00010000">
      <w:pPr>
        <w:pStyle w:val="heading20"/>
        <w:tabs>
          <w:tab w:val="left" w:pos="4860"/>
        </w:tabs>
        <w:jc w:val="left"/>
        <w:rPr>
          <w:lang w:val="fr-FR"/>
        </w:rPr>
      </w:pPr>
    </w:p>
    <w:p w14:paraId="00833B77" w14:textId="77777777" w:rsidR="00010000" w:rsidRPr="00FF0815" w:rsidRDefault="00010000" w:rsidP="00010000">
      <w:pPr>
        <w:pStyle w:val="heading20"/>
        <w:rPr>
          <w:lang w:val="fr-FR"/>
        </w:rPr>
      </w:pPr>
      <w:r>
        <w:rPr>
          <w:noProof/>
        </w:rPr>
        <mc:AlternateContent>
          <mc:Choice Requires="wpc">
            <w:drawing>
              <wp:inline distT="0" distB="0" distL="0" distR="0" wp14:anchorId="121C6661" wp14:editId="66904A56">
                <wp:extent cx="5486400" cy="20574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321300" y="571212"/>
                            <a:ext cx="4800600" cy="825588"/>
                          </a:xfrm>
                          <a:prstGeom prst="rect">
                            <a:avLst/>
                          </a:prstGeom>
                          <a:solidFill>
                            <a:srgbClr val="FFFFFF"/>
                          </a:solidFill>
                          <a:ln w="9525">
                            <a:solidFill>
                              <a:srgbClr val="000000"/>
                            </a:solidFill>
                            <a:miter lim="800000"/>
                            <a:headEnd/>
                            <a:tailEnd/>
                          </a:ln>
                        </wps:spPr>
                        <wps:txbx>
                          <w:txbxContent>
                            <w:p w14:paraId="5123B632" w14:textId="77777777" w:rsidR="00010000" w:rsidRPr="00FF0815" w:rsidRDefault="00010000" w:rsidP="00010000">
                              <w:pPr>
                                <w:rPr>
                                  <w:lang w:val="fr-FR"/>
                                </w:rPr>
                              </w:pPr>
                              <w:r>
                                <w:rPr>
                                  <w:lang w:val="fr-FR"/>
                                </w:rPr>
                                <w:t xml:space="preserve">Texte adopté par la Commission du droit international à sa </w:t>
                              </w:r>
                              <w:proofErr w:type="spellStart"/>
                              <w:r>
                                <w:rPr>
                                  <w:lang w:val="fr-FR"/>
                                </w:rPr>
                                <w:t>s</w:t>
                              </w:r>
                              <w:r w:rsidRPr="00414113">
                                <w:rPr>
                                  <w:lang w:val="fr-FR"/>
                                </w:rPr>
                                <w:t>oixante-douzième</w:t>
                              </w:r>
                              <w:proofErr w:type="spellEnd"/>
                              <w:r>
                                <w:rPr>
                                  <w:bCs/>
                                  <w:lang w:val="fr-FR"/>
                                </w:rPr>
                                <w:t xml:space="preserve"> session</w:t>
                              </w:r>
                              <w:r>
                                <w:rPr>
                                  <w:lang w:val="fr-FR"/>
                                </w:rPr>
                                <w:t>, en 2021, et soumis à l’Assemblée générale dans le cadre de son rapport sur les travaux de ladite session (A/76/10, para. 51). Le rapport sera reproduit dans l’</w:t>
                              </w:r>
                              <w:r>
                                <w:rPr>
                                  <w:i/>
                                  <w:iCs/>
                                  <w:lang w:val="fr-FR"/>
                                </w:rPr>
                                <w:t xml:space="preserve">Annuaire de la Commission du droit international, 2021, </w:t>
                              </w:r>
                              <w:r>
                                <w:rPr>
                                  <w:lang w:val="fr-FR"/>
                                </w:rPr>
                                <w:t xml:space="preserve">vol. </w:t>
                              </w:r>
                              <w:proofErr w:type="gramStart"/>
                              <w:r>
                                <w:rPr>
                                  <w:lang w:val="fr-FR"/>
                                </w:rPr>
                                <w:t>II(</w:t>
                              </w:r>
                              <w:proofErr w:type="gramEnd"/>
                              <w:r>
                                <w:rPr>
                                  <w:lang w:val="fr-FR"/>
                                </w:rPr>
                                <w:t>2).</w:t>
                              </w:r>
                            </w:p>
                          </w:txbxContent>
                        </wps:txbx>
                        <wps:bodyPr rot="0" vert="horz" wrap="square" lIns="91440" tIns="45720" rIns="91440" bIns="45720" anchor="t" anchorCtr="0" upright="1">
                          <a:noAutofit/>
                        </wps:bodyPr>
                      </wps:wsp>
                    </wpc:wpc>
                  </a:graphicData>
                </a:graphic>
              </wp:inline>
            </w:drawing>
          </mc:Choice>
          <mc:Fallback>
            <w:pict>
              <v:group w14:anchorId="121C6661" id="Canvas 3" o:spid="_x0000_s1026" editas="canvas" style="width:6in;height:162pt;mso-position-horizontal-relative:char;mso-position-vertical-relative:line" coordsize="54864,20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213;top:5712;width:48006;height:8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5123B632" w14:textId="77777777" w:rsidR="00010000" w:rsidRPr="00FF0815" w:rsidRDefault="00010000" w:rsidP="00010000">
                        <w:pPr>
                          <w:rPr>
                            <w:lang w:val="fr-FR"/>
                          </w:rPr>
                        </w:pPr>
                        <w:r>
                          <w:rPr>
                            <w:lang w:val="fr-FR"/>
                          </w:rPr>
                          <w:t xml:space="preserve">Texte adopté par la Commission du droit international à sa </w:t>
                        </w:r>
                        <w:proofErr w:type="spellStart"/>
                        <w:r>
                          <w:rPr>
                            <w:lang w:val="fr-FR"/>
                          </w:rPr>
                          <w:t>s</w:t>
                        </w:r>
                        <w:r w:rsidRPr="00414113">
                          <w:rPr>
                            <w:lang w:val="fr-FR"/>
                          </w:rPr>
                          <w:t>oixante-douzième</w:t>
                        </w:r>
                        <w:proofErr w:type="spellEnd"/>
                        <w:r>
                          <w:rPr>
                            <w:bCs/>
                            <w:lang w:val="fr-FR"/>
                          </w:rPr>
                          <w:t xml:space="preserve"> session</w:t>
                        </w:r>
                        <w:r>
                          <w:rPr>
                            <w:lang w:val="fr-FR"/>
                          </w:rPr>
                          <w:t>, en 2021, et soumis à l’Assemblée générale dans le cadre de son rapport sur les travaux de ladite session (A/76/10, para. 51). Le rapport sera reproduit dans l’</w:t>
                        </w:r>
                        <w:r>
                          <w:rPr>
                            <w:i/>
                            <w:iCs/>
                            <w:lang w:val="fr-FR"/>
                          </w:rPr>
                          <w:t xml:space="preserve">Annuaire de la Commission du droit international, 2021, </w:t>
                        </w:r>
                        <w:r>
                          <w:rPr>
                            <w:lang w:val="fr-FR"/>
                          </w:rPr>
                          <w:t xml:space="preserve">vol. </w:t>
                        </w:r>
                        <w:proofErr w:type="gramStart"/>
                        <w:r>
                          <w:rPr>
                            <w:lang w:val="fr-FR"/>
                          </w:rPr>
                          <w:t>II(</w:t>
                        </w:r>
                        <w:proofErr w:type="gramEnd"/>
                        <w:r>
                          <w:rPr>
                            <w:lang w:val="fr-FR"/>
                          </w:rPr>
                          <w:t>2).</w:t>
                        </w:r>
                      </w:p>
                    </w:txbxContent>
                  </v:textbox>
                </v:shape>
                <w10:anchorlock/>
              </v:group>
            </w:pict>
          </mc:Fallback>
        </mc:AlternateContent>
      </w:r>
    </w:p>
    <w:p w14:paraId="458CF78E" w14:textId="77777777" w:rsidR="00010000" w:rsidRPr="00FF0815" w:rsidRDefault="00010000" w:rsidP="00010000">
      <w:pPr>
        <w:pStyle w:val="heading20"/>
        <w:rPr>
          <w:lang w:val="fr-FR"/>
        </w:rPr>
      </w:pPr>
    </w:p>
    <w:p w14:paraId="4C01ECAF" w14:textId="77777777" w:rsidR="00010000" w:rsidRPr="00FF0815" w:rsidRDefault="00010000" w:rsidP="00010000">
      <w:pPr>
        <w:suppressAutoHyphens w:val="0"/>
        <w:jc w:val="center"/>
        <w:rPr>
          <w:sz w:val="16"/>
          <w:szCs w:val="16"/>
          <w:lang w:val="fr-FR"/>
        </w:rPr>
      </w:pPr>
    </w:p>
    <w:p w14:paraId="00E1E2AD" w14:textId="77777777" w:rsidR="00010000" w:rsidRPr="00FF0815" w:rsidRDefault="00010000" w:rsidP="00010000">
      <w:pPr>
        <w:suppressAutoHyphens w:val="0"/>
        <w:jc w:val="center"/>
        <w:rPr>
          <w:sz w:val="16"/>
          <w:szCs w:val="16"/>
          <w:lang w:val="fr-FR"/>
        </w:rPr>
      </w:pPr>
    </w:p>
    <w:p w14:paraId="74C1A5F1" w14:textId="77777777" w:rsidR="00010000" w:rsidRPr="00FF0815" w:rsidRDefault="00010000" w:rsidP="00010000">
      <w:pPr>
        <w:suppressAutoHyphens w:val="0"/>
        <w:jc w:val="center"/>
        <w:rPr>
          <w:sz w:val="16"/>
          <w:szCs w:val="16"/>
          <w:lang w:val="fr-FR"/>
        </w:rPr>
      </w:pPr>
    </w:p>
    <w:p w14:paraId="4407F701" w14:textId="77777777" w:rsidR="00010000" w:rsidRPr="00FF0815" w:rsidRDefault="00010000" w:rsidP="00010000">
      <w:pPr>
        <w:suppressAutoHyphens w:val="0"/>
        <w:jc w:val="center"/>
        <w:rPr>
          <w:sz w:val="16"/>
          <w:szCs w:val="16"/>
          <w:lang w:val="fr-FR"/>
        </w:rPr>
      </w:pPr>
    </w:p>
    <w:p w14:paraId="009BA853" w14:textId="77777777" w:rsidR="00010000" w:rsidRPr="00FF0815" w:rsidRDefault="00010000" w:rsidP="00010000">
      <w:pPr>
        <w:suppressAutoHyphens w:val="0"/>
        <w:jc w:val="center"/>
        <w:rPr>
          <w:sz w:val="16"/>
          <w:szCs w:val="16"/>
          <w:lang w:val="fr-FR"/>
        </w:rPr>
      </w:pPr>
    </w:p>
    <w:p w14:paraId="6E952C26" w14:textId="77777777" w:rsidR="00010000" w:rsidRPr="00FF0815" w:rsidRDefault="00010000" w:rsidP="00010000">
      <w:pPr>
        <w:suppressAutoHyphens w:val="0"/>
        <w:jc w:val="center"/>
        <w:rPr>
          <w:sz w:val="16"/>
          <w:szCs w:val="16"/>
          <w:lang w:val="fr-FR"/>
        </w:rPr>
      </w:pPr>
    </w:p>
    <w:p w14:paraId="6BCBB041" w14:textId="77777777" w:rsidR="00010000" w:rsidRPr="00FF0815" w:rsidRDefault="00010000" w:rsidP="00010000">
      <w:pPr>
        <w:suppressAutoHyphens w:val="0"/>
        <w:jc w:val="center"/>
        <w:rPr>
          <w:sz w:val="16"/>
          <w:szCs w:val="16"/>
          <w:lang w:val="fr-FR"/>
        </w:rPr>
      </w:pPr>
    </w:p>
    <w:p w14:paraId="00359C23" w14:textId="77777777" w:rsidR="00010000" w:rsidRPr="00FF0815" w:rsidRDefault="00010000" w:rsidP="00010000">
      <w:pPr>
        <w:suppressAutoHyphens w:val="0"/>
        <w:jc w:val="center"/>
        <w:rPr>
          <w:sz w:val="16"/>
          <w:szCs w:val="16"/>
          <w:lang w:val="fr-FR"/>
        </w:rPr>
      </w:pPr>
    </w:p>
    <w:p w14:paraId="23B39B32" w14:textId="77777777" w:rsidR="00010000" w:rsidRPr="00FF0815" w:rsidRDefault="00010000" w:rsidP="00010000">
      <w:pPr>
        <w:suppressAutoHyphens w:val="0"/>
        <w:jc w:val="center"/>
        <w:rPr>
          <w:sz w:val="16"/>
          <w:szCs w:val="16"/>
          <w:lang w:val="fr-FR"/>
        </w:rPr>
      </w:pPr>
    </w:p>
    <w:p w14:paraId="3C5594A6" w14:textId="77777777" w:rsidR="00010000" w:rsidRPr="00FF0815" w:rsidRDefault="00010000" w:rsidP="00010000">
      <w:pPr>
        <w:suppressAutoHyphens w:val="0"/>
        <w:jc w:val="center"/>
        <w:rPr>
          <w:sz w:val="16"/>
          <w:szCs w:val="16"/>
          <w:lang w:val="fr-FR"/>
        </w:rPr>
      </w:pPr>
    </w:p>
    <w:p w14:paraId="7261170A" w14:textId="77777777" w:rsidR="00010000" w:rsidRPr="00FF0815" w:rsidRDefault="00010000" w:rsidP="00010000">
      <w:pPr>
        <w:suppressAutoHyphens w:val="0"/>
        <w:jc w:val="center"/>
        <w:rPr>
          <w:sz w:val="16"/>
          <w:szCs w:val="16"/>
          <w:lang w:val="fr-FR"/>
        </w:rPr>
      </w:pPr>
    </w:p>
    <w:p w14:paraId="11BDCBB4" w14:textId="77777777" w:rsidR="00010000" w:rsidRPr="00FF0815" w:rsidRDefault="00010000" w:rsidP="00010000">
      <w:pPr>
        <w:suppressAutoHyphens w:val="0"/>
        <w:jc w:val="center"/>
        <w:rPr>
          <w:sz w:val="16"/>
          <w:szCs w:val="16"/>
          <w:lang w:val="fr-FR"/>
        </w:rPr>
      </w:pPr>
    </w:p>
    <w:p w14:paraId="393C6F9D" w14:textId="77777777" w:rsidR="00010000" w:rsidRPr="00FF0815" w:rsidRDefault="00010000" w:rsidP="00010000">
      <w:pPr>
        <w:suppressAutoHyphens w:val="0"/>
        <w:jc w:val="center"/>
        <w:rPr>
          <w:sz w:val="16"/>
          <w:szCs w:val="16"/>
          <w:lang w:val="fr-FR"/>
        </w:rPr>
      </w:pPr>
    </w:p>
    <w:p w14:paraId="5E92AEDA" w14:textId="77777777" w:rsidR="00010000" w:rsidRPr="00FF0815" w:rsidRDefault="00010000" w:rsidP="00010000">
      <w:pPr>
        <w:suppressAutoHyphens w:val="0"/>
        <w:jc w:val="center"/>
        <w:rPr>
          <w:sz w:val="16"/>
          <w:szCs w:val="16"/>
          <w:lang w:val="fr-FR"/>
        </w:rPr>
      </w:pPr>
    </w:p>
    <w:p w14:paraId="3C4AD2B6" w14:textId="77777777" w:rsidR="00010000" w:rsidRPr="00FF0815" w:rsidRDefault="00010000" w:rsidP="00010000">
      <w:pPr>
        <w:suppressAutoHyphens w:val="0"/>
        <w:jc w:val="center"/>
        <w:rPr>
          <w:sz w:val="16"/>
          <w:szCs w:val="16"/>
          <w:lang w:val="fr-FR"/>
        </w:rPr>
      </w:pPr>
    </w:p>
    <w:p w14:paraId="1D827114" w14:textId="77777777" w:rsidR="00010000" w:rsidRPr="00FF0815" w:rsidRDefault="00010000" w:rsidP="00010000">
      <w:pPr>
        <w:suppressAutoHyphens w:val="0"/>
        <w:jc w:val="center"/>
        <w:rPr>
          <w:sz w:val="16"/>
          <w:szCs w:val="16"/>
          <w:lang w:val="fr-FR"/>
        </w:rPr>
      </w:pPr>
    </w:p>
    <w:p w14:paraId="3038C164" w14:textId="77777777" w:rsidR="00010000" w:rsidRPr="00FF0815" w:rsidRDefault="00010000" w:rsidP="00010000">
      <w:pPr>
        <w:suppressAutoHyphens w:val="0"/>
        <w:jc w:val="center"/>
        <w:rPr>
          <w:sz w:val="16"/>
          <w:szCs w:val="16"/>
          <w:lang w:val="fr-FR"/>
        </w:rPr>
      </w:pPr>
    </w:p>
    <w:p w14:paraId="0C5FEADB" w14:textId="77777777" w:rsidR="00010000" w:rsidRPr="00FF0815" w:rsidRDefault="00010000" w:rsidP="00010000">
      <w:pPr>
        <w:suppressAutoHyphens w:val="0"/>
        <w:jc w:val="center"/>
        <w:rPr>
          <w:sz w:val="16"/>
          <w:szCs w:val="16"/>
          <w:lang w:val="fr-FR"/>
        </w:rPr>
      </w:pPr>
    </w:p>
    <w:p w14:paraId="56C178A6" w14:textId="77777777" w:rsidR="00010000" w:rsidRPr="00FF0815" w:rsidRDefault="00010000" w:rsidP="00010000">
      <w:pPr>
        <w:suppressAutoHyphens w:val="0"/>
        <w:jc w:val="center"/>
        <w:rPr>
          <w:sz w:val="16"/>
          <w:szCs w:val="16"/>
          <w:lang w:val="fr-FR"/>
        </w:rPr>
      </w:pPr>
    </w:p>
    <w:p w14:paraId="573E4EC5" w14:textId="77777777" w:rsidR="00010000" w:rsidRPr="00FF0815" w:rsidRDefault="00010000" w:rsidP="00010000">
      <w:pPr>
        <w:suppressAutoHyphens w:val="0"/>
        <w:jc w:val="center"/>
        <w:rPr>
          <w:sz w:val="16"/>
          <w:szCs w:val="16"/>
          <w:lang w:val="fr-FR"/>
        </w:rPr>
      </w:pPr>
    </w:p>
    <w:p w14:paraId="0C60CCF0" w14:textId="77777777" w:rsidR="00010000" w:rsidRPr="00FF0815" w:rsidRDefault="00010000" w:rsidP="00010000">
      <w:pPr>
        <w:suppressAutoHyphens w:val="0"/>
        <w:jc w:val="center"/>
        <w:rPr>
          <w:sz w:val="16"/>
          <w:szCs w:val="16"/>
          <w:lang w:val="fr-FR"/>
        </w:rPr>
      </w:pPr>
      <w:r w:rsidRPr="0068649C">
        <w:rPr>
          <w:noProof/>
          <w:sz w:val="16"/>
          <w:szCs w:val="16"/>
          <w:lang w:val="en-US"/>
        </w:rPr>
        <w:drawing>
          <wp:inline distT="0" distB="0" distL="0" distR="0" wp14:anchorId="4880C0CC" wp14:editId="0E71401C">
            <wp:extent cx="732155" cy="657225"/>
            <wp:effectExtent l="0" t="0" r="0" b="0"/>
            <wp:docPr id="2" name="Picture 2"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155" cy="657225"/>
                    </a:xfrm>
                    <a:prstGeom prst="rect">
                      <a:avLst/>
                    </a:prstGeom>
                    <a:noFill/>
                    <a:ln>
                      <a:noFill/>
                    </a:ln>
                  </pic:spPr>
                </pic:pic>
              </a:graphicData>
            </a:graphic>
          </wp:inline>
        </w:drawing>
      </w:r>
    </w:p>
    <w:p w14:paraId="78A2BFD7" w14:textId="77777777" w:rsidR="00010000" w:rsidRPr="00FF0815" w:rsidRDefault="00010000" w:rsidP="00010000">
      <w:pPr>
        <w:suppressAutoHyphens w:val="0"/>
        <w:rPr>
          <w:sz w:val="16"/>
          <w:szCs w:val="16"/>
          <w:lang w:val="fr-FR"/>
        </w:rPr>
      </w:pPr>
    </w:p>
    <w:p w14:paraId="16A6A533" w14:textId="77777777" w:rsidR="00010000" w:rsidRDefault="00010000" w:rsidP="00010000">
      <w:pPr>
        <w:pStyle w:val="heading20"/>
        <w:rPr>
          <w:b w:val="0"/>
          <w:sz w:val="16"/>
          <w:szCs w:val="16"/>
          <w:lang w:val="fr-FR"/>
        </w:rPr>
      </w:pPr>
      <w:r w:rsidRPr="00FF0815">
        <w:rPr>
          <w:b w:val="0"/>
          <w:w w:val="100"/>
          <w:kern w:val="0"/>
          <w:sz w:val="16"/>
          <w:szCs w:val="16"/>
          <w:lang w:val="fr-FR" w:eastAsia="en-US"/>
        </w:rPr>
        <w:t>Copyright © Nations Unies</w:t>
      </w:r>
      <w:r>
        <w:rPr>
          <w:b w:val="0"/>
          <w:sz w:val="16"/>
          <w:szCs w:val="16"/>
          <w:lang w:val="fr-FR"/>
        </w:rPr>
        <w:br/>
        <w:t>2021</w:t>
      </w:r>
    </w:p>
    <w:p w14:paraId="18FD0984" w14:textId="77777777" w:rsidR="00010000" w:rsidRDefault="00010000">
      <w:pPr>
        <w:suppressAutoHyphens w:val="0"/>
        <w:kinsoku/>
        <w:overflowPunct/>
        <w:autoSpaceDE/>
        <w:autoSpaceDN/>
        <w:adjustRightInd/>
        <w:snapToGrid/>
        <w:spacing w:line="240" w:lineRule="auto"/>
        <w:rPr>
          <w:lang w:val="fr-FR"/>
        </w:rPr>
      </w:pPr>
    </w:p>
    <w:p w14:paraId="126FCE85" w14:textId="48B27981" w:rsidR="00507F03" w:rsidRPr="009F215F" w:rsidRDefault="00507F03" w:rsidP="00507F03">
      <w:pPr>
        <w:pStyle w:val="H1G"/>
      </w:pPr>
      <w:r>
        <w:rPr>
          <w:lang w:val="fr-FR"/>
        </w:rPr>
        <w:lastRenderedPageBreak/>
        <w:tab/>
      </w:r>
      <w:r>
        <w:rPr>
          <w:lang w:val="fr-FR"/>
        </w:rPr>
        <w:tab/>
      </w:r>
      <w:r w:rsidRPr="00D533C6">
        <w:rPr>
          <w:lang w:val="fr-CA"/>
        </w:rPr>
        <w:t>Guide de l</w:t>
      </w:r>
      <w:r>
        <w:rPr>
          <w:lang w:val="fr-CA"/>
        </w:rPr>
        <w:t>’</w:t>
      </w:r>
      <w:r w:rsidRPr="00D533C6">
        <w:rPr>
          <w:lang w:val="fr-CA"/>
        </w:rPr>
        <w:t>application à titre provisoire des traités</w:t>
      </w:r>
    </w:p>
    <w:p w14:paraId="66527C96" w14:textId="77777777" w:rsidR="00507F03" w:rsidRPr="008C5911" w:rsidRDefault="00507F03" w:rsidP="00507F03">
      <w:pPr>
        <w:pStyle w:val="H23G"/>
        <w:rPr>
          <w:lang w:val="fr-FR"/>
        </w:rPr>
      </w:pPr>
      <w:r w:rsidRPr="009F215F">
        <w:tab/>
      </w:r>
      <w:r w:rsidRPr="009F215F">
        <w:tab/>
      </w:r>
      <w:r w:rsidRPr="008C5911">
        <w:rPr>
          <w:lang w:val="fr-FR"/>
        </w:rPr>
        <w:t>Directive 1</w:t>
      </w:r>
      <w:r>
        <w:rPr>
          <w:lang w:val="fr-FR"/>
        </w:rPr>
        <w:t xml:space="preserve"> </w:t>
      </w:r>
      <w:r w:rsidRPr="008C5911">
        <w:rPr>
          <w:lang w:val="fr-FR"/>
        </w:rPr>
        <w:br/>
        <w:t>Champ d</w:t>
      </w:r>
      <w:r>
        <w:rPr>
          <w:lang w:val="fr-FR"/>
        </w:rPr>
        <w:t>’</w:t>
      </w:r>
      <w:r w:rsidRPr="008C5911">
        <w:rPr>
          <w:lang w:val="fr-FR"/>
        </w:rPr>
        <w:t>application</w:t>
      </w:r>
    </w:p>
    <w:p w14:paraId="05827025" w14:textId="77777777" w:rsidR="00507F03" w:rsidRPr="008C5911" w:rsidRDefault="00507F03" w:rsidP="00507F03">
      <w:pPr>
        <w:pStyle w:val="SingleTxtG"/>
        <w:ind w:firstLine="567"/>
        <w:rPr>
          <w:lang w:val="fr-FR"/>
        </w:rPr>
      </w:pPr>
      <w:r w:rsidRPr="008C5911">
        <w:rPr>
          <w:lang w:val="fr-FR"/>
        </w:rPr>
        <w:t>Les présents projets de directive portent sur l</w:t>
      </w:r>
      <w:r>
        <w:rPr>
          <w:lang w:val="fr-FR"/>
        </w:rPr>
        <w:t>’</w:t>
      </w:r>
      <w:r w:rsidRPr="008C5911">
        <w:rPr>
          <w:lang w:val="fr-FR"/>
        </w:rPr>
        <w:t>application à titre provisoire des traités par des États ou par des organisations internationales</w:t>
      </w:r>
      <w:r w:rsidRPr="00F22925">
        <w:rPr>
          <w:lang w:val="fr-FR"/>
        </w:rPr>
        <w:t>.</w:t>
      </w:r>
    </w:p>
    <w:p w14:paraId="7814F343" w14:textId="77777777" w:rsidR="00507F03" w:rsidRPr="008C5911" w:rsidRDefault="00507F03" w:rsidP="00507F03">
      <w:pPr>
        <w:pStyle w:val="H23G"/>
        <w:rPr>
          <w:lang w:val="fr-FR"/>
        </w:rPr>
      </w:pPr>
      <w:r w:rsidRPr="008C5911">
        <w:rPr>
          <w:lang w:val="fr-FR"/>
        </w:rPr>
        <w:tab/>
      </w:r>
      <w:r w:rsidRPr="008C5911">
        <w:rPr>
          <w:lang w:val="fr-FR"/>
        </w:rPr>
        <w:tab/>
        <w:t>Directive 2</w:t>
      </w:r>
      <w:r>
        <w:rPr>
          <w:lang w:val="fr-FR"/>
        </w:rPr>
        <w:t xml:space="preserve"> </w:t>
      </w:r>
      <w:r w:rsidRPr="008C5911">
        <w:rPr>
          <w:lang w:val="fr-FR"/>
        </w:rPr>
        <w:br/>
        <w:t>Objet</w:t>
      </w:r>
    </w:p>
    <w:p w14:paraId="56C5378A" w14:textId="77777777" w:rsidR="00507F03" w:rsidRPr="008C5911" w:rsidRDefault="00507F03" w:rsidP="00507F03">
      <w:pPr>
        <w:pStyle w:val="SingleTxtG"/>
        <w:ind w:firstLine="567"/>
        <w:rPr>
          <w:lang w:val="fr-FR"/>
        </w:rPr>
      </w:pPr>
      <w:r w:rsidRPr="008C5911">
        <w:rPr>
          <w:lang w:val="fr-FR"/>
        </w:rPr>
        <w:t>L</w:t>
      </w:r>
      <w:r>
        <w:rPr>
          <w:lang w:val="fr-FR"/>
        </w:rPr>
        <w:t>’</w:t>
      </w:r>
      <w:r w:rsidRPr="008C5911">
        <w:rPr>
          <w:lang w:val="fr-FR"/>
        </w:rPr>
        <w:t>objet des présents projets de directive est de fournir des orientations en ce qui concerne le droit et la pratique relatifs à l</w:t>
      </w:r>
      <w:r>
        <w:rPr>
          <w:lang w:val="fr-FR"/>
        </w:rPr>
        <w:t>’</w:t>
      </w:r>
      <w:r w:rsidRPr="008C5911">
        <w:rPr>
          <w:lang w:val="fr-FR"/>
        </w:rPr>
        <w:t>application à titre provisoire des traités, sur la base de l</w:t>
      </w:r>
      <w:r>
        <w:rPr>
          <w:lang w:val="fr-FR"/>
        </w:rPr>
        <w:t>’</w:t>
      </w:r>
      <w:r w:rsidRPr="008C5911">
        <w:rPr>
          <w:lang w:val="fr-FR"/>
        </w:rPr>
        <w:t>article 25 de la Convention de Vienne sur le droit des traités et des autres règles pertinentes de droit international</w:t>
      </w:r>
      <w:r w:rsidRPr="00F22925">
        <w:rPr>
          <w:lang w:val="fr-FR"/>
        </w:rPr>
        <w:t>.</w:t>
      </w:r>
    </w:p>
    <w:p w14:paraId="66F0A00B" w14:textId="77777777" w:rsidR="00507F03" w:rsidRPr="008C5911" w:rsidRDefault="00507F03" w:rsidP="00507F03">
      <w:pPr>
        <w:pStyle w:val="H23G"/>
        <w:rPr>
          <w:lang w:val="fr-FR"/>
        </w:rPr>
      </w:pPr>
      <w:r w:rsidRPr="008C5911">
        <w:rPr>
          <w:lang w:val="fr-FR"/>
        </w:rPr>
        <w:tab/>
      </w:r>
      <w:r w:rsidRPr="008C5911">
        <w:rPr>
          <w:lang w:val="fr-FR"/>
        </w:rPr>
        <w:tab/>
        <w:t>Directive 3</w:t>
      </w:r>
      <w:r w:rsidRPr="008C5911">
        <w:rPr>
          <w:lang w:val="fr-FR"/>
        </w:rPr>
        <w:br/>
        <w:t>Règle générale</w:t>
      </w:r>
    </w:p>
    <w:p w14:paraId="3838A9F4" w14:textId="77777777" w:rsidR="00507F03" w:rsidRPr="008C5911" w:rsidRDefault="00507F03" w:rsidP="00507F03">
      <w:pPr>
        <w:pStyle w:val="SingleTxtG"/>
        <w:ind w:firstLine="567"/>
        <w:rPr>
          <w:lang w:val="fr-FR"/>
        </w:rPr>
      </w:pPr>
      <w:r w:rsidRPr="008C5911">
        <w:rPr>
          <w:lang w:val="fr-FR"/>
        </w:rPr>
        <w:t>Un traité ou une partie d</w:t>
      </w:r>
      <w:r>
        <w:rPr>
          <w:lang w:val="fr-FR"/>
        </w:rPr>
        <w:t>’</w:t>
      </w:r>
      <w:r w:rsidRPr="008C5911">
        <w:rPr>
          <w:lang w:val="fr-FR"/>
        </w:rPr>
        <w:t>un traité s</w:t>
      </w:r>
      <w:r>
        <w:rPr>
          <w:lang w:val="fr-FR"/>
        </w:rPr>
        <w:t>’</w:t>
      </w:r>
      <w:r w:rsidRPr="008C5911">
        <w:rPr>
          <w:lang w:val="fr-FR"/>
        </w:rPr>
        <w:t>applique à titre provisoire en attendant son entrée en vigueur entre les États ou organisations internationales concernés, lorsque le traité lui</w:t>
      </w:r>
      <w:r w:rsidRPr="008C5911">
        <w:rPr>
          <w:lang w:val="fr-FR"/>
        </w:rPr>
        <w:noBreakHyphen/>
        <w:t>même en dispose ainsi, ou lorsqu</w:t>
      </w:r>
      <w:r>
        <w:rPr>
          <w:lang w:val="fr-FR"/>
        </w:rPr>
        <w:t>’</w:t>
      </w:r>
      <w:r w:rsidRPr="008C5911">
        <w:rPr>
          <w:lang w:val="fr-FR"/>
        </w:rPr>
        <w:t>il en a été ainsi convenu d</w:t>
      </w:r>
      <w:r>
        <w:rPr>
          <w:lang w:val="fr-FR"/>
        </w:rPr>
        <w:t>’</w:t>
      </w:r>
      <w:r w:rsidRPr="008C5911">
        <w:rPr>
          <w:lang w:val="fr-FR"/>
        </w:rPr>
        <w:t>une autre manière</w:t>
      </w:r>
      <w:r w:rsidRPr="00F22925">
        <w:rPr>
          <w:lang w:val="fr-FR"/>
        </w:rPr>
        <w:t>.</w:t>
      </w:r>
    </w:p>
    <w:p w14:paraId="70DCB4F4" w14:textId="77777777" w:rsidR="00507F03" w:rsidRPr="008C5911" w:rsidRDefault="00507F03" w:rsidP="00507F03">
      <w:pPr>
        <w:pStyle w:val="H23G"/>
        <w:rPr>
          <w:lang w:val="fr-FR"/>
        </w:rPr>
      </w:pPr>
      <w:r w:rsidRPr="008C5911">
        <w:rPr>
          <w:lang w:val="fr-FR"/>
        </w:rPr>
        <w:tab/>
      </w:r>
      <w:r w:rsidRPr="008C5911">
        <w:rPr>
          <w:lang w:val="fr-FR"/>
        </w:rPr>
        <w:tab/>
        <w:t>Directive 4</w:t>
      </w:r>
      <w:r w:rsidRPr="008C5911">
        <w:rPr>
          <w:lang w:val="fr-FR"/>
        </w:rPr>
        <w:br/>
        <w:t>Forme de l</w:t>
      </w:r>
      <w:r>
        <w:rPr>
          <w:lang w:val="fr-FR"/>
        </w:rPr>
        <w:t>’</w:t>
      </w:r>
      <w:r w:rsidRPr="008C5911">
        <w:rPr>
          <w:lang w:val="fr-FR"/>
        </w:rPr>
        <w:t>accord</w:t>
      </w:r>
    </w:p>
    <w:p w14:paraId="5E16E123" w14:textId="77777777" w:rsidR="00507F03" w:rsidRPr="008C5911" w:rsidRDefault="00507F03" w:rsidP="00507F03">
      <w:pPr>
        <w:pStyle w:val="SingleTxtG"/>
        <w:ind w:firstLine="567"/>
        <w:rPr>
          <w:lang w:val="fr-FR"/>
        </w:rPr>
      </w:pPr>
      <w:r w:rsidRPr="008C5911">
        <w:rPr>
          <w:lang w:val="fr-FR"/>
        </w:rPr>
        <w:t>Outre le cas dans lequel le traité en dispose ainsi, l</w:t>
      </w:r>
      <w:r>
        <w:rPr>
          <w:lang w:val="fr-FR"/>
        </w:rPr>
        <w:t>’</w:t>
      </w:r>
      <w:r w:rsidRPr="008C5911">
        <w:rPr>
          <w:lang w:val="fr-FR"/>
        </w:rPr>
        <w:t>application à titre provisoire d</w:t>
      </w:r>
      <w:r>
        <w:rPr>
          <w:lang w:val="fr-FR"/>
        </w:rPr>
        <w:t>’</w:t>
      </w:r>
      <w:r w:rsidRPr="008C5911">
        <w:rPr>
          <w:lang w:val="fr-FR"/>
        </w:rPr>
        <w:t>un traité ou d</w:t>
      </w:r>
      <w:r>
        <w:rPr>
          <w:lang w:val="fr-FR"/>
        </w:rPr>
        <w:t>’</w:t>
      </w:r>
      <w:r w:rsidRPr="008C5911">
        <w:rPr>
          <w:lang w:val="fr-FR"/>
        </w:rPr>
        <w:t>une partie d</w:t>
      </w:r>
      <w:r>
        <w:rPr>
          <w:lang w:val="fr-FR"/>
        </w:rPr>
        <w:t>’</w:t>
      </w:r>
      <w:r w:rsidRPr="008C5911">
        <w:rPr>
          <w:lang w:val="fr-FR"/>
        </w:rPr>
        <w:t>un traité peut être convenue entre les États ou organisations internationales concernés au moyen :</w:t>
      </w:r>
    </w:p>
    <w:p w14:paraId="2EC7D628" w14:textId="77777777" w:rsidR="00507F03" w:rsidRPr="008C5911" w:rsidRDefault="00507F03" w:rsidP="00507F03">
      <w:pPr>
        <w:pStyle w:val="SingleTxtG"/>
        <w:ind w:firstLine="567"/>
        <w:rPr>
          <w:bCs/>
          <w:lang w:val="fr-FR"/>
        </w:rPr>
      </w:pPr>
      <w:r w:rsidRPr="008C5911">
        <w:rPr>
          <w:bCs/>
          <w:lang w:val="fr-FR"/>
        </w:rPr>
        <w:t>a)</w:t>
      </w:r>
      <w:r w:rsidRPr="008C5911">
        <w:rPr>
          <w:bCs/>
          <w:lang w:val="fr-FR"/>
        </w:rPr>
        <w:tab/>
        <w:t>D</w:t>
      </w:r>
      <w:r>
        <w:rPr>
          <w:bCs/>
          <w:lang w:val="fr-FR"/>
        </w:rPr>
        <w:t>’</w:t>
      </w:r>
      <w:r w:rsidRPr="008C5911">
        <w:rPr>
          <w:bCs/>
          <w:lang w:val="fr-FR"/>
        </w:rPr>
        <w:t xml:space="preserve">un traité distinct ; </w:t>
      </w:r>
      <w:proofErr w:type="gramStart"/>
      <w:r w:rsidRPr="008C5911">
        <w:rPr>
          <w:bCs/>
          <w:lang w:val="fr-FR"/>
        </w:rPr>
        <w:t>ou</w:t>
      </w:r>
      <w:proofErr w:type="gramEnd"/>
    </w:p>
    <w:p w14:paraId="436F7939" w14:textId="77777777" w:rsidR="00507F03" w:rsidRPr="008C5911" w:rsidRDefault="00507F03" w:rsidP="00507F03">
      <w:pPr>
        <w:pStyle w:val="SingleTxtG"/>
        <w:ind w:firstLine="567"/>
        <w:rPr>
          <w:lang w:val="fr-FR"/>
        </w:rPr>
      </w:pPr>
      <w:r w:rsidRPr="008C5911">
        <w:rPr>
          <w:lang w:val="fr-FR"/>
        </w:rPr>
        <w:t>b)</w:t>
      </w:r>
      <w:r w:rsidRPr="008C5911">
        <w:rPr>
          <w:bCs/>
          <w:lang w:val="fr-FR"/>
        </w:rPr>
        <w:tab/>
      </w:r>
      <w:r w:rsidRPr="008C5911">
        <w:rPr>
          <w:lang w:val="fr-FR"/>
        </w:rPr>
        <w:t xml:space="preserve">De tout autre moyen ou arrangement, y compris : </w:t>
      </w:r>
    </w:p>
    <w:p w14:paraId="268A5E7E" w14:textId="77777777" w:rsidR="00507F03" w:rsidRPr="008C5911" w:rsidRDefault="00507F03" w:rsidP="00507F03">
      <w:pPr>
        <w:pStyle w:val="SingleTxtG"/>
        <w:keepNext/>
        <w:keepLines/>
        <w:ind w:left="1701"/>
        <w:rPr>
          <w:lang w:val="fr-FR"/>
        </w:rPr>
      </w:pPr>
      <w:r w:rsidRPr="008C5911">
        <w:rPr>
          <w:lang w:val="fr-FR"/>
        </w:rPr>
        <w:t>i)</w:t>
      </w:r>
      <w:r w:rsidRPr="008C5911">
        <w:rPr>
          <w:lang w:val="fr-CA"/>
        </w:rPr>
        <w:tab/>
      </w:r>
      <w:r w:rsidRPr="008C5911">
        <w:rPr>
          <w:lang w:val="fr-FR"/>
        </w:rPr>
        <w:t>Une résolution, décision ou autre acte adopté par une organisation internationale ou lors d</w:t>
      </w:r>
      <w:r>
        <w:rPr>
          <w:lang w:val="fr-FR"/>
        </w:rPr>
        <w:t>’</w:t>
      </w:r>
      <w:r w:rsidRPr="008C5911">
        <w:rPr>
          <w:lang w:val="fr-FR"/>
        </w:rPr>
        <w:t>une conférence intergouvernementale conformément aux règles d</w:t>
      </w:r>
      <w:r>
        <w:rPr>
          <w:lang w:val="fr-FR"/>
        </w:rPr>
        <w:t>’</w:t>
      </w:r>
      <w:r w:rsidRPr="008C5911">
        <w:rPr>
          <w:lang w:val="fr-FR"/>
        </w:rPr>
        <w:t>une telle organisation ou conférence, reflétant l</w:t>
      </w:r>
      <w:r>
        <w:rPr>
          <w:lang w:val="fr-FR"/>
        </w:rPr>
        <w:t>’</w:t>
      </w:r>
      <w:r w:rsidRPr="008C5911">
        <w:rPr>
          <w:lang w:val="fr-FR"/>
        </w:rPr>
        <w:t>accord des États ou organisations internationales concernés ;</w:t>
      </w:r>
    </w:p>
    <w:p w14:paraId="2557D8FF" w14:textId="77777777" w:rsidR="00507F03" w:rsidRPr="008C5911" w:rsidRDefault="00507F03" w:rsidP="00507F03">
      <w:pPr>
        <w:pStyle w:val="SingleTxtG"/>
        <w:ind w:left="1701"/>
        <w:rPr>
          <w:lang w:val="fr-FR"/>
        </w:rPr>
      </w:pPr>
      <w:r w:rsidRPr="008C5911">
        <w:rPr>
          <w:lang w:val="fr-FR"/>
        </w:rPr>
        <w:t>ii)</w:t>
      </w:r>
      <w:r w:rsidRPr="008C5911">
        <w:rPr>
          <w:lang w:val="fr-CA"/>
        </w:rPr>
        <w:tab/>
      </w:r>
      <w:r w:rsidRPr="008C5911">
        <w:rPr>
          <w:lang w:val="fr-FR"/>
        </w:rPr>
        <w:t>Une déclaration d</w:t>
      </w:r>
      <w:r>
        <w:rPr>
          <w:lang w:val="fr-FR"/>
        </w:rPr>
        <w:t>’</w:t>
      </w:r>
      <w:r w:rsidRPr="008C5911">
        <w:rPr>
          <w:lang w:val="fr-FR"/>
        </w:rPr>
        <w:t>un État ou d</w:t>
      </w:r>
      <w:r>
        <w:rPr>
          <w:lang w:val="fr-FR"/>
        </w:rPr>
        <w:t>’</w:t>
      </w:r>
      <w:r w:rsidRPr="008C5911">
        <w:rPr>
          <w:lang w:val="fr-FR"/>
        </w:rPr>
        <w:t>une organisation internationale qui est acceptée par les autres États ou organisations internationales concernés</w:t>
      </w:r>
      <w:r w:rsidRPr="00F22925">
        <w:rPr>
          <w:lang w:val="fr-FR"/>
        </w:rPr>
        <w:t>.</w:t>
      </w:r>
    </w:p>
    <w:p w14:paraId="362C8495" w14:textId="77777777" w:rsidR="00507F03" w:rsidRPr="008C5911" w:rsidRDefault="00507F03" w:rsidP="00507F03">
      <w:pPr>
        <w:pStyle w:val="H23G"/>
        <w:rPr>
          <w:lang w:val="fr-FR"/>
        </w:rPr>
      </w:pPr>
      <w:r w:rsidRPr="008C5911">
        <w:rPr>
          <w:lang w:val="fr-FR"/>
        </w:rPr>
        <w:tab/>
      </w:r>
      <w:r w:rsidRPr="008C5911">
        <w:rPr>
          <w:lang w:val="fr-FR"/>
        </w:rPr>
        <w:tab/>
        <w:t xml:space="preserve">Directive 5 </w:t>
      </w:r>
      <w:r w:rsidRPr="008C5911">
        <w:rPr>
          <w:lang w:val="fr-CA"/>
        </w:rPr>
        <w:br/>
      </w:r>
      <w:r w:rsidRPr="008C5911">
        <w:rPr>
          <w:lang w:val="fr-FR"/>
        </w:rPr>
        <w:t>Prise d</w:t>
      </w:r>
      <w:r>
        <w:rPr>
          <w:lang w:val="fr-FR"/>
        </w:rPr>
        <w:t>’</w:t>
      </w:r>
      <w:r w:rsidRPr="008C5911">
        <w:rPr>
          <w:lang w:val="fr-FR"/>
        </w:rPr>
        <w:t>effet</w:t>
      </w:r>
    </w:p>
    <w:p w14:paraId="64E708B7" w14:textId="77777777" w:rsidR="00507F03" w:rsidRPr="008C5911" w:rsidRDefault="00507F03" w:rsidP="00507F03">
      <w:pPr>
        <w:pStyle w:val="SingleTxtG"/>
        <w:ind w:firstLine="567"/>
        <w:rPr>
          <w:lang w:val="fr-FR"/>
        </w:rPr>
      </w:pPr>
      <w:r w:rsidRPr="008C5911">
        <w:rPr>
          <w:lang w:val="fr-FR"/>
        </w:rPr>
        <w:t>L</w:t>
      </w:r>
      <w:r>
        <w:rPr>
          <w:lang w:val="fr-FR"/>
        </w:rPr>
        <w:t>’</w:t>
      </w:r>
      <w:r w:rsidRPr="008C5911">
        <w:rPr>
          <w:lang w:val="fr-FR"/>
        </w:rPr>
        <w:t>application à titre provisoire d</w:t>
      </w:r>
      <w:r>
        <w:rPr>
          <w:lang w:val="fr-FR"/>
        </w:rPr>
        <w:t>’</w:t>
      </w:r>
      <w:r w:rsidRPr="008C5911">
        <w:rPr>
          <w:lang w:val="fr-FR"/>
        </w:rPr>
        <w:t>un traité ou d</w:t>
      </w:r>
      <w:r>
        <w:rPr>
          <w:lang w:val="fr-FR"/>
        </w:rPr>
        <w:t>’</w:t>
      </w:r>
      <w:r w:rsidRPr="008C5911">
        <w:rPr>
          <w:lang w:val="fr-FR"/>
        </w:rPr>
        <w:t>une partie d</w:t>
      </w:r>
      <w:r>
        <w:rPr>
          <w:lang w:val="fr-FR"/>
        </w:rPr>
        <w:t>’</w:t>
      </w:r>
      <w:r w:rsidRPr="008C5911">
        <w:rPr>
          <w:lang w:val="fr-FR"/>
        </w:rPr>
        <w:t>un traité prend effet à la date et suivant les conditions et les modalités fixées par le traité ou autrement convenues</w:t>
      </w:r>
      <w:r w:rsidRPr="00F22925">
        <w:rPr>
          <w:lang w:val="fr-FR"/>
        </w:rPr>
        <w:t>.</w:t>
      </w:r>
    </w:p>
    <w:p w14:paraId="0E46445A" w14:textId="77777777" w:rsidR="00507F03" w:rsidRPr="008C5911" w:rsidRDefault="00507F03" w:rsidP="00507F03">
      <w:pPr>
        <w:pStyle w:val="H23G"/>
        <w:rPr>
          <w:lang w:val="fr-FR"/>
        </w:rPr>
      </w:pPr>
      <w:r w:rsidRPr="008C5911">
        <w:rPr>
          <w:lang w:val="fr-FR"/>
        </w:rPr>
        <w:tab/>
      </w:r>
      <w:r w:rsidRPr="008C5911">
        <w:rPr>
          <w:lang w:val="fr-FR"/>
        </w:rPr>
        <w:tab/>
        <w:t xml:space="preserve">Directive 6 </w:t>
      </w:r>
      <w:r w:rsidRPr="008C5911">
        <w:rPr>
          <w:lang w:val="fr-CA"/>
        </w:rPr>
        <w:br/>
      </w:r>
      <w:r w:rsidRPr="008C5911">
        <w:rPr>
          <w:lang w:val="fr-FR"/>
        </w:rPr>
        <w:t>Effet juridique</w:t>
      </w:r>
    </w:p>
    <w:p w14:paraId="38B8EB71" w14:textId="77777777" w:rsidR="00507F03" w:rsidRPr="008C5911" w:rsidRDefault="00507F03" w:rsidP="00507F03">
      <w:pPr>
        <w:pStyle w:val="SingleTxtG"/>
        <w:ind w:firstLine="567"/>
        <w:rPr>
          <w:lang w:val="fr-FR"/>
        </w:rPr>
      </w:pPr>
      <w:r w:rsidRPr="008C5911">
        <w:rPr>
          <w:lang w:val="fr-FR"/>
        </w:rPr>
        <w:t>L</w:t>
      </w:r>
      <w:r>
        <w:rPr>
          <w:lang w:val="fr-FR"/>
        </w:rPr>
        <w:t>’</w:t>
      </w:r>
      <w:r w:rsidRPr="008C5911">
        <w:rPr>
          <w:lang w:val="fr-FR"/>
        </w:rPr>
        <w:t>application à titre provisoire d</w:t>
      </w:r>
      <w:r>
        <w:rPr>
          <w:lang w:val="fr-FR"/>
        </w:rPr>
        <w:t>’</w:t>
      </w:r>
      <w:r w:rsidRPr="008C5911">
        <w:rPr>
          <w:lang w:val="fr-FR"/>
        </w:rPr>
        <w:t>un traité ou d</w:t>
      </w:r>
      <w:r>
        <w:rPr>
          <w:lang w:val="fr-FR"/>
        </w:rPr>
        <w:t>’</w:t>
      </w:r>
      <w:r w:rsidRPr="008C5911">
        <w:rPr>
          <w:lang w:val="fr-FR"/>
        </w:rPr>
        <w:t>une partie d</w:t>
      </w:r>
      <w:r>
        <w:rPr>
          <w:lang w:val="fr-FR"/>
        </w:rPr>
        <w:t>’</w:t>
      </w:r>
      <w:r w:rsidRPr="008C5911">
        <w:rPr>
          <w:lang w:val="fr-FR"/>
        </w:rPr>
        <w:t>un traité produit une obligation juridiquement contraignante d</w:t>
      </w:r>
      <w:r>
        <w:rPr>
          <w:lang w:val="fr-FR"/>
        </w:rPr>
        <w:t>’</w:t>
      </w:r>
      <w:r w:rsidRPr="008C5911">
        <w:rPr>
          <w:lang w:val="fr-FR"/>
        </w:rPr>
        <w:t>appliquer le traité ou une partie de celui-ci entre les États ou organisations internationales concernés, sauf dans la mesure où le traité en dispose autrement ou qu</w:t>
      </w:r>
      <w:r>
        <w:rPr>
          <w:lang w:val="fr-FR"/>
        </w:rPr>
        <w:t>’</w:t>
      </w:r>
      <w:r w:rsidRPr="008C5911">
        <w:rPr>
          <w:lang w:val="fr-FR"/>
        </w:rPr>
        <w:t>il en est autrement convenu</w:t>
      </w:r>
      <w:r w:rsidRPr="00F22925">
        <w:rPr>
          <w:lang w:val="fr-FR"/>
        </w:rPr>
        <w:t>.</w:t>
      </w:r>
      <w:r w:rsidRPr="008C5911">
        <w:rPr>
          <w:lang w:val="fr-FR"/>
        </w:rPr>
        <w:t xml:space="preserve"> Un tel traité ou partie d</w:t>
      </w:r>
      <w:r>
        <w:rPr>
          <w:lang w:val="fr-FR"/>
        </w:rPr>
        <w:t>’</w:t>
      </w:r>
      <w:r w:rsidRPr="008C5911">
        <w:rPr>
          <w:lang w:val="fr-FR"/>
        </w:rPr>
        <w:t>un traité qui s</w:t>
      </w:r>
      <w:r>
        <w:rPr>
          <w:lang w:val="fr-FR"/>
        </w:rPr>
        <w:t>’</w:t>
      </w:r>
      <w:r w:rsidRPr="008C5911">
        <w:rPr>
          <w:lang w:val="fr-FR"/>
        </w:rPr>
        <w:t>applique à titre provisoire doit être exécuté de bonne foi</w:t>
      </w:r>
      <w:r w:rsidRPr="00F22925">
        <w:rPr>
          <w:lang w:val="fr-FR"/>
        </w:rPr>
        <w:t>.</w:t>
      </w:r>
      <w:r w:rsidRPr="008C5911">
        <w:rPr>
          <w:lang w:val="fr-FR"/>
        </w:rPr>
        <w:t xml:space="preserve"> </w:t>
      </w:r>
    </w:p>
    <w:p w14:paraId="292D111D" w14:textId="77777777" w:rsidR="00507F03" w:rsidRPr="008C5911" w:rsidRDefault="00507F03" w:rsidP="00507F03">
      <w:pPr>
        <w:pStyle w:val="H23G"/>
        <w:rPr>
          <w:lang w:val="fr-FR"/>
        </w:rPr>
      </w:pPr>
      <w:r w:rsidRPr="008C5911">
        <w:rPr>
          <w:lang w:val="fr-FR"/>
        </w:rPr>
        <w:lastRenderedPageBreak/>
        <w:tab/>
      </w:r>
      <w:r w:rsidRPr="008C5911">
        <w:rPr>
          <w:lang w:val="fr-FR"/>
        </w:rPr>
        <w:tab/>
        <w:t>Directive 7</w:t>
      </w:r>
      <w:r w:rsidRPr="008C5911">
        <w:rPr>
          <w:lang w:val="fr-CA"/>
        </w:rPr>
        <w:br/>
      </w:r>
      <w:r w:rsidRPr="008C5911">
        <w:rPr>
          <w:lang w:val="fr-FR"/>
        </w:rPr>
        <w:t>Réserves</w:t>
      </w:r>
    </w:p>
    <w:p w14:paraId="40F64ED1" w14:textId="77777777" w:rsidR="00507F03" w:rsidRPr="008C5911" w:rsidRDefault="00507F03" w:rsidP="00507F03">
      <w:pPr>
        <w:pStyle w:val="SingleTxtG"/>
        <w:ind w:firstLine="567"/>
        <w:rPr>
          <w:lang w:val="fr-FR"/>
        </w:rPr>
      </w:pPr>
      <w:r w:rsidRPr="008C5911">
        <w:rPr>
          <w:lang w:val="fr-FR"/>
        </w:rPr>
        <w:t>Les présents projets de directive sont sans préjudice de toute question concernant les réserves relatives à l</w:t>
      </w:r>
      <w:r>
        <w:rPr>
          <w:lang w:val="fr-FR"/>
        </w:rPr>
        <w:t>’</w:t>
      </w:r>
      <w:r w:rsidRPr="008C5911">
        <w:rPr>
          <w:lang w:val="fr-FR"/>
        </w:rPr>
        <w:t>application à titre provisoire d</w:t>
      </w:r>
      <w:r>
        <w:rPr>
          <w:lang w:val="fr-FR"/>
        </w:rPr>
        <w:t>’</w:t>
      </w:r>
      <w:r w:rsidRPr="008C5911">
        <w:rPr>
          <w:lang w:val="fr-FR"/>
        </w:rPr>
        <w:t>un traité ou d</w:t>
      </w:r>
      <w:r>
        <w:rPr>
          <w:lang w:val="fr-FR"/>
        </w:rPr>
        <w:t>’</w:t>
      </w:r>
      <w:r w:rsidRPr="008C5911">
        <w:rPr>
          <w:lang w:val="fr-FR"/>
        </w:rPr>
        <w:t>une partie d</w:t>
      </w:r>
      <w:r>
        <w:rPr>
          <w:lang w:val="fr-FR"/>
        </w:rPr>
        <w:t>’</w:t>
      </w:r>
      <w:r w:rsidRPr="008C5911">
        <w:rPr>
          <w:lang w:val="fr-FR"/>
        </w:rPr>
        <w:t>un traité</w:t>
      </w:r>
      <w:r w:rsidRPr="00F22925">
        <w:rPr>
          <w:lang w:val="fr-FR"/>
        </w:rPr>
        <w:t>.</w:t>
      </w:r>
    </w:p>
    <w:p w14:paraId="443A7421" w14:textId="77777777" w:rsidR="00507F03" w:rsidRPr="008C5911" w:rsidRDefault="00507F03" w:rsidP="00507F03">
      <w:pPr>
        <w:pStyle w:val="H23G"/>
        <w:rPr>
          <w:lang w:val="fr-FR"/>
        </w:rPr>
      </w:pPr>
      <w:r w:rsidRPr="008C5911">
        <w:rPr>
          <w:lang w:val="fr-FR"/>
        </w:rPr>
        <w:tab/>
      </w:r>
      <w:r w:rsidRPr="008C5911">
        <w:rPr>
          <w:lang w:val="fr-FR"/>
        </w:rPr>
        <w:tab/>
        <w:t xml:space="preserve">Directive 8 </w:t>
      </w:r>
      <w:r w:rsidRPr="008C5911">
        <w:rPr>
          <w:lang w:val="fr-FR"/>
        </w:rPr>
        <w:br/>
        <w:t>Responsabilité en cas de violation</w:t>
      </w:r>
    </w:p>
    <w:p w14:paraId="1185E56A" w14:textId="77777777" w:rsidR="00507F03" w:rsidRPr="008C5911" w:rsidRDefault="00507F03" w:rsidP="00507F03">
      <w:pPr>
        <w:pStyle w:val="SingleTxtG"/>
        <w:ind w:firstLine="567"/>
        <w:rPr>
          <w:bCs/>
          <w:lang w:val="fr-FR"/>
        </w:rPr>
      </w:pPr>
      <w:r w:rsidRPr="008C5911">
        <w:rPr>
          <w:lang w:val="fr-FR"/>
        </w:rPr>
        <w:t>La violation d</w:t>
      </w:r>
      <w:r>
        <w:rPr>
          <w:lang w:val="fr-FR"/>
        </w:rPr>
        <w:t>’</w:t>
      </w:r>
      <w:r w:rsidRPr="008C5911">
        <w:rPr>
          <w:lang w:val="fr-FR"/>
        </w:rPr>
        <w:t>une obligation découlant d</w:t>
      </w:r>
      <w:r>
        <w:rPr>
          <w:lang w:val="fr-FR"/>
        </w:rPr>
        <w:t>’</w:t>
      </w:r>
      <w:r w:rsidRPr="008C5911">
        <w:rPr>
          <w:lang w:val="fr-FR"/>
        </w:rPr>
        <w:t>un traité ou d</w:t>
      </w:r>
      <w:r>
        <w:rPr>
          <w:lang w:val="fr-FR"/>
        </w:rPr>
        <w:t>’</w:t>
      </w:r>
      <w:r w:rsidRPr="008C5911">
        <w:rPr>
          <w:lang w:val="fr-FR"/>
        </w:rPr>
        <w:t>une partie d</w:t>
      </w:r>
      <w:r>
        <w:rPr>
          <w:lang w:val="fr-FR"/>
        </w:rPr>
        <w:t>’</w:t>
      </w:r>
      <w:r w:rsidRPr="008C5911">
        <w:rPr>
          <w:lang w:val="fr-FR"/>
        </w:rPr>
        <w:t>un traité appliqué à titre provisoire engage la responsabilité internationale conformément aux règles applicables du droit international</w:t>
      </w:r>
      <w:r w:rsidRPr="00F22925">
        <w:rPr>
          <w:lang w:val="fr-FR"/>
        </w:rPr>
        <w:t>.</w:t>
      </w:r>
    </w:p>
    <w:p w14:paraId="58BEDBAA" w14:textId="77777777" w:rsidR="00507F03" w:rsidRPr="008C5911" w:rsidRDefault="00507F03" w:rsidP="00507F03">
      <w:pPr>
        <w:pStyle w:val="H23G"/>
        <w:rPr>
          <w:lang w:val="fr-FR"/>
        </w:rPr>
      </w:pPr>
      <w:r w:rsidRPr="008C5911">
        <w:rPr>
          <w:lang w:val="fr-FR"/>
        </w:rPr>
        <w:tab/>
      </w:r>
      <w:r w:rsidRPr="008C5911">
        <w:rPr>
          <w:lang w:val="fr-FR"/>
        </w:rPr>
        <w:tab/>
        <w:t xml:space="preserve">Directive 9 </w:t>
      </w:r>
      <w:r w:rsidRPr="008C5911">
        <w:rPr>
          <w:lang w:val="fr-CA"/>
        </w:rPr>
        <w:br/>
      </w:r>
      <w:r w:rsidRPr="008C5911">
        <w:rPr>
          <w:lang w:val="fr-FR"/>
        </w:rPr>
        <w:t>Extinction</w:t>
      </w:r>
    </w:p>
    <w:p w14:paraId="2CFDDF87" w14:textId="77777777" w:rsidR="00507F03" w:rsidRPr="008C5911" w:rsidRDefault="00507F03" w:rsidP="00507F03">
      <w:pPr>
        <w:pStyle w:val="SingleTxtG"/>
        <w:rPr>
          <w:lang w:val="fr-FR"/>
        </w:rPr>
      </w:pPr>
      <w:r w:rsidRPr="008C5911">
        <w:rPr>
          <w:lang w:val="fr-FR"/>
        </w:rPr>
        <w:t>1</w:t>
      </w:r>
      <w:r w:rsidRPr="00F22925">
        <w:rPr>
          <w:lang w:val="fr-FR"/>
        </w:rPr>
        <w:t>.</w:t>
      </w:r>
      <w:r w:rsidRPr="008C5911">
        <w:rPr>
          <w:lang w:val="fr-FR"/>
        </w:rPr>
        <w:tab/>
        <w:t>L</w:t>
      </w:r>
      <w:r>
        <w:rPr>
          <w:lang w:val="fr-FR"/>
        </w:rPr>
        <w:t>’</w:t>
      </w:r>
      <w:r w:rsidRPr="008C5911">
        <w:rPr>
          <w:lang w:val="fr-FR"/>
        </w:rPr>
        <w:t>application à titre provisoire d</w:t>
      </w:r>
      <w:r>
        <w:rPr>
          <w:lang w:val="fr-FR"/>
        </w:rPr>
        <w:t>’</w:t>
      </w:r>
      <w:r w:rsidRPr="008C5911">
        <w:rPr>
          <w:lang w:val="fr-FR"/>
        </w:rPr>
        <w:t>un traité ou d</w:t>
      </w:r>
      <w:r>
        <w:rPr>
          <w:lang w:val="fr-FR"/>
        </w:rPr>
        <w:t>’</w:t>
      </w:r>
      <w:r w:rsidRPr="008C5911">
        <w:rPr>
          <w:lang w:val="fr-FR"/>
        </w:rPr>
        <w:t>une partie d</w:t>
      </w:r>
      <w:r>
        <w:rPr>
          <w:lang w:val="fr-FR"/>
        </w:rPr>
        <w:t>’</w:t>
      </w:r>
      <w:r w:rsidRPr="008C5911">
        <w:rPr>
          <w:lang w:val="fr-FR"/>
        </w:rPr>
        <w:t>un traité prend fin avec l</w:t>
      </w:r>
      <w:r>
        <w:rPr>
          <w:lang w:val="fr-FR"/>
        </w:rPr>
        <w:t>’</w:t>
      </w:r>
      <w:r w:rsidRPr="008C5911">
        <w:rPr>
          <w:lang w:val="fr-FR"/>
        </w:rPr>
        <w:t>entrée en vigueur de ce traité dans les relations entre les États ou organisations internationales concernés</w:t>
      </w:r>
      <w:r w:rsidRPr="00F22925">
        <w:rPr>
          <w:lang w:val="fr-FR"/>
        </w:rPr>
        <w:t>.</w:t>
      </w:r>
    </w:p>
    <w:p w14:paraId="2274FE8F" w14:textId="77777777" w:rsidR="00507F03" w:rsidRPr="008C5911" w:rsidRDefault="00507F03" w:rsidP="00507F03">
      <w:pPr>
        <w:pStyle w:val="SingleTxtG"/>
        <w:rPr>
          <w:lang w:val="fr-CA"/>
        </w:rPr>
      </w:pPr>
      <w:r w:rsidRPr="008C5911">
        <w:rPr>
          <w:lang w:val="fr-CA"/>
        </w:rPr>
        <w:t>2</w:t>
      </w:r>
      <w:r w:rsidRPr="00F22925">
        <w:rPr>
          <w:lang w:val="fr-CA"/>
        </w:rPr>
        <w:t>.</w:t>
      </w:r>
      <w:r w:rsidRPr="008C5911">
        <w:rPr>
          <w:bCs/>
          <w:lang w:val="fr-CA"/>
        </w:rPr>
        <w:tab/>
      </w:r>
      <w:r w:rsidRPr="008C5911">
        <w:rPr>
          <w:lang w:val="fr-CA"/>
        </w:rPr>
        <w:t>À moins que le traité en dispose autrement ou qu</w:t>
      </w:r>
      <w:r>
        <w:rPr>
          <w:lang w:val="fr-CA"/>
        </w:rPr>
        <w:t>’</w:t>
      </w:r>
      <w:r w:rsidRPr="008C5911">
        <w:rPr>
          <w:lang w:val="fr-CA"/>
        </w:rPr>
        <w:t>il en soit autrement convenu, l</w:t>
      </w:r>
      <w:r>
        <w:rPr>
          <w:lang w:val="fr-CA"/>
        </w:rPr>
        <w:t>’</w:t>
      </w:r>
      <w:r w:rsidRPr="008C5911">
        <w:rPr>
          <w:lang w:val="fr-CA"/>
        </w:rPr>
        <w:t>application à titre provisoire d</w:t>
      </w:r>
      <w:r>
        <w:rPr>
          <w:lang w:val="fr-CA"/>
        </w:rPr>
        <w:t>’</w:t>
      </w:r>
      <w:r w:rsidRPr="008C5911">
        <w:rPr>
          <w:lang w:val="fr-CA"/>
        </w:rPr>
        <w:t>un traité ou d</w:t>
      </w:r>
      <w:r>
        <w:rPr>
          <w:lang w:val="fr-CA"/>
        </w:rPr>
        <w:t>’</w:t>
      </w:r>
      <w:r w:rsidRPr="008C5911">
        <w:rPr>
          <w:lang w:val="fr-CA"/>
        </w:rPr>
        <w:t>une partie d</w:t>
      </w:r>
      <w:r>
        <w:rPr>
          <w:lang w:val="fr-CA"/>
        </w:rPr>
        <w:t>’</w:t>
      </w:r>
      <w:r w:rsidRPr="008C5911">
        <w:rPr>
          <w:lang w:val="fr-CA"/>
        </w:rPr>
        <w:t>un traité à l</w:t>
      </w:r>
      <w:r>
        <w:rPr>
          <w:lang w:val="fr-CA"/>
        </w:rPr>
        <w:t>’</w:t>
      </w:r>
      <w:r w:rsidRPr="008C5911">
        <w:rPr>
          <w:lang w:val="fr-CA"/>
        </w:rPr>
        <w:t>égard d</w:t>
      </w:r>
      <w:r>
        <w:rPr>
          <w:lang w:val="fr-CA"/>
        </w:rPr>
        <w:t>’</w:t>
      </w:r>
      <w:r w:rsidRPr="008C5911">
        <w:rPr>
          <w:lang w:val="fr-CA"/>
        </w:rPr>
        <w:t>un État ou d</w:t>
      </w:r>
      <w:r>
        <w:rPr>
          <w:lang w:val="fr-CA"/>
        </w:rPr>
        <w:t>’</w:t>
      </w:r>
      <w:r w:rsidRPr="008C5911">
        <w:rPr>
          <w:lang w:val="fr-CA"/>
        </w:rPr>
        <w:t>une organisation internationale prend fin si cet État ou l</w:t>
      </w:r>
      <w:r>
        <w:rPr>
          <w:lang w:val="fr-CA"/>
        </w:rPr>
        <w:t>’</w:t>
      </w:r>
      <w:r w:rsidRPr="008C5911">
        <w:rPr>
          <w:lang w:val="fr-CA"/>
        </w:rPr>
        <w:t>organisation internationale notifie aux autres États ou organisations internationales concernés son intention de ne pas devenir partie au traité</w:t>
      </w:r>
      <w:r w:rsidRPr="00F22925">
        <w:rPr>
          <w:lang w:val="fr-CA"/>
        </w:rPr>
        <w:t>.</w:t>
      </w:r>
    </w:p>
    <w:p w14:paraId="7D56767B" w14:textId="77777777" w:rsidR="00507F03" w:rsidRPr="008C5911" w:rsidRDefault="00507F03" w:rsidP="00507F03">
      <w:pPr>
        <w:pStyle w:val="SingleTxtG"/>
        <w:rPr>
          <w:lang w:val="fr-CA"/>
        </w:rPr>
      </w:pPr>
      <w:r w:rsidRPr="008C5911">
        <w:rPr>
          <w:lang w:val="fr-CA"/>
        </w:rPr>
        <w:t>3</w:t>
      </w:r>
      <w:r w:rsidRPr="00F22925">
        <w:rPr>
          <w:lang w:val="fr-CA"/>
        </w:rPr>
        <w:t>.</w:t>
      </w:r>
      <w:r w:rsidRPr="008C5911">
        <w:rPr>
          <w:lang w:val="fr-CA"/>
        </w:rPr>
        <w:tab/>
        <w:t>À moins que le traité en dispose autrement ou qu</w:t>
      </w:r>
      <w:r>
        <w:rPr>
          <w:lang w:val="fr-CA"/>
        </w:rPr>
        <w:t>’</w:t>
      </w:r>
      <w:r w:rsidRPr="008C5911">
        <w:rPr>
          <w:lang w:val="fr-CA"/>
        </w:rPr>
        <w:t>il en soit autrement convenu, un État ou une organisation internationale peut invoquer d</w:t>
      </w:r>
      <w:r>
        <w:rPr>
          <w:lang w:val="fr-CA"/>
        </w:rPr>
        <w:t>’</w:t>
      </w:r>
      <w:r w:rsidRPr="008C5911">
        <w:rPr>
          <w:lang w:val="fr-CA"/>
        </w:rPr>
        <w:t>autres motifs pour mettre fin à l</w:t>
      </w:r>
      <w:r>
        <w:rPr>
          <w:lang w:val="fr-CA"/>
        </w:rPr>
        <w:t>’</w:t>
      </w:r>
      <w:r w:rsidRPr="008C5911">
        <w:rPr>
          <w:lang w:val="fr-CA"/>
        </w:rPr>
        <w:t>application à titre provisoire, auquel cas il le notifie aux autres États ou organisations internationales concernés</w:t>
      </w:r>
      <w:r w:rsidRPr="00F22925">
        <w:rPr>
          <w:lang w:val="fr-CA"/>
        </w:rPr>
        <w:t>.</w:t>
      </w:r>
    </w:p>
    <w:p w14:paraId="790C5846" w14:textId="77777777" w:rsidR="00507F03" w:rsidRPr="008C5911" w:rsidRDefault="00507F03" w:rsidP="00507F03">
      <w:pPr>
        <w:pStyle w:val="SingleTxtG"/>
        <w:rPr>
          <w:lang w:val="fr-FR"/>
        </w:rPr>
      </w:pPr>
      <w:r w:rsidRPr="008C5911">
        <w:rPr>
          <w:lang w:val="fr-FR"/>
        </w:rPr>
        <w:t>4</w:t>
      </w:r>
      <w:r w:rsidRPr="00F22925">
        <w:rPr>
          <w:lang w:val="fr-FR"/>
        </w:rPr>
        <w:t>.</w:t>
      </w:r>
      <w:r w:rsidRPr="008C5911">
        <w:rPr>
          <w:bCs/>
          <w:lang w:val="fr-FR"/>
        </w:rPr>
        <w:tab/>
      </w:r>
      <w:r w:rsidRPr="008C5911">
        <w:rPr>
          <w:lang w:val="fr-FR"/>
        </w:rPr>
        <w:t>À moins que le traité en dispose autrement ou qu</w:t>
      </w:r>
      <w:r>
        <w:rPr>
          <w:lang w:val="fr-FR"/>
        </w:rPr>
        <w:t>’</w:t>
      </w:r>
      <w:r w:rsidRPr="008C5911">
        <w:rPr>
          <w:lang w:val="fr-FR"/>
        </w:rPr>
        <w:t>il en soit autrement convenu, le fait que l</w:t>
      </w:r>
      <w:r>
        <w:rPr>
          <w:lang w:val="fr-FR"/>
        </w:rPr>
        <w:t>’</w:t>
      </w:r>
      <w:r w:rsidRPr="008C5911">
        <w:rPr>
          <w:lang w:val="fr-FR"/>
        </w:rPr>
        <w:t>application à titre provisoire d</w:t>
      </w:r>
      <w:r>
        <w:rPr>
          <w:lang w:val="fr-FR"/>
        </w:rPr>
        <w:t>’</w:t>
      </w:r>
      <w:r w:rsidRPr="008C5911">
        <w:rPr>
          <w:lang w:val="fr-FR"/>
        </w:rPr>
        <w:t>un traité ou d</w:t>
      </w:r>
      <w:r>
        <w:rPr>
          <w:lang w:val="fr-FR"/>
        </w:rPr>
        <w:t>’</w:t>
      </w:r>
      <w:r w:rsidRPr="008C5911">
        <w:rPr>
          <w:lang w:val="fr-FR"/>
        </w:rPr>
        <w:t>une partie d</w:t>
      </w:r>
      <w:r>
        <w:rPr>
          <w:lang w:val="fr-FR"/>
        </w:rPr>
        <w:t>’</w:t>
      </w:r>
      <w:r w:rsidRPr="008C5911">
        <w:rPr>
          <w:lang w:val="fr-FR"/>
        </w:rPr>
        <w:t>un traité a pris fin ne porte atteinte à aucun droit, aucune obligation ni aucune situation juridique créés par l</w:t>
      </w:r>
      <w:r>
        <w:rPr>
          <w:lang w:val="fr-FR"/>
        </w:rPr>
        <w:t>’</w:t>
      </w:r>
      <w:r w:rsidRPr="008C5911">
        <w:rPr>
          <w:lang w:val="fr-FR"/>
        </w:rPr>
        <w:t>exécution de ladite application à titre provisoire avant qu</w:t>
      </w:r>
      <w:r>
        <w:rPr>
          <w:lang w:val="fr-FR"/>
        </w:rPr>
        <w:t>’</w:t>
      </w:r>
      <w:r w:rsidRPr="008C5911">
        <w:rPr>
          <w:lang w:val="fr-FR"/>
        </w:rPr>
        <w:t>elle ait pris fin</w:t>
      </w:r>
      <w:r w:rsidRPr="00F22925">
        <w:rPr>
          <w:lang w:val="fr-FR"/>
        </w:rPr>
        <w:t>.</w:t>
      </w:r>
    </w:p>
    <w:p w14:paraId="69A35E8D" w14:textId="77777777" w:rsidR="00507F03" w:rsidRPr="008C5911" w:rsidRDefault="00507F03" w:rsidP="00507F03">
      <w:pPr>
        <w:pStyle w:val="H23G"/>
        <w:rPr>
          <w:lang w:val="fr-FR"/>
        </w:rPr>
      </w:pPr>
      <w:r w:rsidRPr="008C5911">
        <w:rPr>
          <w:lang w:val="fr-FR"/>
        </w:rPr>
        <w:tab/>
      </w:r>
      <w:r w:rsidRPr="008C5911">
        <w:rPr>
          <w:lang w:val="fr-FR"/>
        </w:rPr>
        <w:tab/>
        <w:t>Directive 10</w:t>
      </w:r>
      <w:r w:rsidRPr="008C5911">
        <w:rPr>
          <w:lang w:val="fr-FR"/>
        </w:rPr>
        <w:br/>
        <w:t xml:space="preserve">Droit interne des États, règles des organisations internationales </w:t>
      </w:r>
      <w:r w:rsidRPr="008C5911">
        <w:rPr>
          <w:lang w:val="fr-FR"/>
        </w:rPr>
        <w:br/>
        <w:t>et respect des traités appliqués à titre provisoire</w:t>
      </w:r>
    </w:p>
    <w:p w14:paraId="3B6F416E" w14:textId="77777777" w:rsidR="00507F03" w:rsidRPr="008C5911" w:rsidRDefault="00507F03" w:rsidP="00507F03">
      <w:pPr>
        <w:pStyle w:val="SingleTxtG"/>
        <w:rPr>
          <w:bCs/>
          <w:lang w:val="fr-FR"/>
        </w:rPr>
      </w:pPr>
      <w:r w:rsidRPr="008C5911">
        <w:rPr>
          <w:bCs/>
          <w:lang w:val="fr-FR"/>
        </w:rPr>
        <w:t>1</w:t>
      </w:r>
      <w:r w:rsidRPr="00F22925">
        <w:rPr>
          <w:bCs/>
          <w:lang w:val="fr-FR"/>
        </w:rPr>
        <w:t>.</w:t>
      </w:r>
      <w:r w:rsidRPr="008C5911">
        <w:rPr>
          <w:bCs/>
          <w:lang w:val="fr-FR"/>
        </w:rPr>
        <w:tab/>
        <w:t>Un État qui a convenu de l</w:t>
      </w:r>
      <w:r>
        <w:rPr>
          <w:bCs/>
          <w:lang w:val="fr-FR"/>
        </w:rPr>
        <w:t>’</w:t>
      </w:r>
      <w:r w:rsidRPr="008C5911">
        <w:rPr>
          <w:bCs/>
          <w:lang w:val="fr-FR"/>
        </w:rPr>
        <w:t>application à titre provisoire d</w:t>
      </w:r>
      <w:r>
        <w:rPr>
          <w:bCs/>
          <w:lang w:val="fr-FR"/>
        </w:rPr>
        <w:t>’</w:t>
      </w:r>
      <w:r w:rsidRPr="008C5911">
        <w:rPr>
          <w:bCs/>
          <w:lang w:val="fr-FR"/>
        </w:rPr>
        <w:t>un traité ou d</w:t>
      </w:r>
      <w:r>
        <w:rPr>
          <w:bCs/>
          <w:lang w:val="fr-FR"/>
        </w:rPr>
        <w:t>’</w:t>
      </w:r>
      <w:r w:rsidRPr="008C5911">
        <w:rPr>
          <w:bCs/>
          <w:lang w:val="fr-FR"/>
        </w:rPr>
        <w:t>une partie d</w:t>
      </w:r>
      <w:r>
        <w:rPr>
          <w:bCs/>
          <w:lang w:val="fr-FR"/>
        </w:rPr>
        <w:t>’</w:t>
      </w:r>
      <w:r w:rsidRPr="008C5911">
        <w:rPr>
          <w:bCs/>
          <w:lang w:val="fr-FR"/>
        </w:rPr>
        <w:t>un traité ne peut invoquer les dispositions de son droit interne comme justifiant la non</w:t>
      </w:r>
      <w:r w:rsidRPr="008C5911">
        <w:rPr>
          <w:bCs/>
          <w:lang w:val="fr-FR"/>
        </w:rPr>
        <w:noBreakHyphen/>
        <w:t>exécution d</w:t>
      </w:r>
      <w:r>
        <w:rPr>
          <w:bCs/>
          <w:lang w:val="fr-FR"/>
        </w:rPr>
        <w:t>’</w:t>
      </w:r>
      <w:r w:rsidRPr="008C5911">
        <w:rPr>
          <w:bCs/>
          <w:lang w:val="fr-FR"/>
        </w:rPr>
        <w:t>une obligation découlant de ladite application à titre provisoire</w:t>
      </w:r>
      <w:r w:rsidRPr="00F22925">
        <w:rPr>
          <w:bCs/>
          <w:lang w:val="fr-FR"/>
        </w:rPr>
        <w:t>.</w:t>
      </w:r>
    </w:p>
    <w:p w14:paraId="362DFC9E" w14:textId="77777777" w:rsidR="00507F03" w:rsidRPr="008C5911" w:rsidRDefault="00507F03" w:rsidP="00507F03">
      <w:pPr>
        <w:pStyle w:val="SingleTxtG"/>
        <w:rPr>
          <w:bCs/>
          <w:lang w:val="fr-FR"/>
        </w:rPr>
      </w:pPr>
      <w:r w:rsidRPr="008C5911">
        <w:rPr>
          <w:bCs/>
          <w:lang w:val="fr-FR"/>
        </w:rPr>
        <w:t>2</w:t>
      </w:r>
      <w:r w:rsidRPr="00F22925">
        <w:rPr>
          <w:bCs/>
          <w:lang w:val="fr-FR"/>
        </w:rPr>
        <w:t>.</w:t>
      </w:r>
      <w:r w:rsidRPr="008C5911">
        <w:rPr>
          <w:bCs/>
          <w:lang w:val="fr-FR"/>
        </w:rPr>
        <w:tab/>
        <w:t>Une organisation internationale qui a convenu de l</w:t>
      </w:r>
      <w:r>
        <w:rPr>
          <w:bCs/>
          <w:lang w:val="fr-FR"/>
        </w:rPr>
        <w:t>’</w:t>
      </w:r>
      <w:r w:rsidRPr="008C5911">
        <w:rPr>
          <w:bCs/>
          <w:lang w:val="fr-FR"/>
        </w:rPr>
        <w:t>application à titre provisoire d</w:t>
      </w:r>
      <w:r>
        <w:rPr>
          <w:bCs/>
          <w:lang w:val="fr-FR"/>
        </w:rPr>
        <w:t>’</w:t>
      </w:r>
      <w:r w:rsidRPr="008C5911">
        <w:rPr>
          <w:bCs/>
          <w:lang w:val="fr-FR"/>
        </w:rPr>
        <w:t>un traité ou d</w:t>
      </w:r>
      <w:r>
        <w:rPr>
          <w:bCs/>
          <w:lang w:val="fr-FR"/>
        </w:rPr>
        <w:t>’</w:t>
      </w:r>
      <w:r w:rsidRPr="008C5911">
        <w:rPr>
          <w:bCs/>
          <w:lang w:val="fr-FR"/>
        </w:rPr>
        <w:t>une partie d</w:t>
      </w:r>
      <w:r>
        <w:rPr>
          <w:bCs/>
          <w:lang w:val="fr-FR"/>
        </w:rPr>
        <w:t>’</w:t>
      </w:r>
      <w:r w:rsidRPr="008C5911">
        <w:rPr>
          <w:bCs/>
          <w:lang w:val="fr-FR"/>
        </w:rPr>
        <w:t>un traité ne peut invoquer les règles de l</w:t>
      </w:r>
      <w:r>
        <w:rPr>
          <w:bCs/>
          <w:lang w:val="fr-FR"/>
        </w:rPr>
        <w:t>’</w:t>
      </w:r>
      <w:r w:rsidRPr="008C5911">
        <w:rPr>
          <w:bCs/>
          <w:lang w:val="fr-FR"/>
        </w:rPr>
        <w:t>organisation comme justifiant la non</w:t>
      </w:r>
      <w:r w:rsidRPr="008C5911">
        <w:rPr>
          <w:bCs/>
          <w:lang w:val="fr-FR"/>
        </w:rPr>
        <w:noBreakHyphen/>
        <w:t>exécution d</w:t>
      </w:r>
      <w:r>
        <w:rPr>
          <w:bCs/>
          <w:lang w:val="fr-FR"/>
        </w:rPr>
        <w:t>’</w:t>
      </w:r>
      <w:r w:rsidRPr="008C5911">
        <w:rPr>
          <w:bCs/>
          <w:lang w:val="fr-FR"/>
        </w:rPr>
        <w:t>une obligation découlant de ladite application à titre provisoire</w:t>
      </w:r>
      <w:r w:rsidRPr="00F22925">
        <w:rPr>
          <w:bCs/>
          <w:lang w:val="fr-FR"/>
        </w:rPr>
        <w:t>.</w:t>
      </w:r>
    </w:p>
    <w:p w14:paraId="1D410335" w14:textId="77777777" w:rsidR="00507F03" w:rsidRPr="008C5911" w:rsidRDefault="00507F03" w:rsidP="00507F03">
      <w:pPr>
        <w:pStyle w:val="H23G"/>
        <w:rPr>
          <w:lang w:val="fr-FR"/>
        </w:rPr>
      </w:pPr>
      <w:r w:rsidRPr="008C5911">
        <w:rPr>
          <w:lang w:val="fr-FR"/>
        </w:rPr>
        <w:tab/>
      </w:r>
      <w:r w:rsidRPr="008C5911">
        <w:rPr>
          <w:lang w:val="fr-FR"/>
        </w:rPr>
        <w:tab/>
        <w:t>Directive 11</w:t>
      </w:r>
      <w:r w:rsidRPr="008C5911">
        <w:rPr>
          <w:lang w:val="fr-FR"/>
        </w:rPr>
        <w:br/>
        <w:t>Dispositions du droit interne des États et règles des organisations internationales concernant la compétence de convenir de l</w:t>
      </w:r>
      <w:r>
        <w:rPr>
          <w:lang w:val="fr-FR"/>
        </w:rPr>
        <w:t>’</w:t>
      </w:r>
      <w:r w:rsidRPr="008C5911">
        <w:rPr>
          <w:lang w:val="fr-FR"/>
        </w:rPr>
        <w:t>application à titre provisoire des traités</w:t>
      </w:r>
    </w:p>
    <w:p w14:paraId="6224B882" w14:textId="77777777" w:rsidR="00507F03" w:rsidRPr="008C5911" w:rsidRDefault="00507F03" w:rsidP="00507F03">
      <w:pPr>
        <w:pStyle w:val="SingleTxtG"/>
        <w:rPr>
          <w:bCs/>
          <w:lang w:val="fr-FR"/>
        </w:rPr>
      </w:pPr>
      <w:r w:rsidRPr="008C5911">
        <w:rPr>
          <w:bCs/>
          <w:lang w:val="fr-FR"/>
        </w:rPr>
        <w:t>1</w:t>
      </w:r>
      <w:r w:rsidRPr="00F22925">
        <w:rPr>
          <w:bCs/>
          <w:lang w:val="fr-FR"/>
        </w:rPr>
        <w:t>.</w:t>
      </w:r>
      <w:r w:rsidRPr="008C5911">
        <w:rPr>
          <w:bCs/>
          <w:lang w:val="fr-FR"/>
        </w:rPr>
        <w:tab/>
        <w:t>Un État ne peut invoquer le fait que son consentement à l</w:t>
      </w:r>
      <w:r>
        <w:rPr>
          <w:bCs/>
          <w:lang w:val="fr-FR"/>
        </w:rPr>
        <w:t>’</w:t>
      </w:r>
      <w:r w:rsidRPr="008C5911">
        <w:rPr>
          <w:bCs/>
          <w:lang w:val="fr-FR"/>
        </w:rPr>
        <w:t>application à titre provisoire d</w:t>
      </w:r>
      <w:r>
        <w:rPr>
          <w:bCs/>
          <w:lang w:val="fr-FR"/>
        </w:rPr>
        <w:t>’</w:t>
      </w:r>
      <w:r w:rsidRPr="008C5911">
        <w:rPr>
          <w:bCs/>
          <w:lang w:val="fr-FR"/>
        </w:rPr>
        <w:t>un traité ou d</w:t>
      </w:r>
      <w:r>
        <w:rPr>
          <w:bCs/>
          <w:lang w:val="fr-FR"/>
        </w:rPr>
        <w:t>’</w:t>
      </w:r>
      <w:r w:rsidRPr="008C5911">
        <w:rPr>
          <w:bCs/>
          <w:lang w:val="fr-FR"/>
        </w:rPr>
        <w:t>une partie d</w:t>
      </w:r>
      <w:r>
        <w:rPr>
          <w:bCs/>
          <w:lang w:val="fr-FR"/>
        </w:rPr>
        <w:t>’</w:t>
      </w:r>
      <w:r w:rsidRPr="008C5911">
        <w:rPr>
          <w:bCs/>
          <w:lang w:val="fr-FR"/>
        </w:rPr>
        <w:t>un traité a été exprimé en violation d</w:t>
      </w:r>
      <w:r>
        <w:rPr>
          <w:bCs/>
          <w:lang w:val="fr-FR"/>
        </w:rPr>
        <w:t>’</w:t>
      </w:r>
      <w:r w:rsidRPr="008C5911">
        <w:rPr>
          <w:bCs/>
          <w:lang w:val="fr-FR"/>
        </w:rPr>
        <w:t>une disposition de son droit interne concernant la compétence de convenir de l</w:t>
      </w:r>
      <w:r>
        <w:rPr>
          <w:bCs/>
          <w:lang w:val="fr-FR"/>
        </w:rPr>
        <w:t>’</w:t>
      </w:r>
      <w:r w:rsidRPr="008C5911">
        <w:rPr>
          <w:bCs/>
          <w:lang w:val="fr-FR"/>
        </w:rPr>
        <w:t xml:space="preserve">application à titre provisoire des traités comme viciant son consentement, à moins que cette violation </w:t>
      </w:r>
      <w:r w:rsidRPr="008C5911">
        <w:rPr>
          <w:bCs/>
          <w:lang w:val="fr-FR"/>
        </w:rPr>
        <w:lastRenderedPageBreak/>
        <w:t>n</w:t>
      </w:r>
      <w:r>
        <w:rPr>
          <w:bCs/>
          <w:lang w:val="fr-FR"/>
        </w:rPr>
        <w:t>’</w:t>
      </w:r>
      <w:r w:rsidRPr="008C5911">
        <w:rPr>
          <w:bCs/>
          <w:lang w:val="fr-FR"/>
        </w:rPr>
        <w:t>ait été manifeste et ne concerne une règle de son droit interne d</w:t>
      </w:r>
      <w:r>
        <w:rPr>
          <w:bCs/>
          <w:lang w:val="fr-FR"/>
        </w:rPr>
        <w:t>’</w:t>
      </w:r>
      <w:r w:rsidRPr="008C5911">
        <w:rPr>
          <w:bCs/>
          <w:lang w:val="fr-FR"/>
        </w:rPr>
        <w:t>importance fondamentale</w:t>
      </w:r>
      <w:r w:rsidRPr="00F22925">
        <w:rPr>
          <w:bCs/>
          <w:lang w:val="fr-FR"/>
        </w:rPr>
        <w:t>.</w:t>
      </w:r>
    </w:p>
    <w:p w14:paraId="35C72C2B" w14:textId="77777777" w:rsidR="00507F03" w:rsidRPr="008C5911" w:rsidRDefault="00507F03" w:rsidP="00507F03">
      <w:pPr>
        <w:pStyle w:val="SingleTxtG"/>
        <w:rPr>
          <w:bCs/>
          <w:lang w:val="fr-FR"/>
        </w:rPr>
      </w:pPr>
      <w:r w:rsidRPr="008C5911">
        <w:rPr>
          <w:bCs/>
          <w:lang w:val="fr-FR"/>
        </w:rPr>
        <w:t>2</w:t>
      </w:r>
      <w:r w:rsidRPr="00F22925">
        <w:rPr>
          <w:bCs/>
          <w:lang w:val="fr-FR"/>
        </w:rPr>
        <w:t>.</w:t>
      </w:r>
      <w:r w:rsidRPr="008C5911">
        <w:rPr>
          <w:bCs/>
          <w:lang w:val="fr-FR"/>
        </w:rPr>
        <w:tab/>
        <w:t>Une organisation internationale ne peut invoquer le fait que son consentement à l</w:t>
      </w:r>
      <w:r>
        <w:rPr>
          <w:bCs/>
          <w:lang w:val="fr-FR"/>
        </w:rPr>
        <w:t>’</w:t>
      </w:r>
      <w:r w:rsidRPr="008C5911">
        <w:rPr>
          <w:bCs/>
          <w:lang w:val="fr-FR"/>
        </w:rPr>
        <w:t>application à titre provisoire d</w:t>
      </w:r>
      <w:r>
        <w:rPr>
          <w:bCs/>
          <w:lang w:val="fr-FR"/>
        </w:rPr>
        <w:t>’</w:t>
      </w:r>
      <w:r w:rsidRPr="008C5911">
        <w:rPr>
          <w:bCs/>
          <w:lang w:val="fr-FR"/>
        </w:rPr>
        <w:t>un traité ou d</w:t>
      </w:r>
      <w:r>
        <w:rPr>
          <w:bCs/>
          <w:lang w:val="fr-FR"/>
        </w:rPr>
        <w:t>’</w:t>
      </w:r>
      <w:r w:rsidRPr="008C5911">
        <w:rPr>
          <w:bCs/>
          <w:lang w:val="fr-FR"/>
        </w:rPr>
        <w:t>une partie d</w:t>
      </w:r>
      <w:r>
        <w:rPr>
          <w:bCs/>
          <w:lang w:val="fr-FR"/>
        </w:rPr>
        <w:t>’</w:t>
      </w:r>
      <w:r w:rsidRPr="008C5911">
        <w:rPr>
          <w:bCs/>
          <w:lang w:val="fr-FR"/>
        </w:rPr>
        <w:t>un traité a été exprimé en violation des règles de l</w:t>
      </w:r>
      <w:r>
        <w:rPr>
          <w:bCs/>
          <w:lang w:val="fr-FR"/>
        </w:rPr>
        <w:t>’</w:t>
      </w:r>
      <w:r w:rsidRPr="008C5911">
        <w:rPr>
          <w:bCs/>
          <w:lang w:val="fr-FR"/>
        </w:rPr>
        <w:t>organisation concernant la compétence de convenir de l</w:t>
      </w:r>
      <w:r>
        <w:rPr>
          <w:bCs/>
          <w:lang w:val="fr-FR"/>
        </w:rPr>
        <w:t>’</w:t>
      </w:r>
      <w:r w:rsidRPr="008C5911">
        <w:rPr>
          <w:bCs/>
          <w:lang w:val="fr-FR"/>
        </w:rPr>
        <w:t>application à titre provisoire des traités comme viciant son consentement, à moins que cette violation n</w:t>
      </w:r>
      <w:r>
        <w:rPr>
          <w:bCs/>
          <w:lang w:val="fr-FR"/>
        </w:rPr>
        <w:t>’</w:t>
      </w:r>
      <w:r w:rsidRPr="008C5911">
        <w:rPr>
          <w:bCs/>
          <w:lang w:val="fr-FR"/>
        </w:rPr>
        <w:t>ait été manifeste et ne concerne une règle d</w:t>
      </w:r>
      <w:r>
        <w:rPr>
          <w:bCs/>
          <w:lang w:val="fr-FR"/>
        </w:rPr>
        <w:t>’</w:t>
      </w:r>
      <w:r w:rsidRPr="008C5911">
        <w:rPr>
          <w:bCs/>
          <w:lang w:val="fr-FR"/>
        </w:rPr>
        <w:t>importance fondamentale</w:t>
      </w:r>
      <w:r w:rsidRPr="00F22925">
        <w:rPr>
          <w:bCs/>
          <w:lang w:val="fr-FR"/>
        </w:rPr>
        <w:t>.</w:t>
      </w:r>
    </w:p>
    <w:p w14:paraId="34F63867" w14:textId="77777777" w:rsidR="00507F03" w:rsidRPr="008C5911" w:rsidRDefault="00507F03" w:rsidP="00507F03">
      <w:pPr>
        <w:pStyle w:val="H23G"/>
        <w:rPr>
          <w:lang w:val="fr-FR"/>
        </w:rPr>
      </w:pPr>
      <w:r w:rsidRPr="008C5911">
        <w:rPr>
          <w:lang w:val="fr-FR"/>
        </w:rPr>
        <w:tab/>
      </w:r>
      <w:r w:rsidRPr="008C5911">
        <w:rPr>
          <w:lang w:val="fr-FR"/>
        </w:rPr>
        <w:tab/>
        <w:t>Directive 12</w:t>
      </w:r>
      <w:r>
        <w:rPr>
          <w:lang w:val="fr-FR"/>
        </w:rPr>
        <w:t xml:space="preserve"> </w:t>
      </w:r>
      <w:r w:rsidRPr="008C5911">
        <w:rPr>
          <w:lang w:val="fr-FR"/>
        </w:rPr>
        <w:br/>
        <w:t>Accord relatif à l</w:t>
      </w:r>
      <w:r>
        <w:rPr>
          <w:lang w:val="fr-FR"/>
        </w:rPr>
        <w:t>’</w:t>
      </w:r>
      <w:r w:rsidRPr="008C5911">
        <w:rPr>
          <w:lang w:val="fr-FR"/>
        </w:rPr>
        <w:t xml:space="preserve">application à titre provisoire avec des limites découlant </w:t>
      </w:r>
      <w:r w:rsidRPr="008C5911">
        <w:rPr>
          <w:lang w:val="fr-FR"/>
        </w:rPr>
        <w:br/>
        <w:t>du droit interne des États ou des règles des organisations internationales</w:t>
      </w:r>
    </w:p>
    <w:p w14:paraId="64DE8588" w14:textId="77777777" w:rsidR="00507F03" w:rsidRPr="008C5911" w:rsidRDefault="00507F03" w:rsidP="00507F03">
      <w:pPr>
        <w:pStyle w:val="SingleTxtG"/>
        <w:rPr>
          <w:lang w:val="fr-FR"/>
        </w:rPr>
      </w:pPr>
      <w:r w:rsidRPr="008C5911">
        <w:rPr>
          <w:lang w:val="fr-FR"/>
        </w:rPr>
        <w:tab/>
        <w:t>Les présents projets de directive sont sans préjudice du droit des États ou des organisations internationales de convenir, dans le traité lui-même ou autrement, de l</w:t>
      </w:r>
      <w:r>
        <w:rPr>
          <w:lang w:val="fr-FR"/>
        </w:rPr>
        <w:t>’</w:t>
      </w:r>
      <w:r w:rsidRPr="008C5911">
        <w:rPr>
          <w:lang w:val="fr-FR"/>
        </w:rPr>
        <w:t>application à titre provisoire du traité ou d</w:t>
      </w:r>
      <w:r>
        <w:rPr>
          <w:lang w:val="fr-FR"/>
        </w:rPr>
        <w:t>’</w:t>
      </w:r>
      <w:r w:rsidRPr="008C5911">
        <w:rPr>
          <w:lang w:val="fr-FR"/>
        </w:rPr>
        <w:t>une partie du traité avec des limites découlant du droit interne des États ou des règles des organisations internationales</w:t>
      </w:r>
      <w:r w:rsidRPr="00F22925">
        <w:rPr>
          <w:lang w:val="fr-FR"/>
        </w:rPr>
        <w:t>.</w:t>
      </w:r>
    </w:p>
    <w:p w14:paraId="47B5A280" w14:textId="77777777" w:rsidR="00507F03" w:rsidRPr="008C5911" w:rsidRDefault="00507F03" w:rsidP="00507F03">
      <w:pPr>
        <w:pStyle w:val="H23G"/>
        <w:rPr>
          <w:lang w:val="fr-CA"/>
        </w:rPr>
      </w:pPr>
      <w:r w:rsidRPr="008C5911">
        <w:rPr>
          <w:lang w:val="fr-CA"/>
        </w:rPr>
        <w:tab/>
      </w:r>
      <w:r w:rsidRPr="008C5911">
        <w:rPr>
          <w:lang w:val="fr-CA"/>
        </w:rPr>
        <w:tab/>
        <w:t>Annexe</w:t>
      </w:r>
    </w:p>
    <w:p w14:paraId="1E27D827" w14:textId="77777777" w:rsidR="00507F03" w:rsidRPr="008C5911" w:rsidRDefault="00507F03" w:rsidP="00507F03">
      <w:pPr>
        <w:pStyle w:val="H23G"/>
        <w:rPr>
          <w:lang w:val="fr-CA"/>
        </w:rPr>
      </w:pPr>
      <w:r w:rsidRPr="008C5911">
        <w:rPr>
          <w:lang w:val="fr-FR"/>
        </w:rPr>
        <w:tab/>
      </w:r>
      <w:r w:rsidRPr="008C5911">
        <w:rPr>
          <w:lang w:val="fr-FR"/>
        </w:rPr>
        <w:tab/>
        <w:t>Exemples de dispositions relatives à l</w:t>
      </w:r>
      <w:r>
        <w:rPr>
          <w:lang w:val="fr-FR"/>
        </w:rPr>
        <w:t>’</w:t>
      </w:r>
      <w:r w:rsidRPr="008C5911">
        <w:rPr>
          <w:lang w:val="fr-FR"/>
        </w:rPr>
        <w:t>application à titre provisoire des traités</w:t>
      </w:r>
    </w:p>
    <w:p w14:paraId="799C06DD" w14:textId="77777777" w:rsidR="00507F03" w:rsidRPr="008C5911" w:rsidRDefault="00507F03" w:rsidP="00507F03">
      <w:pPr>
        <w:pStyle w:val="SingleTxtG"/>
        <w:ind w:firstLine="567"/>
        <w:rPr>
          <w:lang w:val="fr-CA"/>
        </w:rPr>
      </w:pPr>
      <w:r w:rsidRPr="008C5911">
        <w:rPr>
          <w:lang w:val="fr-FR"/>
        </w:rPr>
        <w:t xml:space="preserve">Les exemples fournis ci-après ont vocation à aider les États et les organisations internationales </w:t>
      </w:r>
      <w:r>
        <w:rPr>
          <w:lang w:val="fr-FR"/>
        </w:rPr>
        <w:t>dans la rédaction d’</w:t>
      </w:r>
      <w:r w:rsidRPr="008C5911">
        <w:rPr>
          <w:lang w:val="fr-FR"/>
        </w:rPr>
        <w:t>un accord concernant l</w:t>
      </w:r>
      <w:r>
        <w:rPr>
          <w:lang w:val="fr-FR"/>
        </w:rPr>
        <w:t>’</w:t>
      </w:r>
      <w:r w:rsidRPr="008C5911">
        <w:rPr>
          <w:lang w:val="fr-FR"/>
        </w:rPr>
        <w:t>application à titre provisoire d</w:t>
      </w:r>
      <w:r>
        <w:rPr>
          <w:lang w:val="fr-FR"/>
        </w:rPr>
        <w:t>’</w:t>
      </w:r>
      <w:r w:rsidRPr="008C5911">
        <w:rPr>
          <w:lang w:val="fr-FR"/>
        </w:rPr>
        <w:t>un traité ou d</w:t>
      </w:r>
      <w:r>
        <w:rPr>
          <w:lang w:val="fr-FR"/>
        </w:rPr>
        <w:t>’</w:t>
      </w:r>
      <w:r w:rsidRPr="008C5911">
        <w:rPr>
          <w:lang w:val="fr-FR"/>
        </w:rPr>
        <w:t>une partie d</w:t>
      </w:r>
      <w:r>
        <w:rPr>
          <w:lang w:val="fr-FR"/>
        </w:rPr>
        <w:t>’</w:t>
      </w:r>
      <w:r w:rsidRPr="008C5911">
        <w:rPr>
          <w:lang w:val="fr-FR"/>
        </w:rPr>
        <w:t>un traité</w:t>
      </w:r>
      <w:r w:rsidRPr="00F22925">
        <w:rPr>
          <w:lang w:val="fr-FR"/>
        </w:rPr>
        <w:t>.</w:t>
      </w:r>
      <w:r w:rsidRPr="008C5911">
        <w:rPr>
          <w:lang w:val="fr-FR"/>
        </w:rPr>
        <w:t xml:space="preserve"> Ils ne couvrent pas toutes les situations possibles et ne visent pas à prescrire une formulation plutôt qu</w:t>
      </w:r>
      <w:r>
        <w:rPr>
          <w:lang w:val="fr-FR"/>
        </w:rPr>
        <w:t>’</w:t>
      </w:r>
      <w:r w:rsidRPr="008C5911">
        <w:rPr>
          <w:lang w:val="fr-FR"/>
        </w:rPr>
        <w:t>une autre</w:t>
      </w:r>
      <w:r w:rsidRPr="00F22925">
        <w:rPr>
          <w:lang w:val="fr-FR"/>
        </w:rPr>
        <w:t>.</w:t>
      </w:r>
      <w:r w:rsidRPr="008C5911">
        <w:rPr>
          <w:lang w:val="fr-FR"/>
        </w:rPr>
        <w:t xml:space="preserve"> Issus de traités bilatéraux et de traités multilatéraux</w:t>
      </w:r>
      <w:r w:rsidRPr="00F22830">
        <w:rPr>
          <w:rStyle w:val="FootnoteReference"/>
        </w:rPr>
        <w:footnoteReference w:id="1"/>
      </w:r>
      <w:r w:rsidRPr="008C5911">
        <w:rPr>
          <w:lang w:val="fr-FR"/>
        </w:rPr>
        <w:t>, ils se rapportent à certains aspects de l</w:t>
      </w:r>
      <w:r>
        <w:rPr>
          <w:lang w:val="fr-FR"/>
        </w:rPr>
        <w:t>’</w:t>
      </w:r>
      <w:r w:rsidRPr="008C5911">
        <w:rPr>
          <w:lang w:val="fr-FR"/>
        </w:rPr>
        <w:t>application à titre provisoire qui posent généralement question et qui font l</w:t>
      </w:r>
      <w:r>
        <w:rPr>
          <w:lang w:val="fr-FR"/>
        </w:rPr>
        <w:t>’</w:t>
      </w:r>
      <w:r w:rsidRPr="008C5911">
        <w:rPr>
          <w:lang w:val="fr-FR"/>
        </w:rPr>
        <w:t>objet des sections A à E</w:t>
      </w:r>
      <w:r w:rsidRPr="00F22925">
        <w:rPr>
          <w:lang w:val="fr-FR"/>
        </w:rPr>
        <w:t>.</w:t>
      </w:r>
      <w:r w:rsidRPr="008C5911">
        <w:rPr>
          <w:lang w:val="fr-FR"/>
        </w:rPr>
        <w:t xml:space="preserve"> Ils reflètent la pratique récente</w:t>
      </w:r>
      <w:r w:rsidRPr="00F22830">
        <w:rPr>
          <w:rStyle w:val="FootnoteReference"/>
        </w:rPr>
        <w:footnoteReference w:id="2"/>
      </w:r>
      <w:r w:rsidRPr="008C5911">
        <w:rPr>
          <w:lang w:val="fr-FR"/>
        </w:rPr>
        <w:t xml:space="preserve"> et, dans la mesure du possible, la diversité régionale, sans toutefois être exhaustifs</w:t>
      </w:r>
      <w:r w:rsidRPr="00F22830">
        <w:rPr>
          <w:rStyle w:val="FootnoteReference"/>
        </w:rPr>
        <w:footnoteReference w:id="3"/>
      </w:r>
      <w:r w:rsidRPr="00F22925">
        <w:rPr>
          <w:lang w:val="fr-FR"/>
        </w:rPr>
        <w:t>.</w:t>
      </w:r>
    </w:p>
    <w:p w14:paraId="71C03D0D" w14:textId="77777777" w:rsidR="00507F03" w:rsidRPr="008C5911" w:rsidRDefault="00507F03" w:rsidP="00507F03">
      <w:pPr>
        <w:pStyle w:val="H1G"/>
        <w:rPr>
          <w:lang w:val="fr-CA"/>
        </w:rPr>
      </w:pPr>
      <w:r w:rsidRPr="008C5911">
        <w:rPr>
          <w:lang w:val="fr-CA"/>
        </w:rPr>
        <w:tab/>
        <w:t>A</w:t>
      </w:r>
      <w:r w:rsidRPr="00F22925">
        <w:rPr>
          <w:lang w:val="fr-CA"/>
        </w:rPr>
        <w:t>.</w:t>
      </w:r>
      <w:r w:rsidRPr="008C5911">
        <w:rPr>
          <w:lang w:val="fr-CA"/>
        </w:rPr>
        <w:tab/>
      </w:r>
      <w:r w:rsidRPr="008C5911">
        <w:rPr>
          <w:lang w:val="fr-FR"/>
        </w:rPr>
        <w:tab/>
        <w:t>Prise d</w:t>
      </w:r>
      <w:r>
        <w:rPr>
          <w:lang w:val="fr-FR"/>
        </w:rPr>
        <w:t>’</w:t>
      </w:r>
      <w:r w:rsidRPr="008C5911">
        <w:rPr>
          <w:lang w:val="fr-FR"/>
        </w:rPr>
        <w:t>effet de l</w:t>
      </w:r>
      <w:r>
        <w:rPr>
          <w:lang w:val="fr-FR"/>
        </w:rPr>
        <w:t>’</w:t>
      </w:r>
      <w:r w:rsidRPr="008C5911">
        <w:rPr>
          <w:lang w:val="fr-FR"/>
        </w:rPr>
        <w:t>application à titre provisoire</w:t>
      </w:r>
    </w:p>
    <w:p w14:paraId="76F303CC" w14:textId="77777777" w:rsidR="00507F03" w:rsidRPr="008C5911" w:rsidRDefault="00507F03" w:rsidP="00507F03">
      <w:pPr>
        <w:pStyle w:val="SingleTxtG"/>
        <w:rPr>
          <w:lang w:val="fr-CA"/>
        </w:rPr>
      </w:pPr>
      <w:r w:rsidRPr="008C5911">
        <w:rPr>
          <w:lang w:val="fr-FR"/>
        </w:rPr>
        <w:tab/>
        <w:t>À titre d</w:t>
      </w:r>
      <w:r>
        <w:rPr>
          <w:lang w:val="fr-FR"/>
        </w:rPr>
        <w:t>’</w:t>
      </w:r>
      <w:r w:rsidRPr="008C5911">
        <w:rPr>
          <w:lang w:val="fr-FR"/>
        </w:rPr>
        <w:t>exemples de dispositions concernant la prise d</w:t>
      </w:r>
      <w:r>
        <w:rPr>
          <w:lang w:val="fr-FR"/>
        </w:rPr>
        <w:t>’</w:t>
      </w:r>
      <w:r w:rsidRPr="008C5911">
        <w:rPr>
          <w:lang w:val="fr-FR"/>
        </w:rPr>
        <w:t>effet de l</w:t>
      </w:r>
      <w:r>
        <w:rPr>
          <w:lang w:val="fr-FR"/>
        </w:rPr>
        <w:t>’</w:t>
      </w:r>
      <w:r w:rsidRPr="008C5911">
        <w:rPr>
          <w:lang w:val="fr-FR"/>
        </w:rPr>
        <w:t>application provisoire, on peut retenir :</w:t>
      </w:r>
    </w:p>
    <w:p w14:paraId="63E58E7C" w14:textId="77777777" w:rsidR="00507F03" w:rsidRPr="008C5911" w:rsidRDefault="00507F03" w:rsidP="00507F03">
      <w:pPr>
        <w:pStyle w:val="H23G"/>
        <w:rPr>
          <w:lang w:val="fr-CA"/>
        </w:rPr>
      </w:pPr>
      <w:r w:rsidRPr="008C5911">
        <w:rPr>
          <w:lang w:val="fr-CA"/>
        </w:rPr>
        <w:tab/>
        <w:t>1)</w:t>
      </w:r>
      <w:r w:rsidRPr="008C5911">
        <w:rPr>
          <w:lang w:val="fr-CA"/>
        </w:rPr>
        <w:tab/>
      </w:r>
      <w:r w:rsidRPr="008C5911">
        <w:rPr>
          <w:lang w:val="fr-FR"/>
        </w:rPr>
        <w:t>À compter de la date de la signature</w:t>
      </w:r>
    </w:p>
    <w:p w14:paraId="7898221B" w14:textId="77777777" w:rsidR="00507F03" w:rsidRPr="008C5911" w:rsidRDefault="00507F03" w:rsidP="00507F03">
      <w:pPr>
        <w:pStyle w:val="H4G"/>
        <w:rPr>
          <w:lang w:val="fr-CA"/>
        </w:rPr>
      </w:pPr>
      <w:r w:rsidRPr="008C5911">
        <w:rPr>
          <w:lang w:val="fr-FR"/>
        </w:rPr>
        <w:tab/>
      </w:r>
      <w:r w:rsidRPr="004A363F">
        <w:rPr>
          <w:lang w:val="fr-FR"/>
        </w:rPr>
        <w:t>a)</w:t>
      </w:r>
      <w:r w:rsidRPr="004A363F">
        <w:rPr>
          <w:lang w:val="fr-FR"/>
        </w:rPr>
        <w:tab/>
        <w:t>Traités bilatéraux</w:t>
      </w:r>
    </w:p>
    <w:p w14:paraId="7F6157B2" w14:textId="77777777" w:rsidR="00507F03" w:rsidRPr="008C5911" w:rsidRDefault="00507F03" w:rsidP="00507F03">
      <w:pPr>
        <w:pStyle w:val="SingleTxtG"/>
        <w:rPr>
          <w:lang w:val="fr-CA"/>
        </w:rPr>
      </w:pPr>
      <w:r w:rsidRPr="008C5911">
        <w:rPr>
          <w:lang w:val="fr-FR"/>
        </w:rPr>
        <w:t>1</w:t>
      </w:r>
      <w:r w:rsidRPr="00F22925">
        <w:rPr>
          <w:lang w:val="fr-FR"/>
        </w:rPr>
        <w:t>.</w:t>
      </w:r>
      <w:r w:rsidRPr="008C5911">
        <w:rPr>
          <w:lang w:val="fr-FR"/>
        </w:rPr>
        <w:tab/>
        <w:t>E</w:t>
      </w:r>
      <w:proofErr w:type="spellStart"/>
      <w:r w:rsidRPr="008C5911">
        <w:rPr>
          <w:lang w:val="fr-CA"/>
        </w:rPr>
        <w:t>ngagement</w:t>
      </w:r>
      <w:proofErr w:type="spellEnd"/>
      <w:r w:rsidRPr="008C5911">
        <w:rPr>
          <w:lang w:val="fr-CA"/>
        </w:rPr>
        <w:t xml:space="preserve"> entre le Royaume des Pays-Bas et la République des Philippines relatif à la reconnaissance des brevets en vertu du règlement 1/10 de la convention de 1978 sur les normes de formation, de délivrance de brevets et de veille </w:t>
      </w:r>
      <w:r w:rsidRPr="008C5911">
        <w:rPr>
          <w:lang w:val="fr-FR"/>
        </w:rPr>
        <w:t>[Convention internationale sur les normes de formation des gens de mer, de délivrance de brevets et de veille, de 1978] (Manille, 31 mai 2001)</w:t>
      </w:r>
      <w:r w:rsidRPr="00F22830">
        <w:rPr>
          <w:rStyle w:val="FootnoteReference"/>
        </w:rPr>
        <w:footnoteReference w:id="4"/>
      </w:r>
      <w:r w:rsidRPr="008C5911">
        <w:rPr>
          <w:lang w:val="fr-FR"/>
        </w:rPr>
        <w:t> :</w:t>
      </w:r>
    </w:p>
    <w:p w14:paraId="546E4B76" w14:textId="77777777" w:rsidR="00507F03" w:rsidRPr="008C5911" w:rsidRDefault="00507F03" w:rsidP="00507F03">
      <w:pPr>
        <w:pStyle w:val="SingleTxtG"/>
        <w:ind w:left="1701"/>
        <w:jc w:val="left"/>
        <w:rPr>
          <w:b/>
          <w:bCs/>
          <w:lang w:val="fr-FR"/>
        </w:rPr>
      </w:pPr>
      <w:r w:rsidRPr="008C5911">
        <w:rPr>
          <w:b/>
          <w:bCs/>
          <w:lang w:val="fr-FR"/>
        </w:rPr>
        <w:t xml:space="preserve">Article 11 </w:t>
      </w:r>
    </w:p>
    <w:p w14:paraId="2651DB31" w14:textId="77777777" w:rsidR="00507F03" w:rsidRPr="008C5911" w:rsidRDefault="00507F03" w:rsidP="00507F03">
      <w:pPr>
        <w:pStyle w:val="SingleTxtG"/>
        <w:ind w:left="1701"/>
        <w:rPr>
          <w:lang w:val="fr-CA"/>
        </w:rPr>
      </w:pPr>
      <w:r w:rsidRPr="008C5911">
        <w:rPr>
          <w:lang w:val="fr-FR"/>
        </w:rPr>
        <w:lastRenderedPageBreak/>
        <w:tab/>
        <w:t>Sans préjudice de l</w:t>
      </w:r>
      <w:r>
        <w:rPr>
          <w:lang w:val="fr-FR"/>
        </w:rPr>
        <w:t>’</w:t>
      </w:r>
      <w:r w:rsidRPr="008C5911">
        <w:rPr>
          <w:lang w:val="fr-FR"/>
        </w:rPr>
        <w:t xml:space="preserve">Article 9, le présent Engagement produira provisoirement ses effets à compter de la date </w:t>
      </w:r>
      <w:r>
        <w:rPr>
          <w:lang w:val="fr-FR"/>
        </w:rPr>
        <w:t xml:space="preserve">de </w:t>
      </w:r>
      <w:r w:rsidRPr="008C5911">
        <w:rPr>
          <w:lang w:val="fr-FR"/>
        </w:rPr>
        <w:t>sa signature et entrera en vigueur le premier jour du second mois suivant la notification mutuelle écrite des deux Parties certifiant l</w:t>
      </w:r>
      <w:r>
        <w:rPr>
          <w:lang w:val="fr-FR"/>
        </w:rPr>
        <w:t>’</w:t>
      </w:r>
      <w:r w:rsidRPr="008C5911">
        <w:rPr>
          <w:lang w:val="fr-FR"/>
        </w:rPr>
        <w:t>achèvement des procédures requises pour l</w:t>
      </w:r>
      <w:r>
        <w:rPr>
          <w:lang w:val="fr-FR"/>
        </w:rPr>
        <w:t>’</w:t>
      </w:r>
      <w:r w:rsidRPr="008C5911">
        <w:rPr>
          <w:lang w:val="fr-FR"/>
        </w:rPr>
        <w:t>entrée en vigueur de l</w:t>
      </w:r>
      <w:r>
        <w:rPr>
          <w:lang w:val="fr-FR"/>
        </w:rPr>
        <w:t>’</w:t>
      </w:r>
      <w:r w:rsidRPr="008C5911">
        <w:rPr>
          <w:lang w:val="fr-FR"/>
        </w:rPr>
        <w:t>Engagement dans leurs pays respectifs</w:t>
      </w:r>
      <w:r w:rsidRPr="00F22925">
        <w:rPr>
          <w:lang w:val="fr-FR"/>
        </w:rPr>
        <w:t>.</w:t>
      </w:r>
    </w:p>
    <w:p w14:paraId="2D529ACD" w14:textId="77777777" w:rsidR="00507F03" w:rsidRPr="008C5911" w:rsidRDefault="00507F03" w:rsidP="00507F03">
      <w:pPr>
        <w:pStyle w:val="SingleTxtG"/>
        <w:rPr>
          <w:lang w:val="fr-CA"/>
        </w:rPr>
      </w:pPr>
      <w:r w:rsidRPr="008C5911">
        <w:rPr>
          <w:lang w:val="fr-FR"/>
        </w:rPr>
        <w:t>2</w:t>
      </w:r>
      <w:r w:rsidRPr="00F22925">
        <w:rPr>
          <w:lang w:val="fr-FR"/>
        </w:rPr>
        <w:t>.</w:t>
      </w:r>
      <w:r w:rsidRPr="008C5911">
        <w:rPr>
          <w:lang w:val="fr-FR"/>
        </w:rPr>
        <w:tab/>
        <w:t>Accord entre le Gouvernement du Royaume de Danemark et le Conseil des ministres de la Serbie-et-Monténégro relatif à la succession aux traités conclus entre le Royaume de Danemark et la République socialiste fédérale de Yougoslavie (Copenhague, 18 juillet 2003)</w:t>
      </w:r>
      <w:r w:rsidRPr="00F22830">
        <w:rPr>
          <w:rStyle w:val="FootnoteReference"/>
        </w:rPr>
        <w:footnoteReference w:id="5"/>
      </w:r>
      <w:r w:rsidRPr="008C5911">
        <w:rPr>
          <w:lang w:val="fr-FR"/>
        </w:rPr>
        <w:t xml:space="preserve"> : </w:t>
      </w:r>
    </w:p>
    <w:p w14:paraId="5509868F" w14:textId="77777777" w:rsidR="00507F03" w:rsidRPr="008C5911" w:rsidRDefault="00507F03" w:rsidP="00507F03">
      <w:pPr>
        <w:pStyle w:val="SingleTxtG"/>
        <w:ind w:left="1701"/>
        <w:jc w:val="left"/>
        <w:rPr>
          <w:b/>
          <w:bCs/>
          <w:lang w:val="fr-CA"/>
        </w:rPr>
      </w:pPr>
      <w:r w:rsidRPr="008C5911">
        <w:rPr>
          <w:b/>
          <w:bCs/>
          <w:lang w:val="fr-FR"/>
        </w:rPr>
        <w:t>Article 3</w:t>
      </w:r>
    </w:p>
    <w:p w14:paraId="697BFEDA"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54ECE868" w14:textId="77777777" w:rsidR="00507F03" w:rsidRPr="008C5911" w:rsidRDefault="00507F03" w:rsidP="00507F03">
      <w:pPr>
        <w:pStyle w:val="SingleTxtG"/>
        <w:ind w:left="1701"/>
        <w:rPr>
          <w:lang w:val="fr-CA"/>
        </w:rPr>
      </w:pPr>
      <w:r w:rsidRPr="008C5911">
        <w:rPr>
          <w:lang w:val="fr-FR"/>
        </w:rPr>
        <w:tab/>
        <w:t>b)</w:t>
      </w:r>
      <w:r w:rsidRPr="008C5911">
        <w:rPr>
          <w:lang w:val="fr-FR"/>
        </w:rPr>
        <w:tab/>
        <w:t>Les dispositions du présent Accord s</w:t>
      </w:r>
      <w:r>
        <w:rPr>
          <w:lang w:val="fr-FR"/>
        </w:rPr>
        <w:t>’</w:t>
      </w:r>
      <w:r w:rsidRPr="008C5911">
        <w:rPr>
          <w:lang w:val="fr-FR"/>
        </w:rPr>
        <w:t>appliquent provisoirement à compter de la date de sa signature</w:t>
      </w:r>
      <w:r w:rsidRPr="00F22925">
        <w:rPr>
          <w:lang w:val="fr-FR"/>
        </w:rPr>
        <w:t>.</w:t>
      </w:r>
      <w:r w:rsidRPr="008C5911">
        <w:rPr>
          <w:lang w:val="fr-FR"/>
        </w:rPr>
        <w:t xml:space="preserve"> </w:t>
      </w:r>
    </w:p>
    <w:p w14:paraId="1F9CB73F" w14:textId="77777777" w:rsidR="00507F03" w:rsidRPr="008C5911" w:rsidRDefault="00507F03" w:rsidP="00507F03">
      <w:pPr>
        <w:pStyle w:val="SingleTxtG"/>
        <w:rPr>
          <w:lang w:val="fr-CA"/>
        </w:rPr>
      </w:pPr>
      <w:r w:rsidRPr="008C5911">
        <w:rPr>
          <w:lang w:val="fr-FR"/>
        </w:rPr>
        <w:t>3</w:t>
      </w:r>
      <w:r w:rsidRPr="00F22925">
        <w:rPr>
          <w:lang w:val="fr-FR"/>
        </w:rPr>
        <w:t>.</w:t>
      </w:r>
      <w:r w:rsidRPr="008C5911">
        <w:rPr>
          <w:lang w:val="fr-FR"/>
        </w:rPr>
        <w:tab/>
      </w:r>
      <w:r w:rsidRPr="008C5911">
        <w:rPr>
          <w:lang w:val="fr-CA"/>
        </w:rPr>
        <w:t>Accord entre l</w:t>
      </w:r>
      <w:r>
        <w:rPr>
          <w:lang w:val="fr-CA"/>
        </w:rPr>
        <w:t>’</w:t>
      </w:r>
      <w:r w:rsidRPr="008C5911">
        <w:rPr>
          <w:lang w:val="fr-CA"/>
        </w:rPr>
        <w:t>Organisation des Nations Unies et la République-Unie de Tanzanie relatif au siège du Mécanisme international appelé à exercer les fonctions résiduelles des Tribunaux pénaux</w:t>
      </w:r>
      <w:r w:rsidRPr="008C5911">
        <w:rPr>
          <w:lang w:val="fr-FR"/>
        </w:rPr>
        <w:t xml:space="preserve"> (Dar es-Salaam, 26 novembre 2013)</w:t>
      </w:r>
      <w:r w:rsidRPr="00F22830">
        <w:rPr>
          <w:rStyle w:val="FootnoteReference"/>
        </w:rPr>
        <w:footnoteReference w:id="6"/>
      </w:r>
      <w:r w:rsidRPr="008C5911">
        <w:rPr>
          <w:lang w:val="fr-FR"/>
        </w:rPr>
        <w:t> :</w:t>
      </w:r>
    </w:p>
    <w:p w14:paraId="5A2EC114" w14:textId="77777777" w:rsidR="00507F03" w:rsidRPr="008C5911" w:rsidRDefault="00507F03" w:rsidP="00507F03">
      <w:pPr>
        <w:pStyle w:val="SingleTxtG"/>
        <w:ind w:left="1701"/>
        <w:jc w:val="left"/>
        <w:rPr>
          <w:b/>
          <w:bCs/>
          <w:lang w:val="fr-CA"/>
        </w:rPr>
      </w:pPr>
      <w:r w:rsidRPr="008C5911">
        <w:rPr>
          <w:b/>
          <w:bCs/>
          <w:lang w:val="fr-FR"/>
        </w:rPr>
        <w:t xml:space="preserve">Article 48 </w:t>
      </w:r>
      <w:r w:rsidRPr="008C5911">
        <w:rPr>
          <w:b/>
          <w:bCs/>
          <w:lang w:val="fr-FR"/>
        </w:rPr>
        <w:br/>
        <w:t>Entrée en vigueur</w:t>
      </w:r>
    </w:p>
    <w:p w14:paraId="4EB20A43" w14:textId="77777777" w:rsidR="00507F03" w:rsidRPr="008C5911" w:rsidRDefault="00507F03" w:rsidP="00507F03">
      <w:pPr>
        <w:pStyle w:val="SingleTxtG"/>
        <w:ind w:left="1701"/>
        <w:rPr>
          <w:lang w:val="fr-CA"/>
        </w:rPr>
      </w:pPr>
      <w:r w:rsidRPr="008C5911">
        <w:rPr>
          <w:lang w:val="fr-FR"/>
        </w:rPr>
        <w:t>1</w:t>
      </w:r>
      <w:r w:rsidRPr="00F22925">
        <w:rPr>
          <w:lang w:val="fr-FR"/>
        </w:rPr>
        <w:t>.</w:t>
      </w:r>
      <w:r w:rsidRPr="008C5911">
        <w:rPr>
          <w:lang w:val="fr-FR"/>
        </w:rPr>
        <w:tab/>
        <w:t>Les dispositions du présent Accord s</w:t>
      </w:r>
      <w:r>
        <w:rPr>
          <w:lang w:val="fr-FR"/>
        </w:rPr>
        <w:t>’</w:t>
      </w:r>
      <w:r w:rsidRPr="008C5911">
        <w:rPr>
          <w:lang w:val="fr-FR"/>
        </w:rPr>
        <w:t>appliquent à titre provisoire à compter de la date de sa signature</w:t>
      </w:r>
      <w:r w:rsidRPr="00F22925">
        <w:rPr>
          <w:lang w:val="fr-FR"/>
        </w:rPr>
        <w:t>.</w:t>
      </w:r>
      <w:r w:rsidRPr="008C5911">
        <w:rPr>
          <w:lang w:val="fr-FR"/>
        </w:rPr>
        <w:t xml:space="preserve"> </w:t>
      </w:r>
    </w:p>
    <w:p w14:paraId="1F4078B2" w14:textId="77777777" w:rsidR="00507F03" w:rsidRPr="008C5911" w:rsidRDefault="00507F03" w:rsidP="00507F03">
      <w:pPr>
        <w:pStyle w:val="H4G"/>
        <w:rPr>
          <w:lang w:val="fr-CA"/>
        </w:rPr>
      </w:pPr>
      <w:r w:rsidRPr="008C5911">
        <w:rPr>
          <w:lang w:val="fr-FR"/>
        </w:rPr>
        <w:tab/>
      </w:r>
      <w:r w:rsidRPr="004A363F">
        <w:rPr>
          <w:lang w:val="fr-FR"/>
        </w:rPr>
        <w:t>b)</w:t>
      </w:r>
      <w:r w:rsidRPr="004A363F">
        <w:rPr>
          <w:lang w:val="fr-FR"/>
        </w:rPr>
        <w:tab/>
        <w:t>Traités multilatéraux</w:t>
      </w:r>
    </w:p>
    <w:p w14:paraId="0762FBAA" w14:textId="77777777" w:rsidR="00507F03" w:rsidRPr="008C5911" w:rsidRDefault="00507F03" w:rsidP="00507F03">
      <w:pPr>
        <w:pStyle w:val="SingleTxtG"/>
        <w:rPr>
          <w:lang w:val="fr-CA"/>
        </w:rPr>
      </w:pPr>
      <w:r w:rsidRPr="008C5911">
        <w:rPr>
          <w:lang w:val="fr-FR"/>
        </w:rPr>
        <w:t>4</w:t>
      </w:r>
      <w:r w:rsidRPr="00F22925">
        <w:rPr>
          <w:lang w:val="fr-FR"/>
        </w:rPr>
        <w:t>.</w:t>
      </w:r>
      <w:r w:rsidRPr="008C5911">
        <w:rPr>
          <w:lang w:val="fr-FR"/>
        </w:rPr>
        <w:tab/>
        <w:t>Accord entre le Gouvernement de la République fédérale d</w:t>
      </w:r>
      <w:r>
        <w:rPr>
          <w:lang w:val="fr-FR"/>
        </w:rPr>
        <w:t>’</w:t>
      </w:r>
      <w:r w:rsidRPr="008C5911">
        <w:rPr>
          <w:lang w:val="fr-FR"/>
        </w:rPr>
        <w:t>Allemagne, l</w:t>
      </w:r>
      <w:r>
        <w:rPr>
          <w:lang w:val="fr-FR"/>
        </w:rPr>
        <w:t>’</w:t>
      </w:r>
      <w:r w:rsidRPr="008C5911">
        <w:rPr>
          <w:lang w:val="fr-FR"/>
        </w:rPr>
        <w:t>Organisation des Nations Unies et le Secrétariat de la Convention sur la conservation des espèces migratrices appartenant à la faune sauvage relatif au siège du Secrétariat de la Convention (Bonn, 18 septembre 2002)</w:t>
      </w:r>
      <w:r w:rsidRPr="00F22830">
        <w:rPr>
          <w:rStyle w:val="FootnoteReference"/>
        </w:rPr>
        <w:footnoteReference w:id="7"/>
      </w:r>
      <w:r w:rsidRPr="008C5911">
        <w:rPr>
          <w:lang w:val="fr-FR"/>
        </w:rPr>
        <w:t> :</w:t>
      </w:r>
    </w:p>
    <w:p w14:paraId="7B5D68AB" w14:textId="77777777" w:rsidR="00507F03" w:rsidRPr="008C5911" w:rsidRDefault="00507F03" w:rsidP="00507F03">
      <w:pPr>
        <w:pStyle w:val="SingleTxtG"/>
        <w:ind w:left="1701"/>
        <w:jc w:val="left"/>
        <w:rPr>
          <w:b/>
          <w:bCs/>
          <w:lang w:val="fr-CA"/>
        </w:rPr>
      </w:pPr>
      <w:r w:rsidRPr="008C5911">
        <w:rPr>
          <w:b/>
          <w:bCs/>
          <w:lang w:val="fr-FR"/>
        </w:rPr>
        <w:t xml:space="preserve">Article 7 </w:t>
      </w:r>
      <w:r w:rsidRPr="008C5911">
        <w:rPr>
          <w:b/>
          <w:bCs/>
          <w:lang w:val="fr-FR"/>
        </w:rPr>
        <w:br/>
        <w:t>Dispositions finales</w:t>
      </w:r>
    </w:p>
    <w:p w14:paraId="49856600" w14:textId="77777777" w:rsidR="00507F03" w:rsidRPr="008C5911" w:rsidRDefault="00507F03" w:rsidP="00507F03">
      <w:pPr>
        <w:pStyle w:val="SingleTxtG"/>
        <w:ind w:left="1701"/>
        <w:jc w:val="left"/>
        <w:rPr>
          <w:lang w:val="fr-FR"/>
        </w:rPr>
      </w:pPr>
      <w:r w:rsidRPr="008C5911">
        <w:rPr>
          <w:lang w:val="fr-FR"/>
        </w:rPr>
        <w:t>[</w:t>
      </w:r>
      <w:r w:rsidRPr="00F22925">
        <w:rPr>
          <w:lang w:val="fr-FR"/>
        </w:rPr>
        <w:t>...</w:t>
      </w:r>
      <w:r w:rsidRPr="008C5911">
        <w:rPr>
          <w:lang w:val="fr-FR"/>
        </w:rPr>
        <w:t xml:space="preserve">] </w:t>
      </w:r>
    </w:p>
    <w:p w14:paraId="1DA6EDD6" w14:textId="77777777" w:rsidR="00507F03" w:rsidRPr="008C5911" w:rsidRDefault="00507F03" w:rsidP="00507F03">
      <w:pPr>
        <w:pStyle w:val="SingleTxtG"/>
        <w:ind w:left="1701"/>
        <w:rPr>
          <w:lang w:val="fr-CA"/>
        </w:rPr>
      </w:pPr>
      <w:r w:rsidRPr="008C5911">
        <w:rPr>
          <w:lang w:val="fr-FR"/>
        </w:rPr>
        <w:t>7)</w:t>
      </w:r>
      <w:r w:rsidRPr="008C5911">
        <w:rPr>
          <w:lang w:val="fr-FR"/>
        </w:rPr>
        <w:tab/>
        <w:t>Les dispositions du présent accord s</w:t>
      </w:r>
      <w:r>
        <w:rPr>
          <w:lang w:val="fr-FR"/>
        </w:rPr>
        <w:t>’</w:t>
      </w:r>
      <w:r w:rsidRPr="008C5911">
        <w:rPr>
          <w:lang w:val="fr-FR"/>
        </w:rPr>
        <w:t>appliquent provisoirement à la date de sa signature jusqu</w:t>
      </w:r>
      <w:r>
        <w:rPr>
          <w:lang w:val="fr-FR"/>
        </w:rPr>
        <w:t>’</w:t>
      </w:r>
      <w:r w:rsidRPr="008C5911">
        <w:rPr>
          <w:lang w:val="fr-FR"/>
        </w:rPr>
        <w:t>à ce qu</w:t>
      </w:r>
      <w:r>
        <w:rPr>
          <w:lang w:val="fr-FR"/>
        </w:rPr>
        <w:t>’</w:t>
      </w:r>
      <w:r w:rsidRPr="008C5911">
        <w:rPr>
          <w:lang w:val="fr-FR"/>
        </w:rPr>
        <w:t>il entre en vigueur selon la procédure mentionnée au paragraphe 9 ci-après</w:t>
      </w:r>
      <w:r w:rsidRPr="00F22925">
        <w:rPr>
          <w:lang w:val="fr-FR"/>
        </w:rPr>
        <w:t>.</w:t>
      </w:r>
    </w:p>
    <w:p w14:paraId="27FEEA6F" w14:textId="77777777" w:rsidR="00507F03" w:rsidRPr="008C5911" w:rsidRDefault="00507F03" w:rsidP="00507F03">
      <w:pPr>
        <w:pStyle w:val="SingleTxtG"/>
        <w:rPr>
          <w:lang w:val="fr-CA"/>
        </w:rPr>
      </w:pPr>
      <w:r w:rsidRPr="008C5911">
        <w:rPr>
          <w:lang w:val="fr-FR"/>
        </w:rPr>
        <w:t>5</w:t>
      </w:r>
      <w:r w:rsidRPr="00F22925">
        <w:rPr>
          <w:lang w:val="fr-FR"/>
        </w:rPr>
        <w:t>.</w:t>
      </w:r>
      <w:r w:rsidRPr="008C5911">
        <w:rPr>
          <w:lang w:val="fr-FR"/>
        </w:rPr>
        <w:tab/>
        <w:t>Accord sur les modifications à l</w:t>
      </w:r>
      <w:r>
        <w:rPr>
          <w:lang w:val="fr-FR"/>
        </w:rPr>
        <w:t>’</w:t>
      </w:r>
      <w:r w:rsidRPr="008C5911">
        <w:rPr>
          <w:lang w:val="fr-FR"/>
        </w:rPr>
        <w:t>Accord-cadre relatif au bassin de la Save et au Protocole à l</w:t>
      </w:r>
      <w:r>
        <w:rPr>
          <w:lang w:val="fr-FR"/>
        </w:rPr>
        <w:t>’</w:t>
      </w:r>
      <w:r w:rsidRPr="008C5911">
        <w:rPr>
          <w:lang w:val="fr-FR"/>
        </w:rPr>
        <w:t>Accord-cadre relatif au bassin de la Save concernant le régime de la navigation (</w:t>
      </w:r>
      <w:proofErr w:type="spellStart"/>
      <w:r w:rsidRPr="008C5911">
        <w:rPr>
          <w:lang w:val="fr-FR"/>
        </w:rPr>
        <w:t>Lubljana</w:t>
      </w:r>
      <w:proofErr w:type="spellEnd"/>
      <w:r w:rsidRPr="008C5911">
        <w:rPr>
          <w:lang w:val="fr-FR"/>
        </w:rPr>
        <w:t>, 2 avril 2004)</w:t>
      </w:r>
      <w:r w:rsidRPr="00F22830">
        <w:rPr>
          <w:rStyle w:val="FootnoteReference"/>
        </w:rPr>
        <w:footnoteReference w:id="8"/>
      </w:r>
      <w:r w:rsidRPr="008C5911">
        <w:rPr>
          <w:lang w:val="fr-FR"/>
        </w:rPr>
        <w:t> :</w:t>
      </w:r>
    </w:p>
    <w:p w14:paraId="797466EF" w14:textId="77777777" w:rsidR="00507F03" w:rsidRPr="008C5911" w:rsidRDefault="00507F03" w:rsidP="00507F03">
      <w:pPr>
        <w:pStyle w:val="SingleTxtG"/>
        <w:keepNext/>
        <w:ind w:left="1701"/>
        <w:jc w:val="left"/>
        <w:rPr>
          <w:b/>
          <w:bCs/>
          <w:lang w:val="fr-CA"/>
        </w:rPr>
      </w:pPr>
      <w:r w:rsidRPr="008C5911">
        <w:rPr>
          <w:b/>
          <w:bCs/>
          <w:lang w:val="fr-FR"/>
        </w:rPr>
        <w:t>Article 3</w:t>
      </w:r>
    </w:p>
    <w:p w14:paraId="019DCB06" w14:textId="77777777" w:rsidR="00507F03" w:rsidRPr="008C5911" w:rsidRDefault="00507F03" w:rsidP="00507F03">
      <w:pPr>
        <w:pStyle w:val="SingleTxtG"/>
        <w:ind w:left="1701"/>
        <w:jc w:val="left"/>
        <w:rPr>
          <w:lang w:val="fr-FR"/>
        </w:rPr>
      </w:pPr>
      <w:r w:rsidRPr="008C5911">
        <w:rPr>
          <w:lang w:val="fr-FR"/>
        </w:rPr>
        <w:t>[</w:t>
      </w:r>
      <w:r w:rsidRPr="00F22925">
        <w:rPr>
          <w:lang w:val="fr-FR"/>
        </w:rPr>
        <w:t>...</w:t>
      </w:r>
      <w:r w:rsidRPr="008C5911">
        <w:rPr>
          <w:lang w:val="fr-FR"/>
        </w:rPr>
        <w:t xml:space="preserve">] </w:t>
      </w:r>
    </w:p>
    <w:p w14:paraId="1D8263BF" w14:textId="77777777" w:rsidR="00507F03" w:rsidRPr="008C5911" w:rsidRDefault="00507F03" w:rsidP="00507F03">
      <w:pPr>
        <w:pStyle w:val="SingleTxtG"/>
        <w:ind w:left="1701"/>
        <w:rPr>
          <w:lang w:val="fr-CA"/>
        </w:rPr>
      </w:pPr>
      <w:r w:rsidRPr="008C5911">
        <w:rPr>
          <w:lang w:val="fr-FR"/>
        </w:rPr>
        <w:t>5)</w:t>
      </w:r>
      <w:r w:rsidRPr="008C5911">
        <w:rPr>
          <w:lang w:val="fr-FR"/>
        </w:rPr>
        <w:tab/>
        <w:t>Le présent Accord s</w:t>
      </w:r>
      <w:r>
        <w:rPr>
          <w:lang w:val="fr-FR"/>
        </w:rPr>
        <w:t>’</w:t>
      </w:r>
      <w:r w:rsidRPr="008C5911">
        <w:rPr>
          <w:lang w:val="fr-FR"/>
        </w:rPr>
        <w:t>applique provisoirement dès la date de sa signature</w:t>
      </w:r>
      <w:r w:rsidRPr="00F22925">
        <w:rPr>
          <w:lang w:val="fr-FR"/>
        </w:rPr>
        <w:t>.</w:t>
      </w:r>
    </w:p>
    <w:p w14:paraId="2E396391" w14:textId="77777777" w:rsidR="00507F03" w:rsidRPr="008C5911" w:rsidRDefault="00507F03" w:rsidP="00507F03">
      <w:pPr>
        <w:pStyle w:val="SingleTxtG"/>
        <w:rPr>
          <w:lang w:val="fr-CA"/>
        </w:rPr>
      </w:pPr>
      <w:r w:rsidRPr="008C5911">
        <w:rPr>
          <w:lang w:val="fr-FR"/>
        </w:rPr>
        <w:lastRenderedPageBreak/>
        <w:t>6</w:t>
      </w:r>
      <w:r w:rsidRPr="00F22925">
        <w:rPr>
          <w:lang w:val="fr-FR"/>
        </w:rPr>
        <w:t>.</w:t>
      </w:r>
      <w:r w:rsidRPr="008C5911">
        <w:rPr>
          <w:lang w:val="fr-FR"/>
        </w:rPr>
        <w:tab/>
        <w:t>Accord sur les Forces collectives de réaction rapide de l</w:t>
      </w:r>
      <w:r>
        <w:rPr>
          <w:lang w:val="fr-FR"/>
        </w:rPr>
        <w:t>’</w:t>
      </w:r>
      <w:r w:rsidRPr="008C5911">
        <w:rPr>
          <w:lang w:val="fr-FR"/>
        </w:rPr>
        <w:t>Organisation du Traité de sécurité collective (Moscou, 14 juin 2009)</w:t>
      </w:r>
      <w:r w:rsidRPr="00F22830">
        <w:rPr>
          <w:rStyle w:val="FootnoteReference"/>
        </w:rPr>
        <w:footnoteReference w:id="9"/>
      </w:r>
      <w:r w:rsidRPr="008C5911">
        <w:rPr>
          <w:lang w:val="fr-FR"/>
        </w:rPr>
        <w:t> :</w:t>
      </w:r>
    </w:p>
    <w:p w14:paraId="6AAD7419" w14:textId="77777777" w:rsidR="00507F03" w:rsidRPr="008C5911" w:rsidRDefault="00507F03" w:rsidP="00507F03">
      <w:pPr>
        <w:pStyle w:val="SingleTxtG"/>
        <w:ind w:left="1701"/>
        <w:jc w:val="left"/>
        <w:rPr>
          <w:b/>
          <w:bCs/>
          <w:lang w:val="fr-CA"/>
        </w:rPr>
      </w:pPr>
      <w:r w:rsidRPr="008C5911">
        <w:rPr>
          <w:b/>
          <w:bCs/>
          <w:lang w:val="fr-FR"/>
        </w:rPr>
        <w:t>Article 17</w:t>
      </w:r>
    </w:p>
    <w:p w14:paraId="1B4BD10B" w14:textId="77777777" w:rsidR="00507F03" w:rsidRPr="008C5911" w:rsidRDefault="00507F03" w:rsidP="00507F03">
      <w:pPr>
        <w:pStyle w:val="SingleTxtG"/>
        <w:ind w:left="1701"/>
        <w:rPr>
          <w:lang w:val="fr-CA"/>
        </w:rPr>
      </w:pPr>
      <w:r w:rsidRPr="008C5911">
        <w:rPr>
          <w:lang w:val="fr-FR"/>
        </w:rPr>
        <w:tab/>
        <w:t>Le présent Accord sera appliqué provisoirement à partir de la date de sa signature, à la condition qu</w:t>
      </w:r>
      <w:r>
        <w:rPr>
          <w:lang w:val="fr-FR"/>
        </w:rPr>
        <w:t>’</w:t>
      </w:r>
      <w:r w:rsidRPr="008C5911">
        <w:rPr>
          <w:lang w:val="fr-FR"/>
        </w:rPr>
        <w:t>il ne soit pas contraire à la législation nationale des Parties, et entrera en vigueur dès réception par le dépositaire de la quatrième notification écrite faisant état de l</w:t>
      </w:r>
      <w:r>
        <w:rPr>
          <w:lang w:val="fr-FR"/>
        </w:rPr>
        <w:t>’</w:t>
      </w:r>
      <w:r w:rsidRPr="008C5911">
        <w:rPr>
          <w:lang w:val="fr-FR"/>
        </w:rPr>
        <w:t>accomplissement par les Parties signataires des procédures internes requises à cet effet</w:t>
      </w:r>
      <w:r w:rsidRPr="00F22925">
        <w:rPr>
          <w:lang w:val="fr-FR"/>
        </w:rPr>
        <w:t>.</w:t>
      </w:r>
      <w:r w:rsidRPr="008C5911">
        <w:rPr>
          <w:lang w:val="fr-FR"/>
        </w:rPr>
        <w:t xml:space="preserve"> [</w:t>
      </w:r>
      <w:r w:rsidRPr="00F22925">
        <w:rPr>
          <w:lang w:val="fr-FR"/>
        </w:rPr>
        <w:t>...</w:t>
      </w:r>
      <w:r w:rsidRPr="008C5911">
        <w:rPr>
          <w:lang w:val="fr-FR"/>
        </w:rPr>
        <w:t>]</w:t>
      </w:r>
    </w:p>
    <w:p w14:paraId="469F48A5" w14:textId="77777777" w:rsidR="00507F03" w:rsidRPr="008C5911" w:rsidRDefault="00507F03" w:rsidP="00507F03">
      <w:pPr>
        <w:pStyle w:val="H23G"/>
        <w:rPr>
          <w:lang w:val="fr-CA"/>
        </w:rPr>
      </w:pPr>
      <w:r w:rsidRPr="008C5911">
        <w:rPr>
          <w:lang w:val="fr-FR"/>
        </w:rPr>
        <w:tab/>
        <w:t>2)</w:t>
      </w:r>
      <w:r w:rsidRPr="008C5911">
        <w:rPr>
          <w:lang w:val="fr-FR"/>
        </w:rPr>
        <w:tab/>
        <w:t>À compter d</w:t>
      </w:r>
      <w:r>
        <w:rPr>
          <w:lang w:val="fr-FR"/>
        </w:rPr>
        <w:t>’</w:t>
      </w:r>
      <w:r w:rsidRPr="008C5911">
        <w:rPr>
          <w:lang w:val="fr-FR"/>
        </w:rPr>
        <w:t>une date autre que celle de la signature</w:t>
      </w:r>
    </w:p>
    <w:p w14:paraId="67B2BDE0" w14:textId="77777777" w:rsidR="00507F03" w:rsidRPr="008C5911" w:rsidRDefault="00507F03" w:rsidP="00507F03">
      <w:pPr>
        <w:pStyle w:val="H4G"/>
        <w:rPr>
          <w:lang w:val="fr-CA"/>
        </w:rPr>
      </w:pPr>
      <w:r w:rsidRPr="008C5911">
        <w:rPr>
          <w:lang w:val="fr-FR"/>
        </w:rPr>
        <w:tab/>
      </w:r>
      <w:r w:rsidRPr="00E44216">
        <w:rPr>
          <w:lang w:val="fr-FR"/>
        </w:rPr>
        <w:t>a)</w:t>
      </w:r>
      <w:r w:rsidRPr="00E44216">
        <w:rPr>
          <w:lang w:val="fr-FR"/>
        </w:rPr>
        <w:tab/>
        <w:t>Traités bilatéraux</w:t>
      </w:r>
      <w:r w:rsidRPr="008C5911">
        <w:rPr>
          <w:lang w:val="fr-FR"/>
        </w:rPr>
        <w:t xml:space="preserve"> </w:t>
      </w:r>
    </w:p>
    <w:p w14:paraId="4F2B35B5" w14:textId="77777777" w:rsidR="00507F03" w:rsidRPr="008C5911" w:rsidRDefault="00507F03" w:rsidP="00507F03">
      <w:pPr>
        <w:pStyle w:val="SingleTxtG"/>
        <w:rPr>
          <w:lang w:val="fr-CA"/>
        </w:rPr>
      </w:pPr>
      <w:r w:rsidRPr="008C5911">
        <w:rPr>
          <w:lang w:val="fr-FR"/>
        </w:rPr>
        <w:t>7</w:t>
      </w:r>
      <w:r w:rsidRPr="00F22925">
        <w:rPr>
          <w:lang w:val="fr-FR"/>
        </w:rPr>
        <w:t>.</w:t>
      </w:r>
      <w:r w:rsidRPr="008C5911">
        <w:rPr>
          <w:lang w:val="fr-FR"/>
        </w:rPr>
        <w:tab/>
        <w:t>Échange de notes constituant un accord relatif à la suppression de visas pour les titulaires de passeports diplomatiques (Sofia, 16 décembre 1996)</w:t>
      </w:r>
      <w:r w:rsidRPr="00F22830">
        <w:rPr>
          <w:rStyle w:val="FootnoteReference"/>
        </w:rPr>
        <w:footnoteReference w:id="10"/>
      </w:r>
      <w:r w:rsidRPr="008C5911">
        <w:rPr>
          <w:lang w:val="fr-FR"/>
        </w:rPr>
        <w:t> :</w:t>
      </w:r>
    </w:p>
    <w:p w14:paraId="47B839D8" w14:textId="77777777" w:rsidR="00507F03" w:rsidRPr="008C5911" w:rsidRDefault="00507F03" w:rsidP="00507F03">
      <w:pPr>
        <w:pStyle w:val="SingleTxtG"/>
        <w:ind w:left="1701"/>
        <w:jc w:val="left"/>
        <w:rPr>
          <w:b/>
          <w:bCs/>
          <w:lang w:val="fr-CA"/>
        </w:rPr>
      </w:pPr>
      <w:r w:rsidRPr="008C5911">
        <w:rPr>
          <w:b/>
          <w:bCs/>
          <w:lang w:val="fr-FR"/>
        </w:rPr>
        <w:t>Note de la Bulgarie</w:t>
      </w:r>
    </w:p>
    <w:p w14:paraId="018FEC30"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0964A351" w14:textId="77777777" w:rsidR="00507F03" w:rsidRPr="008C5911" w:rsidRDefault="00507F03" w:rsidP="00507F03">
      <w:pPr>
        <w:pStyle w:val="SingleTxtG"/>
        <w:ind w:left="1701"/>
        <w:rPr>
          <w:lang w:val="fr-CA"/>
        </w:rPr>
      </w:pPr>
      <w:r w:rsidRPr="008C5911">
        <w:rPr>
          <w:lang w:val="fr-FR"/>
        </w:rPr>
        <w:t>6</w:t>
      </w:r>
      <w:r w:rsidRPr="00F22925">
        <w:rPr>
          <w:lang w:val="fr-FR"/>
        </w:rPr>
        <w:t>.</w:t>
      </w:r>
      <w:r w:rsidRPr="008C5911">
        <w:rPr>
          <w:lang w:val="fr-FR"/>
        </w:rPr>
        <w:tab/>
        <w:t>Le présent Accord entrera en vigueur trente jours après la date de la dernière notification par la voie diplomatique de la réalisation des conditions légales internes requises respectives</w:t>
      </w:r>
      <w:r w:rsidRPr="00F22925">
        <w:rPr>
          <w:lang w:val="fr-FR"/>
        </w:rPr>
        <w:t>.</w:t>
      </w:r>
      <w:r w:rsidRPr="008C5911">
        <w:rPr>
          <w:lang w:val="fr-FR"/>
        </w:rPr>
        <w:t xml:space="preserve"> II sera appliqué provisoirement dix jours après la date de l</w:t>
      </w:r>
      <w:r>
        <w:rPr>
          <w:lang w:val="fr-FR"/>
        </w:rPr>
        <w:t>’</w:t>
      </w:r>
      <w:r w:rsidRPr="008C5911">
        <w:rPr>
          <w:lang w:val="fr-FR"/>
        </w:rPr>
        <w:t>échange de ces notes</w:t>
      </w:r>
      <w:r w:rsidRPr="00F22925">
        <w:rPr>
          <w:lang w:val="fr-FR"/>
        </w:rPr>
        <w:t>.</w:t>
      </w:r>
    </w:p>
    <w:p w14:paraId="74D9FE8A"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6A06EE9A" w14:textId="77777777" w:rsidR="00507F03" w:rsidRPr="008C5911" w:rsidRDefault="00507F03" w:rsidP="00507F03">
      <w:pPr>
        <w:pStyle w:val="SingleTxtG"/>
        <w:keepNext/>
        <w:ind w:left="1701"/>
        <w:jc w:val="left"/>
        <w:rPr>
          <w:b/>
          <w:bCs/>
          <w:lang w:val="fr-CA"/>
        </w:rPr>
      </w:pPr>
      <w:r w:rsidRPr="008C5911">
        <w:rPr>
          <w:b/>
          <w:bCs/>
          <w:lang w:val="fr-FR"/>
        </w:rPr>
        <w:t>Note de l</w:t>
      </w:r>
      <w:r>
        <w:rPr>
          <w:b/>
          <w:bCs/>
          <w:lang w:val="fr-FR"/>
        </w:rPr>
        <w:t>’</w:t>
      </w:r>
      <w:r w:rsidRPr="008C5911">
        <w:rPr>
          <w:b/>
          <w:bCs/>
          <w:lang w:val="fr-FR"/>
        </w:rPr>
        <w:t>Espagne</w:t>
      </w:r>
    </w:p>
    <w:p w14:paraId="26FC72EC"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3DD18D91" w14:textId="77777777" w:rsidR="00507F03" w:rsidRPr="008C5911" w:rsidRDefault="00507F03" w:rsidP="00507F03">
      <w:pPr>
        <w:pStyle w:val="SingleTxtG"/>
        <w:ind w:left="1701"/>
        <w:rPr>
          <w:lang w:val="fr-CA"/>
        </w:rPr>
      </w:pPr>
      <w:r w:rsidRPr="008C5911">
        <w:rPr>
          <w:lang w:val="fr-FR"/>
        </w:rPr>
        <w:tab/>
        <w:t>L</w:t>
      </w:r>
      <w:r>
        <w:rPr>
          <w:lang w:val="fr-FR"/>
        </w:rPr>
        <w:t>’</w:t>
      </w:r>
      <w:r w:rsidRPr="008C5911">
        <w:rPr>
          <w:lang w:val="fr-FR"/>
        </w:rPr>
        <w:t>Ambassade du Royaume d</w:t>
      </w:r>
      <w:r>
        <w:rPr>
          <w:lang w:val="fr-FR"/>
        </w:rPr>
        <w:t>’</w:t>
      </w:r>
      <w:r w:rsidRPr="008C5911">
        <w:rPr>
          <w:lang w:val="fr-FR"/>
        </w:rPr>
        <w:t>Espagne à Sofia a l</w:t>
      </w:r>
      <w:r>
        <w:rPr>
          <w:lang w:val="fr-FR"/>
        </w:rPr>
        <w:t>’</w:t>
      </w:r>
      <w:r w:rsidRPr="008C5911">
        <w:rPr>
          <w:lang w:val="fr-FR"/>
        </w:rPr>
        <w:t>honneur d</w:t>
      </w:r>
      <w:r>
        <w:rPr>
          <w:lang w:val="fr-FR"/>
        </w:rPr>
        <w:t>’</w:t>
      </w:r>
      <w:r w:rsidRPr="008C5911">
        <w:rPr>
          <w:lang w:val="fr-FR"/>
        </w:rPr>
        <w:t xml:space="preserve">informer le </w:t>
      </w:r>
      <w:proofErr w:type="gramStart"/>
      <w:r w:rsidRPr="008C5911">
        <w:rPr>
          <w:lang w:val="fr-FR"/>
        </w:rPr>
        <w:t>Ministère</w:t>
      </w:r>
      <w:proofErr w:type="gramEnd"/>
      <w:r w:rsidRPr="008C5911">
        <w:rPr>
          <w:lang w:val="fr-FR"/>
        </w:rPr>
        <w:t xml:space="preserve"> des Affaires étrangères de la République de Bulgarie que le Gouvernement du Royaume d</w:t>
      </w:r>
      <w:r>
        <w:rPr>
          <w:lang w:val="fr-FR"/>
        </w:rPr>
        <w:t>’</w:t>
      </w:r>
      <w:r w:rsidRPr="008C5911">
        <w:rPr>
          <w:lang w:val="fr-FR"/>
        </w:rPr>
        <w:t>Espagne accepte la proposition du Gouvernement de la République de Bulgarie et qu</w:t>
      </w:r>
      <w:r>
        <w:rPr>
          <w:lang w:val="fr-FR"/>
        </w:rPr>
        <w:t>’</w:t>
      </w:r>
      <w:r w:rsidRPr="008C5911">
        <w:rPr>
          <w:lang w:val="fr-FR"/>
        </w:rPr>
        <w:t xml:space="preserve">il </w:t>
      </w:r>
      <w:r w:rsidRPr="001262CD">
        <w:rPr>
          <w:lang w:val="fr-FR"/>
        </w:rPr>
        <w:t>donne sa conformité</w:t>
      </w:r>
      <w:r w:rsidRPr="008C5911">
        <w:rPr>
          <w:lang w:val="fr-FR"/>
        </w:rPr>
        <w:t xml:space="preserve"> au fait que la note en question et la présente note de réponse constituent un Accord entre les deux gouvernements, qui entrera en vigueur et sera appliqué provisoirement conformément à ce qui est stipulé au point 6</w:t>
      </w:r>
      <w:r w:rsidRPr="00F22925">
        <w:rPr>
          <w:lang w:val="fr-FR"/>
        </w:rPr>
        <w:t>.</w:t>
      </w:r>
    </w:p>
    <w:p w14:paraId="2B30D89B"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0BF27F7D" w14:textId="77777777" w:rsidR="00507F03" w:rsidRPr="008C5911" w:rsidRDefault="00507F03" w:rsidP="00507F03">
      <w:pPr>
        <w:pStyle w:val="SingleTxtG"/>
        <w:rPr>
          <w:lang w:val="fr-CA"/>
        </w:rPr>
      </w:pPr>
      <w:r w:rsidRPr="008C5911">
        <w:rPr>
          <w:lang w:val="fr-FR"/>
        </w:rPr>
        <w:t>8</w:t>
      </w:r>
      <w:r w:rsidRPr="00F22925">
        <w:rPr>
          <w:lang w:val="fr-FR"/>
        </w:rPr>
        <w:t>.</w:t>
      </w:r>
      <w:r w:rsidRPr="008C5911">
        <w:rPr>
          <w:lang w:val="fr-FR"/>
        </w:rPr>
        <w:tab/>
        <w:t>Traité entre la République fédérale d</w:t>
      </w:r>
      <w:r>
        <w:rPr>
          <w:lang w:val="fr-FR"/>
        </w:rPr>
        <w:t>’</w:t>
      </w:r>
      <w:r w:rsidRPr="008C5911">
        <w:rPr>
          <w:lang w:val="fr-FR"/>
        </w:rPr>
        <w:t>Allemagne et le Royaume des Pays-Bas relatif à la mise en œuvre de contrôles de la circulation aérienne par la République fédérale d</w:t>
      </w:r>
      <w:r>
        <w:rPr>
          <w:lang w:val="fr-FR"/>
        </w:rPr>
        <w:t>’</w:t>
      </w:r>
      <w:r w:rsidRPr="008C5911">
        <w:rPr>
          <w:lang w:val="fr-FR"/>
        </w:rPr>
        <w:t>Allemagne au-dessus du territoire néerlandais et relatif à l</w:t>
      </w:r>
      <w:r>
        <w:rPr>
          <w:lang w:val="fr-FR"/>
        </w:rPr>
        <w:t>’</w:t>
      </w:r>
      <w:r w:rsidRPr="008C5911">
        <w:rPr>
          <w:lang w:val="fr-FR"/>
        </w:rPr>
        <w:t>impact des opérations civiles de l</w:t>
      </w:r>
      <w:r>
        <w:rPr>
          <w:lang w:val="fr-FR"/>
        </w:rPr>
        <w:t>’</w:t>
      </w:r>
      <w:r w:rsidRPr="008C5911">
        <w:rPr>
          <w:lang w:val="fr-FR"/>
        </w:rPr>
        <w:t xml:space="preserve">aéroport </w:t>
      </w:r>
      <w:proofErr w:type="spellStart"/>
      <w:r w:rsidRPr="008C5911">
        <w:rPr>
          <w:lang w:val="fr-FR"/>
        </w:rPr>
        <w:t>Niederrhein</w:t>
      </w:r>
      <w:proofErr w:type="spellEnd"/>
      <w:r w:rsidRPr="008C5911">
        <w:rPr>
          <w:lang w:val="fr-FR"/>
        </w:rPr>
        <w:t xml:space="preserve"> sur le territoire du Royaume des Pays-Bas (Berlin, 29 avril 2003)</w:t>
      </w:r>
      <w:r w:rsidRPr="00F22830">
        <w:rPr>
          <w:rStyle w:val="FootnoteReference"/>
        </w:rPr>
        <w:footnoteReference w:id="11"/>
      </w:r>
      <w:r w:rsidRPr="008C5911">
        <w:rPr>
          <w:lang w:val="fr-FR"/>
        </w:rPr>
        <w:t> :</w:t>
      </w:r>
    </w:p>
    <w:p w14:paraId="71119554" w14:textId="77777777" w:rsidR="00507F03" w:rsidRPr="008C5911" w:rsidRDefault="00507F03" w:rsidP="00507F03">
      <w:pPr>
        <w:pStyle w:val="SingleTxtG"/>
        <w:ind w:left="1701"/>
        <w:jc w:val="left"/>
        <w:rPr>
          <w:b/>
          <w:bCs/>
          <w:lang w:val="fr-CA"/>
        </w:rPr>
      </w:pPr>
      <w:r w:rsidRPr="008C5911">
        <w:rPr>
          <w:b/>
          <w:bCs/>
          <w:lang w:val="fr-FR"/>
        </w:rPr>
        <w:t>Article 16</w:t>
      </w:r>
      <w:r w:rsidRPr="008C5911">
        <w:rPr>
          <w:b/>
          <w:bCs/>
          <w:lang w:val="fr-CA"/>
        </w:rPr>
        <w:t xml:space="preserve"> </w:t>
      </w:r>
      <w:r w:rsidRPr="008C5911">
        <w:rPr>
          <w:b/>
          <w:bCs/>
          <w:lang w:val="fr-CA"/>
        </w:rPr>
        <w:br/>
      </w:r>
      <w:r w:rsidRPr="008C5911">
        <w:rPr>
          <w:b/>
          <w:bCs/>
          <w:lang w:val="fr-FR"/>
        </w:rPr>
        <w:t>Ratification, entrée en vigueur, application provisoire</w:t>
      </w:r>
    </w:p>
    <w:p w14:paraId="4A9ABD30"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2D58B614" w14:textId="77777777" w:rsidR="00507F03" w:rsidRPr="008C5911" w:rsidRDefault="00507F03" w:rsidP="00507F03">
      <w:pPr>
        <w:pStyle w:val="SingleTxtG"/>
        <w:ind w:left="1701"/>
        <w:rPr>
          <w:lang w:val="fr-FR"/>
        </w:rPr>
      </w:pPr>
      <w:r w:rsidRPr="008C5911">
        <w:rPr>
          <w:lang w:val="fr-FR"/>
        </w:rPr>
        <w:t>3</w:t>
      </w:r>
      <w:r w:rsidRPr="00F22925">
        <w:rPr>
          <w:lang w:val="fr-FR"/>
        </w:rPr>
        <w:t>.</w:t>
      </w:r>
      <w:r w:rsidRPr="008C5911">
        <w:rPr>
          <w:lang w:val="fr-FR"/>
        </w:rPr>
        <w:tab/>
        <w:t>Le présent Traité sera appliqué à titre provisoire avec effet au 1</w:t>
      </w:r>
      <w:r w:rsidRPr="008C5911">
        <w:rPr>
          <w:vertAlign w:val="superscript"/>
          <w:lang w:val="fr-FR"/>
        </w:rPr>
        <w:t>er</w:t>
      </w:r>
      <w:r w:rsidRPr="008C5911">
        <w:rPr>
          <w:lang w:val="fr-FR"/>
        </w:rPr>
        <w:t xml:space="preserve"> mai 2003</w:t>
      </w:r>
      <w:r w:rsidRPr="00F22925">
        <w:rPr>
          <w:lang w:val="fr-FR"/>
        </w:rPr>
        <w:t>.</w:t>
      </w:r>
    </w:p>
    <w:p w14:paraId="3F4DD65D"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282570FF" w14:textId="77777777" w:rsidR="00507F03" w:rsidRPr="008C5911" w:rsidRDefault="00507F03" w:rsidP="00507F03">
      <w:pPr>
        <w:pStyle w:val="SingleTxtG"/>
        <w:keepNext/>
        <w:keepLines/>
        <w:rPr>
          <w:lang w:val="fr-CA"/>
        </w:rPr>
      </w:pPr>
      <w:r w:rsidRPr="008C5911">
        <w:rPr>
          <w:lang w:val="fr-FR"/>
        </w:rPr>
        <w:lastRenderedPageBreak/>
        <w:t>9</w:t>
      </w:r>
      <w:r w:rsidRPr="00F22925">
        <w:rPr>
          <w:lang w:val="fr-FR"/>
        </w:rPr>
        <w:t>.</w:t>
      </w:r>
      <w:r w:rsidRPr="008C5911">
        <w:rPr>
          <w:lang w:val="fr-FR"/>
        </w:rPr>
        <w:tab/>
        <w:t>Protocole à l</w:t>
      </w:r>
      <w:r>
        <w:rPr>
          <w:lang w:val="fr-FR"/>
        </w:rPr>
        <w:t>’</w:t>
      </w:r>
      <w:r w:rsidRPr="008C5911">
        <w:rPr>
          <w:lang w:val="fr-FR"/>
        </w:rPr>
        <w:t>accord de partenariat et de coopération établissant un partenariat entre les Communautés européennes et leurs États membres, d</w:t>
      </w:r>
      <w:r>
        <w:rPr>
          <w:lang w:val="fr-FR"/>
        </w:rPr>
        <w:t>’</w:t>
      </w:r>
      <w:r w:rsidRPr="008C5911">
        <w:rPr>
          <w:lang w:val="fr-FR"/>
        </w:rPr>
        <w:t>une part, et la République du Kazakhstan, d</w:t>
      </w:r>
      <w:r>
        <w:rPr>
          <w:lang w:val="fr-FR"/>
        </w:rPr>
        <w:t>’</w:t>
      </w:r>
      <w:r w:rsidRPr="008C5911">
        <w:rPr>
          <w:lang w:val="fr-FR"/>
        </w:rPr>
        <w:t>autre part, pour tenir compte de l</w:t>
      </w:r>
      <w:r>
        <w:rPr>
          <w:lang w:val="fr-FR"/>
        </w:rPr>
        <w:t>’</w:t>
      </w:r>
      <w:r w:rsidRPr="008C5911">
        <w:rPr>
          <w:lang w:val="fr-FR"/>
        </w:rPr>
        <w:t>adhésion de la République tchèque, de la République d</w:t>
      </w:r>
      <w:r>
        <w:rPr>
          <w:lang w:val="fr-FR"/>
        </w:rPr>
        <w:t>’</w:t>
      </w:r>
      <w:r w:rsidRPr="008C5911">
        <w:rPr>
          <w:lang w:val="fr-FR"/>
        </w:rPr>
        <w:t>Estonie, de la République de Chypre, de la République de Lettonie, de la République de Lituanie, de la République de Hongrie, de la République de Malte, de la République de Pologne, de la République de Slovénie et de la République slovaque à l</w:t>
      </w:r>
      <w:r>
        <w:rPr>
          <w:lang w:val="fr-FR"/>
        </w:rPr>
        <w:t>’</w:t>
      </w:r>
      <w:r w:rsidRPr="008C5911">
        <w:rPr>
          <w:lang w:val="fr-FR"/>
        </w:rPr>
        <w:t>Union européenne (Bruxelles, 30 avril 2004)</w:t>
      </w:r>
      <w:r w:rsidRPr="00F22830">
        <w:rPr>
          <w:rStyle w:val="FootnoteReference"/>
        </w:rPr>
        <w:footnoteReference w:id="12"/>
      </w:r>
      <w:r w:rsidRPr="008C5911">
        <w:rPr>
          <w:lang w:val="fr-FR"/>
        </w:rPr>
        <w:t> :</w:t>
      </w:r>
    </w:p>
    <w:p w14:paraId="3F6CBDDB" w14:textId="77777777" w:rsidR="00507F03" w:rsidRPr="008C5911" w:rsidRDefault="00507F03" w:rsidP="00507F03">
      <w:pPr>
        <w:pStyle w:val="SingleTxtG"/>
        <w:ind w:left="1701"/>
        <w:jc w:val="left"/>
        <w:rPr>
          <w:b/>
          <w:bCs/>
          <w:lang w:val="fr-CA"/>
        </w:rPr>
      </w:pPr>
      <w:r w:rsidRPr="008C5911">
        <w:rPr>
          <w:b/>
          <w:bCs/>
          <w:lang w:val="fr-FR"/>
        </w:rPr>
        <w:t>Article 5</w:t>
      </w:r>
    </w:p>
    <w:p w14:paraId="49BC3E85"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55B7447D" w14:textId="77777777" w:rsidR="00507F03" w:rsidRPr="008C5911" w:rsidRDefault="00507F03" w:rsidP="00507F03">
      <w:pPr>
        <w:pStyle w:val="SingleTxtG"/>
        <w:ind w:left="1701"/>
        <w:rPr>
          <w:lang w:val="fr-CA"/>
        </w:rPr>
      </w:pPr>
      <w:r w:rsidRPr="008C5911">
        <w:rPr>
          <w:lang w:val="fr-FR"/>
        </w:rPr>
        <w:t>3</w:t>
      </w:r>
      <w:r w:rsidRPr="00F22925">
        <w:rPr>
          <w:lang w:val="fr-FR"/>
        </w:rPr>
        <w:t>.</w:t>
      </w:r>
      <w:r w:rsidRPr="008C5911">
        <w:rPr>
          <w:lang w:val="fr-FR"/>
        </w:rPr>
        <w:tab/>
        <w:t>Si tous les instruments d</w:t>
      </w:r>
      <w:r>
        <w:rPr>
          <w:lang w:val="fr-FR"/>
        </w:rPr>
        <w:t>’</w:t>
      </w:r>
      <w:r w:rsidRPr="008C5911">
        <w:rPr>
          <w:lang w:val="fr-FR"/>
        </w:rPr>
        <w:t>approbation du présent protocole n</w:t>
      </w:r>
      <w:r>
        <w:rPr>
          <w:lang w:val="fr-FR"/>
        </w:rPr>
        <w:t>’</w:t>
      </w:r>
      <w:r w:rsidRPr="008C5911">
        <w:rPr>
          <w:lang w:val="fr-FR"/>
        </w:rPr>
        <w:t>ont pas été déposés avant le 1</w:t>
      </w:r>
      <w:r w:rsidRPr="008C5911">
        <w:rPr>
          <w:vertAlign w:val="superscript"/>
          <w:lang w:val="fr-FR"/>
        </w:rPr>
        <w:t>er</w:t>
      </w:r>
      <w:r w:rsidRPr="008C5911">
        <w:rPr>
          <w:lang w:val="fr-FR"/>
        </w:rPr>
        <w:t xml:space="preserve"> mai 2004, le présent protocole s</w:t>
      </w:r>
      <w:r>
        <w:rPr>
          <w:lang w:val="fr-FR"/>
        </w:rPr>
        <w:t>’</w:t>
      </w:r>
      <w:r w:rsidRPr="008C5911">
        <w:rPr>
          <w:lang w:val="fr-FR"/>
        </w:rPr>
        <w:t>applique à titre provisoire à compter du 1</w:t>
      </w:r>
      <w:r w:rsidRPr="008C5911">
        <w:rPr>
          <w:vertAlign w:val="superscript"/>
          <w:lang w:val="fr-FR"/>
        </w:rPr>
        <w:t>er</w:t>
      </w:r>
      <w:r w:rsidRPr="008C5911">
        <w:rPr>
          <w:lang w:val="fr-FR"/>
        </w:rPr>
        <w:t xml:space="preserve"> mai 2004</w:t>
      </w:r>
      <w:r w:rsidRPr="00F22925">
        <w:rPr>
          <w:lang w:val="fr-FR"/>
        </w:rPr>
        <w:t>.</w:t>
      </w:r>
    </w:p>
    <w:p w14:paraId="72CB56E2" w14:textId="77777777" w:rsidR="00507F03" w:rsidRPr="008C5911" w:rsidRDefault="00507F03" w:rsidP="00507F03">
      <w:pPr>
        <w:pStyle w:val="SingleTxtG"/>
        <w:rPr>
          <w:lang w:val="fr-CA"/>
        </w:rPr>
      </w:pPr>
      <w:r w:rsidRPr="008C5911">
        <w:rPr>
          <w:lang w:val="fr-FR"/>
        </w:rPr>
        <w:t>10</w:t>
      </w:r>
      <w:r w:rsidRPr="00F22925">
        <w:rPr>
          <w:lang w:val="fr-FR"/>
        </w:rPr>
        <w:t>.</w:t>
      </w:r>
      <w:r w:rsidRPr="008C5911">
        <w:rPr>
          <w:lang w:val="fr-FR"/>
        </w:rPr>
        <w:tab/>
        <w:t>Accord-cadre de coopération en matière d</w:t>
      </w:r>
      <w:r>
        <w:rPr>
          <w:lang w:val="fr-FR"/>
        </w:rPr>
        <w:t>’</w:t>
      </w:r>
      <w:r w:rsidRPr="008C5911">
        <w:rPr>
          <w:lang w:val="fr-FR"/>
        </w:rPr>
        <w:t>immigration entre le Royaume d</w:t>
      </w:r>
      <w:r>
        <w:rPr>
          <w:lang w:val="fr-FR"/>
        </w:rPr>
        <w:t>’</w:t>
      </w:r>
      <w:r w:rsidRPr="008C5911">
        <w:rPr>
          <w:lang w:val="fr-FR"/>
        </w:rPr>
        <w:t>Espagne et la République du Mali (Madrid, 23 janvier 2007)</w:t>
      </w:r>
      <w:r w:rsidRPr="00F22830">
        <w:rPr>
          <w:rStyle w:val="FootnoteReference"/>
        </w:rPr>
        <w:footnoteReference w:id="13"/>
      </w:r>
      <w:r w:rsidRPr="008C5911">
        <w:rPr>
          <w:lang w:val="fr-FR"/>
        </w:rPr>
        <w:t> :</w:t>
      </w:r>
    </w:p>
    <w:p w14:paraId="7DD11662" w14:textId="77777777" w:rsidR="00507F03" w:rsidRPr="008C5911" w:rsidRDefault="00507F03" w:rsidP="00507F03">
      <w:pPr>
        <w:pStyle w:val="SingleTxtG"/>
        <w:ind w:left="1701"/>
        <w:jc w:val="left"/>
        <w:rPr>
          <w:b/>
          <w:bCs/>
          <w:lang w:val="fr-CA"/>
        </w:rPr>
      </w:pPr>
      <w:r w:rsidRPr="008C5911">
        <w:rPr>
          <w:b/>
          <w:bCs/>
          <w:lang w:val="fr-FR"/>
        </w:rPr>
        <w:t>Article 16</w:t>
      </w:r>
    </w:p>
    <w:p w14:paraId="59549839" w14:textId="77777777" w:rsidR="00507F03" w:rsidRPr="008C5911" w:rsidRDefault="00507F03" w:rsidP="00507F03">
      <w:pPr>
        <w:pStyle w:val="SingleTxtG"/>
        <w:ind w:left="1701"/>
        <w:jc w:val="left"/>
        <w:rPr>
          <w:lang w:val="fr-FR"/>
        </w:rPr>
      </w:pPr>
      <w:r w:rsidRPr="008C5911">
        <w:rPr>
          <w:lang w:val="fr-FR"/>
        </w:rPr>
        <w:t>[</w:t>
      </w:r>
      <w:r w:rsidRPr="00F22925">
        <w:rPr>
          <w:lang w:val="fr-FR"/>
        </w:rPr>
        <w:t>...</w:t>
      </w:r>
      <w:r w:rsidRPr="008C5911">
        <w:rPr>
          <w:lang w:val="fr-FR"/>
        </w:rPr>
        <w:t>]</w:t>
      </w:r>
    </w:p>
    <w:p w14:paraId="1D60AED5" w14:textId="77777777" w:rsidR="00507F03" w:rsidRPr="008C5911" w:rsidRDefault="00507F03" w:rsidP="00507F03">
      <w:pPr>
        <w:pStyle w:val="SingleTxtG"/>
        <w:ind w:left="1701"/>
        <w:rPr>
          <w:lang w:val="fr-CA"/>
        </w:rPr>
      </w:pPr>
      <w:r w:rsidRPr="008C5911">
        <w:rPr>
          <w:lang w:val="fr-FR"/>
        </w:rPr>
        <w:t>2</w:t>
      </w:r>
      <w:r w:rsidRPr="00F22925">
        <w:rPr>
          <w:lang w:val="fr-FR"/>
        </w:rPr>
        <w:t>.</w:t>
      </w:r>
      <w:r w:rsidRPr="008C5911">
        <w:rPr>
          <w:lang w:val="fr-FR"/>
        </w:rPr>
        <w:tab/>
        <w:t>Le présent Accord-cadre s</w:t>
      </w:r>
      <w:r>
        <w:rPr>
          <w:lang w:val="fr-FR"/>
        </w:rPr>
        <w:t>’</w:t>
      </w:r>
      <w:r w:rsidRPr="008C5911">
        <w:rPr>
          <w:lang w:val="fr-FR"/>
        </w:rPr>
        <w:t>applique provisoirement au terme du délai de trente jours à compter de la date de sa signature</w:t>
      </w:r>
      <w:r w:rsidRPr="00F22925">
        <w:rPr>
          <w:lang w:val="fr-FR"/>
        </w:rPr>
        <w:t>.</w:t>
      </w:r>
      <w:r w:rsidRPr="008C5911">
        <w:rPr>
          <w:lang w:val="fr-FR"/>
        </w:rPr>
        <w:t xml:space="preserve"> </w:t>
      </w:r>
    </w:p>
    <w:p w14:paraId="211FD8FA" w14:textId="77777777" w:rsidR="00507F03" w:rsidRPr="008C5911" w:rsidRDefault="00507F03" w:rsidP="00507F03">
      <w:pPr>
        <w:pStyle w:val="SingleTxtG"/>
        <w:rPr>
          <w:lang w:val="fr-CA"/>
        </w:rPr>
      </w:pPr>
      <w:r w:rsidRPr="008C5911">
        <w:rPr>
          <w:lang w:val="fr-FR"/>
        </w:rPr>
        <w:t>11</w:t>
      </w:r>
      <w:r w:rsidRPr="00F22925">
        <w:rPr>
          <w:lang w:val="fr-FR"/>
        </w:rPr>
        <w:t>.</w:t>
      </w:r>
      <w:r w:rsidRPr="008C5911">
        <w:rPr>
          <w:lang w:val="fr-FR"/>
        </w:rPr>
        <w:tab/>
        <w:t>Accord entre le Royaume des Pays-Bas et la République argentine relatif à l</w:t>
      </w:r>
      <w:r>
        <w:rPr>
          <w:lang w:val="fr-FR"/>
        </w:rPr>
        <w:t>’</w:t>
      </w:r>
      <w:r w:rsidRPr="008C5911">
        <w:rPr>
          <w:lang w:val="fr-FR"/>
        </w:rPr>
        <w:t>assistance administrative mutuelle en matière douanière (Buenos Aires, 26 septembre 2012) [traduction non officielle]</w:t>
      </w:r>
      <w:r w:rsidRPr="00F22830">
        <w:rPr>
          <w:rStyle w:val="FootnoteReference"/>
        </w:rPr>
        <w:footnoteReference w:id="14"/>
      </w:r>
      <w:r w:rsidRPr="008C5911">
        <w:rPr>
          <w:lang w:val="fr-FR"/>
        </w:rPr>
        <w:t> :</w:t>
      </w:r>
    </w:p>
    <w:p w14:paraId="5DD3C01E" w14:textId="77777777" w:rsidR="00507F03" w:rsidRPr="008C5911" w:rsidRDefault="00507F03" w:rsidP="00507F03">
      <w:pPr>
        <w:pStyle w:val="SingleTxtG"/>
        <w:ind w:left="1701"/>
        <w:jc w:val="left"/>
        <w:rPr>
          <w:b/>
          <w:bCs/>
          <w:lang w:val="fr-CA"/>
        </w:rPr>
      </w:pPr>
      <w:r w:rsidRPr="008C5911">
        <w:rPr>
          <w:b/>
          <w:bCs/>
          <w:lang w:val="fr-FR"/>
        </w:rPr>
        <w:t xml:space="preserve">Article 23 </w:t>
      </w:r>
      <w:r w:rsidRPr="008C5911">
        <w:rPr>
          <w:b/>
          <w:bCs/>
          <w:lang w:val="fr-FR"/>
        </w:rPr>
        <w:br/>
        <w:t>Entrée en vigueur</w:t>
      </w:r>
    </w:p>
    <w:p w14:paraId="1F7E1BD0" w14:textId="77777777" w:rsidR="00507F03" w:rsidRPr="008C5911" w:rsidRDefault="00507F03" w:rsidP="00507F03">
      <w:pPr>
        <w:pStyle w:val="SingleTxtG"/>
        <w:ind w:left="1701"/>
        <w:jc w:val="left"/>
        <w:rPr>
          <w:lang w:val="fr-FR"/>
        </w:rPr>
      </w:pPr>
      <w:r w:rsidRPr="008C5911">
        <w:rPr>
          <w:lang w:val="fr-FR"/>
        </w:rPr>
        <w:t>[</w:t>
      </w:r>
      <w:r w:rsidRPr="00F22925">
        <w:rPr>
          <w:lang w:val="fr-FR"/>
        </w:rPr>
        <w:t>...</w:t>
      </w:r>
      <w:r w:rsidRPr="008C5911">
        <w:rPr>
          <w:lang w:val="fr-FR"/>
        </w:rPr>
        <w:t xml:space="preserve">] </w:t>
      </w:r>
    </w:p>
    <w:p w14:paraId="43FDB708" w14:textId="77777777" w:rsidR="00507F03" w:rsidRPr="008C5911" w:rsidRDefault="00507F03" w:rsidP="00507F03">
      <w:pPr>
        <w:pStyle w:val="SingleTxtG"/>
        <w:ind w:left="1701"/>
        <w:rPr>
          <w:lang w:val="fr-CA"/>
        </w:rPr>
      </w:pPr>
      <w:r w:rsidRPr="008C5911">
        <w:rPr>
          <w:lang w:val="fr-FR"/>
        </w:rPr>
        <w:t>2</w:t>
      </w:r>
      <w:r w:rsidRPr="00F22925">
        <w:rPr>
          <w:lang w:val="fr-FR"/>
        </w:rPr>
        <w:t>.</w:t>
      </w:r>
      <w:r w:rsidRPr="008C5911">
        <w:rPr>
          <w:lang w:val="fr-FR"/>
        </w:rPr>
        <w:tab/>
        <w:t>Le présent Accord s</w:t>
      </w:r>
      <w:r>
        <w:rPr>
          <w:lang w:val="fr-FR"/>
        </w:rPr>
        <w:t>’</w:t>
      </w:r>
      <w:r w:rsidRPr="008C5911">
        <w:rPr>
          <w:lang w:val="fr-FR"/>
        </w:rPr>
        <w:t>applique provisoirement à compter du premier jour du deuxième mois suivant sa signature</w:t>
      </w:r>
      <w:r w:rsidRPr="00F22925">
        <w:rPr>
          <w:lang w:val="fr-FR"/>
        </w:rPr>
        <w:t>.</w:t>
      </w:r>
      <w:r w:rsidRPr="008C5911">
        <w:rPr>
          <w:lang w:val="fr-FR"/>
        </w:rPr>
        <w:t xml:space="preserve"> </w:t>
      </w:r>
    </w:p>
    <w:p w14:paraId="776377C8" w14:textId="77777777" w:rsidR="00507F03" w:rsidRPr="00E44216" w:rsidRDefault="00507F03" w:rsidP="00507F03">
      <w:pPr>
        <w:pStyle w:val="H4G"/>
        <w:rPr>
          <w:lang w:val="fr-CA"/>
        </w:rPr>
      </w:pPr>
      <w:r w:rsidRPr="008C5911">
        <w:rPr>
          <w:lang w:val="fr-FR"/>
        </w:rPr>
        <w:tab/>
      </w:r>
      <w:r w:rsidRPr="00E44216">
        <w:rPr>
          <w:lang w:val="fr-FR"/>
        </w:rPr>
        <w:t>b)</w:t>
      </w:r>
      <w:r w:rsidRPr="00E44216">
        <w:rPr>
          <w:lang w:val="fr-FR"/>
        </w:rPr>
        <w:tab/>
        <w:t>Traités multilatéraux</w:t>
      </w:r>
    </w:p>
    <w:p w14:paraId="3DF7379B" w14:textId="77777777" w:rsidR="00507F03" w:rsidRPr="00E44216" w:rsidRDefault="00507F03" w:rsidP="00507F03">
      <w:pPr>
        <w:pStyle w:val="SingleTxtG"/>
        <w:rPr>
          <w:lang w:val="fr-CA"/>
        </w:rPr>
      </w:pPr>
      <w:r w:rsidRPr="00E44216">
        <w:rPr>
          <w:lang w:val="fr-FR"/>
        </w:rPr>
        <w:t>12.</w:t>
      </w:r>
      <w:r w:rsidRPr="00E44216">
        <w:rPr>
          <w:lang w:val="fr-FR"/>
        </w:rPr>
        <w:tab/>
        <w:t>Document ayant fait l</w:t>
      </w:r>
      <w:r>
        <w:rPr>
          <w:lang w:val="fr-FR"/>
        </w:rPr>
        <w:t>’</w:t>
      </w:r>
      <w:r w:rsidRPr="00E44216">
        <w:rPr>
          <w:lang w:val="fr-FR"/>
        </w:rPr>
        <w:t>objet d</w:t>
      </w:r>
      <w:r>
        <w:rPr>
          <w:lang w:val="fr-FR"/>
        </w:rPr>
        <w:t>’</w:t>
      </w:r>
      <w:r w:rsidRPr="00E44216">
        <w:rPr>
          <w:lang w:val="fr-FR"/>
        </w:rPr>
        <w:t>un accord entre les États parties au Traité sur les forces armées conventionnelles en Europe en date du 19 novembre 1990 (Vienne, 31 mai 1996)</w:t>
      </w:r>
      <w:r w:rsidRPr="00E44216">
        <w:rPr>
          <w:rStyle w:val="FootnoteReference"/>
        </w:rPr>
        <w:footnoteReference w:id="15"/>
      </w:r>
      <w:r w:rsidRPr="00E44216">
        <w:rPr>
          <w:lang w:val="fr-FR"/>
        </w:rPr>
        <w:t> :</w:t>
      </w:r>
    </w:p>
    <w:p w14:paraId="501D0A34" w14:textId="77777777" w:rsidR="00507F03" w:rsidRPr="00E44216" w:rsidRDefault="00507F03" w:rsidP="00507F03">
      <w:pPr>
        <w:pStyle w:val="SingleTxtG"/>
        <w:ind w:left="1701"/>
        <w:jc w:val="left"/>
        <w:rPr>
          <w:b/>
          <w:bCs/>
          <w:lang w:val="fr-CA"/>
        </w:rPr>
      </w:pPr>
      <w:r w:rsidRPr="00E44216">
        <w:rPr>
          <w:b/>
          <w:bCs/>
          <w:lang w:val="fr-FR"/>
        </w:rPr>
        <w:t>VI.</w:t>
      </w:r>
    </w:p>
    <w:p w14:paraId="051D3F04" w14:textId="77777777" w:rsidR="00507F03" w:rsidRPr="00E44216" w:rsidRDefault="00507F03" w:rsidP="00507F03">
      <w:pPr>
        <w:pStyle w:val="SingleTxtG"/>
        <w:ind w:left="1701"/>
        <w:rPr>
          <w:lang w:val="fr-CA"/>
        </w:rPr>
      </w:pPr>
      <w:r w:rsidRPr="00E44216">
        <w:rPr>
          <w:lang w:val="fr-FR"/>
        </w:rPr>
        <w:t>1.</w:t>
      </w:r>
      <w:r w:rsidRPr="00E44216">
        <w:rPr>
          <w:lang w:val="fr-FR"/>
        </w:rPr>
        <w:tab/>
        <w:t>Le présent Document entre en vigueur dès que le dépositaire reçoit de tous les États Parties une notification confirmant leur approbation. Les paragraphes 2 et 3 de la section II et les sections IV et V du présent Document sont ainsi provisoirement appliqués à compter du 31 mai 1996 jusqu</w:t>
      </w:r>
      <w:r>
        <w:rPr>
          <w:lang w:val="fr-FR"/>
        </w:rPr>
        <w:t>’</w:t>
      </w:r>
      <w:r w:rsidRPr="00E44216">
        <w:rPr>
          <w:lang w:val="fr-FR"/>
        </w:rPr>
        <w:t>au 15 décembre 1996.</w:t>
      </w:r>
    </w:p>
    <w:p w14:paraId="4E0732ED" w14:textId="77777777" w:rsidR="00507F03" w:rsidRPr="00E44216" w:rsidRDefault="00507F03" w:rsidP="00507F03">
      <w:pPr>
        <w:pStyle w:val="H23G"/>
        <w:rPr>
          <w:lang w:val="fr-CA"/>
        </w:rPr>
      </w:pPr>
      <w:r w:rsidRPr="00E44216">
        <w:rPr>
          <w:lang w:val="fr-FR"/>
        </w:rPr>
        <w:lastRenderedPageBreak/>
        <w:tab/>
        <w:t>3)</w:t>
      </w:r>
      <w:r w:rsidRPr="00E44216">
        <w:rPr>
          <w:lang w:val="fr-FR"/>
        </w:rPr>
        <w:tab/>
        <w:t>À compter de la date de conclusion ou de notification</w:t>
      </w:r>
    </w:p>
    <w:p w14:paraId="053989F7" w14:textId="77777777" w:rsidR="00507F03" w:rsidRPr="00E44216" w:rsidRDefault="00507F03" w:rsidP="00507F03">
      <w:pPr>
        <w:pStyle w:val="H4G"/>
        <w:rPr>
          <w:lang w:val="fr-CA"/>
        </w:rPr>
      </w:pPr>
      <w:r w:rsidRPr="00E44216">
        <w:rPr>
          <w:lang w:val="fr-CA"/>
        </w:rPr>
        <w:tab/>
        <w:t>a)</w:t>
      </w:r>
      <w:r w:rsidRPr="00E44216">
        <w:rPr>
          <w:lang w:val="fr-CA"/>
        </w:rPr>
        <w:tab/>
      </w:r>
      <w:r w:rsidRPr="00E44216">
        <w:rPr>
          <w:lang w:val="fr-FR"/>
        </w:rPr>
        <w:t>Traités bilatéraux</w:t>
      </w:r>
    </w:p>
    <w:p w14:paraId="0B6E705F" w14:textId="77777777" w:rsidR="00507F03" w:rsidRPr="008C5911" w:rsidRDefault="00507F03" w:rsidP="00507F03">
      <w:pPr>
        <w:pStyle w:val="SingleTxtG"/>
        <w:rPr>
          <w:lang w:val="fr-CA"/>
        </w:rPr>
      </w:pPr>
      <w:r w:rsidRPr="00E44216">
        <w:rPr>
          <w:lang w:val="fr-FR"/>
        </w:rPr>
        <w:t>13.</w:t>
      </w:r>
      <w:r w:rsidRPr="00E44216">
        <w:rPr>
          <w:lang w:val="fr-FR"/>
        </w:rPr>
        <w:tab/>
        <w:t>Échange de notes constituant un accord relatif à la suppression de visas pour les titulaires de passeports</w:t>
      </w:r>
      <w:r w:rsidRPr="008C5911">
        <w:rPr>
          <w:lang w:val="fr-FR"/>
        </w:rPr>
        <w:t xml:space="preserve"> diplomatiques (Madrid, 27 décembre 1996)</w:t>
      </w:r>
      <w:r w:rsidRPr="00F22830">
        <w:rPr>
          <w:rStyle w:val="FootnoteReference"/>
        </w:rPr>
        <w:footnoteReference w:id="16"/>
      </w:r>
      <w:r w:rsidRPr="008C5911">
        <w:rPr>
          <w:lang w:val="fr-FR"/>
        </w:rPr>
        <w:t> :</w:t>
      </w:r>
    </w:p>
    <w:p w14:paraId="26D9A35C" w14:textId="77777777" w:rsidR="00507F03" w:rsidRPr="008C5911" w:rsidRDefault="00507F03" w:rsidP="00507F03">
      <w:pPr>
        <w:pStyle w:val="SingleTxtG"/>
        <w:ind w:left="1701"/>
        <w:jc w:val="left"/>
        <w:rPr>
          <w:b/>
          <w:bCs/>
          <w:lang w:val="fr-CA"/>
        </w:rPr>
      </w:pPr>
      <w:r w:rsidRPr="008C5911">
        <w:rPr>
          <w:b/>
          <w:bCs/>
          <w:lang w:val="fr-FR"/>
        </w:rPr>
        <w:t>Note de l</w:t>
      </w:r>
      <w:r>
        <w:rPr>
          <w:b/>
          <w:bCs/>
          <w:lang w:val="fr-FR"/>
        </w:rPr>
        <w:t>’</w:t>
      </w:r>
      <w:r w:rsidRPr="008C5911">
        <w:rPr>
          <w:b/>
          <w:bCs/>
          <w:lang w:val="fr-FR"/>
        </w:rPr>
        <w:t>Espagne à la Tunisie</w:t>
      </w:r>
    </w:p>
    <w:p w14:paraId="065CD8C4"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32F49099" w14:textId="77777777" w:rsidR="00507F03" w:rsidRPr="008C5911" w:rsidRDefault="00507F03" w:rsidP="00507F03">
      <w:pPr>
        <w:pStyle w:val="SingleTxtG"/>
        <w:ind w:left="1701"/>
        <w:rPr>
          <w:b/>
          <w:bCs/>
          <w:lang w:val="fr-CA"/>
        </w:rPr>
      </w:pPr>
      <w:r w:rsidRPr="008C5911">
        <w:rPr>
          <w:lang w:val="fr-FR"/>
        </w:rPr>
        <w:tab/>
        <w:t>Au cas où le Gouvernement tunisien accepterait cette proposition, sur la base de la réciprocité, la présente note et la réponse de l</w:t>
      </w:r>
      <w:r>
        <w:rPr>
          <w:lang w:val="fr-FR"/>
        </w:rPr>
        <w:t>’</w:t>
      </w:r>
      <w:r w:rsidRPr="008C5911">
        <w:rPr>
          <w:lang w:val="fr-FR"/>
        </w:rPr>
        <w:t>Ambassade de Tunisie tiendront lieu d</w:t>
      </w:r>
      <w:r>
        <w:rPr>
          <w:lang w:val="fr-FR"/>
        </w:rPr>
        <w:t>’</w:t>
      </w:r>
      <w:r w:rsidRPr="008C5911">
        <w:rPr>
          <w:lang w:val="fr-FR"/>
        </w:rPr>
        <w:t>Accord entre le Royaume d</w:t>
      </w:r>
      <w:r>
        <w:rPr>
          <w:lang w:val="fr-FR"/>
        </w:rPr>
        <w:t>’</w:t>
      </w:r>
      <w:r w:rsidRPr="008C5911">
        <w:rPr>
          <w:lang w:val="fr-FR"/>
        </w:rPr>
        <w:t>Espagne et la République tunisienne ; lequel s</w:t>
      </w:r>
      <w:r>
        <w:rPr>
          <w:lang w:val="fr-FR"/>
        </w:rPr>
        <w:t>’</w:t>
      </w:r>
      <w:r w:rsidRPr="008C5911">
        <w:rPr>
          <w:lang w:val="fr-FR"/>
        </w:rPr>
        <w:t>appliquera de façon provisoire à partir de l</w:t>
      </w:r>
      <w:r>
        <w:rPr>
          <w:lang w:val="fr-FR"/>
        </w:rPr>
        <w:t>’</w:t>
      </w:r>
      <w:r w:rsidRPr="008C5911">
        <w:rPr>
          <w:lang w:val="fr-FR"/>
        </w:rPr>
        <w:t>échange de ces notes et dont l</w:t>
      </w:r>
      <w:r>
        <w:rPr>
          <w:lang w:val="fr-FR"/>
        </w:rPr>
        <w:t>’</w:t>
      </w:r>
      <w:r w:rsidRPr="008C5911">
        <w:rPr>
          <w:lang w:val="fr-FR"/>
        </w:rPr>
        <w:t>entrée en vigueur se produira à partir de la date de la dernière notification de l</w:t>
      </w:r>
      <w:r>
        <w:rPr>
          <w:lang w:val="fr-FR"/>
        </w:rPr>
        <w:t>’</w:t>
      </w:r>
      <w:r w:rsidRPr="008C5911">
        <w:rPr>
          <w:lang w:val="fr-FR"/>
        </w:rPr>
        <w:t>accomplissement des formalités respectives internes</w:t>
      </w:r>
      <w:r w:rsidRPr="00F22925">
        <w:rPr>
          <w:lang w:val="fr-FR"/>
        </w:rPr>
        <w:t>.</w:t>
      </w:r>
    </w:p>
    <w:p w14:paraId="6B5C1CAA"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47C492DA" w14:textId="77777777" w:rsidR="00507F03" w:rsidRPr="008C5911" w:rsidRDefault="00507F03" w:rsidP="00507F03">
      <w:pPr>
        <w:pStyle w:val="SingleTxtG"/>
        <w:ind w:left="1701"/>
        <w:jc w:val="left"/>
        <w:rPr>
          <w:b/>
          <w:bCs/>
          <w:lang w:val="fr-CA"/>
        </w:rPr>
      </w:pPr>
      <w:r w:rsidRPr="008C5911">
        <w:rPr>
          <w:b/>
          <w:bCs/>
          <w:lang w:val="fr-FR"/>
        </w:rPr>
        <w:t>Note de la Tunisie à l</w:t>
      </w:r>
      <w:r>
        <w:rPr>
          <w:b/>
          <w:bCs/>
          <w:lang w:val="fr-FR"/>
        </w:rPr>
        <w:t>’</w:t>
      </w:r>
      <w:r w:rsidRPr="008C5911">
        <w:rPr>
          <w:b/>
          <w:bCs/>
          <w:lang w:val="fr-FR"/>
        </w:rPr>
        <w:t>Espagne</w:t>
      </w:r>
    </w:p>
    <w:p w14:paraId="5B42A104"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2627FEE8" w14:textId="77777777" w:rsidR="00507F03" w:rsidRPr="008C5911" w:rsidRDefault="00507F03" w:rsidP="00507F03">
      <w:pPr>
        <w:pStyle w:val="SingleTxtG"/>
        <w:ind w:left="1701"/>
        <w:rPr>
          <w:lang w:val="fr-CA"/>
        </w:rPr>
      </w:pPr>
      <w:r w:rsidRPr="008C5911">
        <w:rPr>
          <w:lang w:val="fr-FR"/>
        </w:rPr>
        <w:tab/>
        <w:t>L</w:t>
      </w:r>
      <w:r>
        <w:rPr>
          <w:lang w:val="fr-FR"/>
        </w:rPr>
        <w:t>’</w:t>
      </w:r>
      <w:r w:rsidRPr="008C5911">
        <w:rPr>
          <w:lang w:val="fr-FR"/>
        </w:rPr>
        <w:t>Ambassade de la République tunisienne à Madrid a l</w:t>
      </w:r>
      <w:r>
        <w:rPr>
          <w:lang w:val="fr-FR"/>
        </w:rPr>
        <w:t>’</w:t>
      </w:r>
      <w:r w:rsidRPr="008C5911">
        <w:rPr>
          <w:lang w:val="fr-FR"/>
        </w:rPr>
        <w:t>honneur d</w:t>
      </w:r>
      <w:r>
        <w:rPr>
          <w:lang w:val="fr-FR"/>
        </w:rPr>
        <w:t>’</w:t>
      </w:r>
      <w:r w:rsidRPr="008C5911">
        <w:rPr>
          <w:lang w:val="fr-FR"/>
        </w:rPr>
        <w:t xml:space="preserve">informer le </w:t>
      </w:r>
      <w:proofErr w:type="gramStart"/>
      <w:r w:rsidRPr="008C5911">
        <w:rPr>
          <w:lang w:val="fr-FR"/>
        </w:rPr>
        <w:t>Ministère</w:t>
      </w:r>
      <w:proofErr w:type="gramEnd"/>
      <w:r w:rsidRPr="008C5911">
        <w:rPr>
          <w:lang w:val="fr-FR"/>
        </w:rPr>
        <w:t xml:space="preserve"> des Affaires étrangères que le Gouvernement de la République tunisienne accepte cette proposition du Royaume d</w:t>
      </w:r>
      <w:r>
        <w:rPr>
          <w:lang w:val="fr-FR"/>
        </w:rPr>
        <w:t>’</w:t>
      </w:r>
      <w:r w:rsidRPr="008C5911">
        <w:rPr>
          <w:lang w:val="fr-FR"/>
        </w:rPr>
        <w:t>Espagne et donne son accord pour que la Note verbale susmentionnée et la présente réponse constituent un Accord</w:t>
      </w:r>
      <w:r w:rsidRPr="00F22925">
        <w:rPr>
          <w:lang w:val="fr-FR"/>
        </w:rPr>
        <w:t>.</w:t>
      </w:r>
    </w:p>
    <w:p w14:paraId="676AC5B3"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062F3F72" w14:textId="77777777" w:rsidR="00507F03" w:rsidRPr="008C5911" w:rsidRDefault="00507F03" w:rsidP="00507F03">
      <w:pPr>
        <w:pStyle w:val="SingleTxtG"/>
        <w:rPr>
          <w:lang w:val="fr-CA"/>
        </w:rPr>
      </w:pPr>
      <w:r w:rsidRPr="008C5911">
        <w:rPr>
          <w:lang w:val="fr-FR"/>
        </w:rPr>
        <w:t>14</w:t>
      </w:r>
      <w:r w:rsidRPr="00F22925">
        <w:rPr>
          <w:lang w:val="fr-FR"/>
        </w:rPr>
        <w:t>.</w:t>
      </w:r>
      <w:r w:rsidRPr="008C5911">
        <w:rPr>
          <w:lang w:val="fr-FR"/>
        </w:rPr>
        <w:tab/>
        <w:t>Échange de notes constituant un accord modifiant l</w:t>
      </w:r>
      <w:r>
        <w:rPr>
          <w:lang w:val="fr-FR"/>
        </w:rPr>
        <w:t>’</w:t>
      </w:r>
      <w:r w:rsidRPr="008C5911">
        <w:rPr>
          <w:lang w:val="fr-FR"/>
        </w:rPr>
        <w:t>Accord entre le Royaume des Pays-Bas et le Tribunal pénal international pour l</w:t>
      </w:r>
      <w:r>
        <w:rPr>
          <w:lang w:val="fr-FR"/>
        </w:rPr>
        <w:t>’</w:t>
      </w:r>
      <w:r w:rsidRPr="008C5911">
        <w:rPr>
          <w:lang w:val="fr-FR"/>
        </w:rPr>
        <w:t>ex-Yougoslavie relatif à la position des stagiaires du Tribunal aux Pays-Bas (La Haye, 14 juillet 2010)</w:t>
      </w:r>
      <w:r w:rsidRPr="00F22830">
        <w:rPr>
          <w:rStyle w:val="FootnoteReference"/>
        </w:rPr>
        <w:footnoteReference w:id="17"/>
      </w:r>
      <w:r w:rsidRPr="008C5911">
        <w:rPr>
          <w:lang w:val="fr-FR"/>
        </w:rPr>
        <w:t> :</w:t>
      </w:r>
    </w:p>
    <w:p w14:paraId="5DA19C9A" w14:textId="77777777" w:rsidR="00507F03" w:rsidRPr="008C5911" w:rsidRDefault="00507F03" w:rsidP="00507F03">
      <w:pPr>
        <w:pStyle w:val="SingleTxtG"/>
        <w:ind w:left="1701"/>
        <w:jc w:val="left"/>
        <w:rPr>
          <w:b/>
          <w:bCs/>
          <w:lang w:val="fr-CA"/>
        </w:rPr>
      </w:pPr>
      <w:r w:rsidRPr="008C5911">
        <w:rPr>
          <w:b/>
          <w:bCs/>
          <w:lang w:val="fr-FR"/>
        </w:rPr>
        <w:t>Note des Pays-Bas</w:t>
      </w:r>
    </w:p>
    <w:p w14:paraId="1C01B5E3"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08AB7533" w14:textId="77777777" w:rsidR="00507F03" w:rsidRPr="008C5911" w:rsidRDefault="00507F03" w:rsidP="00507F03">
      <w:pPr>
        <w:pStyle w:val="SingleTxtG"/>
        <w:ind w:left="1701"/>
        <w:rPr>
          <w:lang w:val="fr-CA"/>
        </w:rPr>
      </w:pPr>
      <w:r w:rsidRPr="008C5911">
        <w:rPr>
          <w:lang w:val="fr-FR"/>
        </w:rPr>
        <w:tab/>
        <w:t>Si les dispositions qui précèdent rencontrent l</w:t>
      </w:r>
      <w:r>
        <w:rPr>
          <w:lang w:val="fr-FR"/>
        </w:rPr>
        <w:t>’</w:t>
      </w:r>
      <w:r w:rsidRPr="008C5911">
        <w:rPr>
          <w:lang w:val="fr-FR"/>
        </w:rPr>
        <w:t>agrément de l</w:t>
      </w:r>
      <w:r>
        <w:rPr>
          <w:lang w:val="fr-FR"/>
        </w:rPr>
        <w:t>’</w:t>
      </w:r>
      <w:r w:rsidRPr="008C5911">
        <w:rPr>
          <w:lang w:val="fr-FR"/>
        </w:rPr>
        <w:t>ONU-TPIY, le Ministère a l</w:t>
      </w:r>
      <w:r>
        <w:rPr>
          <w:lang w:val="fr-FR"/>
        </w:rPr>
        <w:t>’</w:t>
      </w:r>
      <w:r w:rsidRPr="008C5911">
        <w:rPr>
          <w:lang w:val="fr-FR"/>
        </w:rPr>
        <w:t>honneur de proposer que la présente note ainsi que la réponse affirmative de l</w:t>
      </w:r>
      <w:r>
        <w:rPr>
          <w:lang w:val="fr-FR"/>
        </w:rPr>
        <w:t>’</w:t>
      </w:r>
      <w:r w:rsidRPr="008C5911">
        <w:rPr>
          <w:lang w:val="fr-FR"/>
        </w:rPr>
        <w:t>ONU-TPIY constituent un amendement à l</w:t>
      </w:r>
      <w:r>
        <w:rPr>
          <w:lang w:val="fr-FR"/>
        </w:rPr>
        <w:t>’</w:t>
      </w:r>
      <w:r w:rsidRPr="008C5911">
        <w:rPr>
          <w:lang w:val="fr-FR"/>
        </w:rPr>
        <w:t>Accord relatif aux stagiaires, qui sera provisoirement appliqué à compter de la date de réception de la réponse affirmative, et entrera en vigueur à la date à laquelle les deux Parties se seront notifié par écrit que les formalités juridiques requises pour l</w:t>
      </w:r>
      <w:r>
        <w:rPr>
          <w:lang w:val="fr-FR"/>
        </w:rPr>
        <w:t>’</w:t>
      </w:r>
      <w:r w:rsidRPr="008C5911">
        <w:rPr>
          <w:lang w:val="fr-FR"/>
        </w:rPr>
        <w:t>entrée en vigueur ont été prises</w:t>
      </w:r>
      <w:r w:rsidRPr="00F22925">
        <w:rPr>
          <w:lang w:val="fr-FR"/>
        </w:rPr>
        <w:t>.</w:t>
      </w:r>
    </w:p>
    <w:p w14:paraId="34BBCDB1" w14:textId="77777777" w:rsidR="00507F03" w:rsidRPr="008C5911" w:rsidRDefault="00507F03" w:rsidP="00507F03">
      <w:pPr>
        <w:pStyle w:val="SingleTxtG"/>
        <w:ind w:left="1701"/>
        <w:jc w:val="left"/>
        <w:rPr>
          <w:b/>
          <w:bCs/>
          <w:lang w:val="fr-CA"/>
        </w:rPr>
      </w:pPr>
      <w:r w:rsidRPr="008C5911">
        <w:rPr>
          <w:lang w:val="fr-FR"/>
        </w:rPr>
        <w:t>[</w:t>
      </w:r>
      <w:r w:rsidRPr="00F22925">
        <w:rPr>
          <w:lang w:val="fr-FR"/>
        </w:rPr>
        <w:t>...</w:t>
      </w:r>
      <w:r w:rsidRPr="008C5911">
        <w:rPr>
          <w:lang w:val="fr-FR"/>
        </w:rPr>
        <w:t>]</w:t>
      </w:r>
    </w:p>
    <w:p w14:paraId="23CEC091" w14:textId="77777777" w:rsidR="00507F03" w:rsidRPr="008C5911" w:rsidRDefault="00507F03" w:rsidP="00507F03">
      <w:pPr>
        <w:pStyle w:val="SingleTxtG"/>
        <w:ind w:left="1701"/>
        <w:jc w:val="left"/>
        <w:rPr>
          <w:b/>
          <w:bCs/>
          <w:lang w:val="fr-FR"/>
        </w:rPr>
      </w:pPr>
      <w:r w:rsidRPr="008C5911">
        <w:rPr>
          <w:b/>
          <w:bCs/>
          <w:lang w:val="fr-FR"/>
        </w:rPr>
        <w:t>Note du Tribunal pénal international pour l</w:t>
      </w:r>
      <w:r>
        <w:rPr>
          <w:b/>
          <w:bCs/>
          <w:lang w:val="fr-FR"/>
        </w:rPr>
        <w:t>’</w:t>
      </w:r>
      <w:r w:rsidRPr="008C5911">
        <w:rPr>
          <w:b/>
          <w:bCs/>
          <w:lang w:val="fr-FR"/>
        </w:rPr>
        <w:t>ex-Yougoslavie (ONU-TPIY)</w:t>
      </w:r>
    </w:p>
    <w:p w14:paraId="4DBE362B"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1530F201" w14:textId="77777777" w:rsidR="00507F03" w:rsidRPr="008C5911" w:rsidRDefault="00507F03" w:rsidP="00507F03">
      <w:pPr>
        <w:pStyle w:val="SingleTxtG"/>
        <w:ind w:left="1701"/>
        <w:rPr>
          <w:lang w:val="fr-CA"/>
        </w:rPr>
      </w:pPr>
      <w:r w:rsidRPr="008C5911">
        <w:rPr>
          <w:lang w:val="fr-FR"/>
        </w:rPr>
        <w:tab/>
        <w:t>L</w:t>
      </w:r>
      <w:r>
        <w:rPr>
          <w:lang w:val="fr-FR"/>
        </w:rPr>
        <w:t>’</w:t>
      </w:r>
      <w:r w:rsidRPr="008C5911">
        <w:rPr>
          <w:lang w:val="fr-FR"/>
        </w:rPr>
        <w:t>ONU-TPIY a en outre l</w:t>
      </w:r>
      <w:r>
        <w:rPr>
          <w:lang w:val="fr-FR"/>
        </w:rPr>
        <w:t>’</w:t>
      </w:r>
      <w:r w:rsidRPr="008C5911">
        <w:rPr>
          <w:lang w:val="fr-FR"/>
        </w:rPr>
        <w:t>honneur d</w:t>
      </w:r>
      <w:r>
        <w:rPr>
          <w:lang w:val="fr-FR"/>
        </w:rPr>
        <w:t>’</w:t>
      </w:r>
      <w:r w:rsidRPr="008C5911">
        <w:rPr>
          <w:lang w:val="fr-FR"/>
        </w:rPr>
        <w:t>informer le Ministère que les propositions énoncées dans la note du Ministère rencontrent l</w:t>
      </w:r>
      <w:r>
        <w:rPr>
          <w:lang w:val="fr-FR"/>
        </w:rPr>
        <w:t>’</w:t>
      </w:r>
      <w:r w:rsidRPr="008C5911">
        <w:rPr>
          <w:lang w:val="fr-FR"/>
        </w:rPr>
        <w:t>agrément de l</w:t>
      </w:r>
      <w:r>
        <w:rPr>
          <w:lang w:val="fr-FR"/>
        </w:rPr>
        <w:t>’</w:t>
      </w:r>
      <w:r w:rsidRPr="008C5911">
        <w:rPr>
          <w:lang w:val="fr-FR"/>
        </w:rPr>
        <w:t>ONU-TPIY et de confirmer que la note du Ministère et la présente note constituent un amendement à l</w:t>
      </w:r>
      <w:r>
        <w:rPr>
          <w:lang w:val="fr-FR"/>
        </w:rPr>
        <w:t>’</w:t>
      </w:r>
      <w:r w:rsidRPr="008C5911">
        <w:rPr>
          <w:lang w:val="fr-FR"/>
        </w:rPr>
        <w:t xml:space="preserve">Accord relatif aux stagiaires, qui sera provisoirement appliqué à compter de la date de réception de la présente réponse affirmative, et entrera en </w:t>
      </w:r>
      <w:r w:rsidRPr="008C5911">
        <w:rPr>
          <w:lang w:val="fr-FR"/>
        </w:rPr>
        <w:lastRenderedPageBreak/>
        <w:t>vigueur à la date à laquelle les deux Parties se seront notifié par écrit que les formalités juridiques requises pour l</w:t>
      </w:r>
      <w:r>
        <w:rPr>
          <w:lang w:val="fr-FR"/>
        </w:rPr>
        <w:t>’</w:t>
      </w:r>
      <w:r w:rsidRPr="008C5911">
        <w:rPr>
          <w:lang w:val="fr-FR"/>
        </w:rPr>
        <w:t>entrée en vigueur ont été prises</w:t>
      </w:r>
      <w:r w:rsidRPr="00F22925">
        <w:rPr>
          <w:lang w:val="fr-FR"/>
        </w:rPr>
        <w:t>.</w:t>
      </w:r>
      <w:r w:rsidRPr="008C5911">
        <w:rPr>
          <w:lang w:val="fr-FR"/>
        </w:rPr>
        <w:t xml:space="preserve"> </w:t>
      </w:r>
    </w:p>
    <w:p w14:paraId="11C0D6CD" w14:textId="77777777" w:rsidR="00507F03" w:rsidRPr="008C5911" w:rsidRDefault="00507F03" w:rsidP="00507F03">
      <w:pPr>
        <w:pStyle w:val="SingleTxtG"/>
        <w:ind w:left="1701"/>
        <w:jc w:val="left"/>
        <w:rPr>
          <w:u w:val="single"/>
          <w:lang w:val="fr-CA"/>
        </w:rPr>
      </w:pPr>
      <w:r w:rsidRPr="008C5911">
        <w:rPr>
          <w:lang w:val="fr-FR"/>
        </w:rPr>
        <w:t>[</w:t>
      </w:r>
      <w:r w:rsidRPr="00F22925">
        <w:rPr>
          <w:lang w:val="fr-FR"/>
        </w:rPr>
        <w:t>...</w:t>
      </w:r>
      <w:r w:rsidRPr="008C5911">
        <w:rPr>
          <w:lang w:val="fr-FR"/>
        </w:rPr>
        <w:t>]</w:t>
      </w:r>
    </w:p>
    <w:p w14:paraId="2DFD200F" w14:textId="77777777" w:rsidR="00507F03" w:rsidRPr="008C5911" w:rsidRDefault="00507F03" w:rsidP="00507F03">
      <w:pPr>
        <w:pStyle w:val="SingleTxtG"/>
        <w:rPr>
          <w:lang w:val="fr-CA"/>
        </w:rPr>
      </w:pPr>
      <w:r w:rsidRPr="008C5911">
        <w:rPr>
          <w:lang w:val="fr-FR"/>
        </w:rPr>
        <w:t>15</w:t>
      </w:r>
      <w:r w:rsidRPr="00F22925">
        <w:rPr>
          <w:lang w:val="fr-FR"/>
        </w:rPr>
        <w:t>.</w:t>
      </w:r>
      <w:r w:rsidRPr="008C5911">
        <w:rPr>
          <w:lang w:val="fr-FR"/>
        </w:rPr>
        <w:tab/>
        <w:t>Accord de libre-échange entre l</w:t>
      </w:r>
      <w:r>
        <w:rPr>
          <w:lang w:val="fr-FR"/>
        </w:rPr>
        <w:t>’</w:t>
      </w:r>
      <w:r w:rsidRPr="008C5911">
        <w:rPr>
          <w:lang w:val="fr-FR"/>
        </w:rPr>
        <w:t>Union européenne et ses États membres, d</w:t>
      </w:r>
      <w:r>
        <w:rPr>
          <w:lang w:val="fr-FR"/>
        </w:rPr>
        <w:t>’</w:t>
      </w:r>
      <w:r w:rsidRPr="008C5911">
        <w:rPr>
          <w:lang w:val="fr-FR"/>
        </w:rPr>
        <w:t>une part, et la République de Corée, d</w:t>
      </w:r>
      <w:r>
        <w:rPr>
          <w:lang w:val="fr-FR"/>
        </w:rPr>
        <w:t>’</w:t>
      </w:r>
      <w:r w:rsidRPr="008C5911">
        <w:rPr>
          <w:lang w:val="fr-FR"/>
        </w:rPr>
        <w:t>autre part (Bruxelles, 6 octobre 2010)</w:t>
      </w:r>
      <w:bookmarkStart w:id="0" w:name="_Ref82001757"/>
      <w:r w:rsidRPr="00F22830">
        <w:rPr>
          <w:rStyle w:val="FootnoteReference"/>
        </w:rPr>
        <w:footnoteReference w:id="18"/>
      </w:r>
      <w:bookmarkEnd w:id="0"/>
      <w:r w:rsidRPr="008C5911">
        <w:rPr>
          <w:lang w:val="fr-FR"/>
        </w:rPr>
        <w:t> :</w:t>
      </w:r>
    </w:p>
    <w:p w14:paraId="62C3B205" w14:textId="77777777" w:rsidR="00507F03" w:rsidRPr="008C5911" w:rsidRDefault="00507F03" w:rsidP="00507F03">
      <w:pPr>
        <w:pStyle w:val="SingleTxtG"/>
        <w:ind w:left="1701"/>
        <w:jc w:val="left"/>
        <w:rPr>
          <w:b/>
          <w:bCs/>
          <w:lang w:val="fr-FR"/>
        </w:rPr>
      </w:pPr>
      <w:r w:rsidRPr="008C5911">
        <w:rPr>
          <w:b/>
          <w:bCs/>
          <w:lang w:val="fr-FR"/>
        </w:rPr>
        <w:t>Article 15</w:t>
      </w:r>
      <w:r w:rsidRPr="00F22925">
        <w:rPr>
          <w:b/>
          <w:bCs/>
          <w:lang w:val="fr-FR"/>
        </w:rPr>
        <w:t>.</w:t>
      </w:r>
      <w:r w:rsidRPr="008C5911">
        <w:rPr>
          <w:b/>
          <w:bCs/>
          <w:lang w:val="fr-FR"/>
        </w:rPr>
        <w:t xml:space="preserve">10 </w:t>
      </w:r>
      <w:r w:rsidRPr="008C5911">
        <w:rPr>
          <w:b/>
          <w:bCs/>
          <w:lang w:val="fr-FR"/>
        </w:rPr>
        <w:br/>
        <w:t>Entrée en vigueur</w:t>
      </w:r>
    </w:p>
    <w:p w14:paraId="08914A1A"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48D48A95" w14:textId="77777777" w:rsidR="00507F03" w:rsidRPr="008C5911" w:rsidRDefault="00507F03" w:rsidP="00507F03">
      <w:pPr>
        <w:pStyle w:val="SingleTxtG"/>
        <w:ind w:left="1701"/>
        <w:rPr>
          <w:lang w:val="fr-CA"/>
        </w:rPr>
      </w:pPr>
      <w:r w:rsidRPr="008C5911">
        <w:rPr>
          <w:lang w:val="fr-FR"/>
        </w:rPr>
        <w:t>5</w:t>
      </w:r>
      <w:r w:rsidRPr="00F22925">
        <w:rPr>
          <w:lang w:val="fr-FR"/>
        </w:rPr>
        <w:t>.</w:t>
      </w:r>
      <w:r>
        <w:rPr>
          <w:lang w:val="fr-FR"/>
        </w:rPr>
        <w:tab/>
      </w:r>
      <w:r w:rsidRPr="008C5911">
        <w:rPr>
          <w:lang w:val="fr-FR"/>
        </w:rPr>
        <w:t>a)</w:t>
      </w:r>
      <w:r w:rsidRPr="008C5911">
        <w:rPr>
          <w:lang w:val="fr-FR"/>
        </w:rPr>
        <w:tab/>
        <w:t>Le présent accord s</w:t>
      </w:r>
      <w:r>
        <w:rPr>
          <w:lang w:val="fr-FR"/>
        </w:rPr>
        <w:t>’</w:t>
      </w:r>
      <w:r w:rsidRPr="008C5911">
        <w:rPr>
          <w:lang w:val="fr-FR"/>
        </w:rPr>
        <w:t>applique à titre provisoire dès le premier jour du mois suivant la date à laquelle la partie UE et la Corée se sont notifié l</w:t>
      </w:r>
      <w:r>
        <w:rPr>
          <w:lang w:val="fr-FR"/>
        </w:rPr>
        <w:t>’</w:t>
      </w:r>
      <w:r w:rsidRPr="008C5911">
        <w:rPr>
          <w:lang w:val="fr-FR"/>
        </w:rPr>
        <w:t>accomplissement de leurs procédures pertinentes respectives ;</w:t>
      </w:r>
    </w:p>
    <w:p w14:paraId="1CD54661"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3CF9BF52" w14:textId="77777777" w:rsidR="00507F03" w:rsidRPr="00E44216" w:rsidRDefault="00507F03" w:rsidP="00507F03">
      <w:pPr>
        <w:pStyle w:val="H4G"/>
        <w:rPr>
          <w:lang w:val="fr-CA"/>
        </w:rPr>
      </w:pPr>
      <w:r w:rsidRPr="008C5911">
        <w:rPr>
          <w:lang w:val="fr-CA"/>
        </w:rPr>
        <w:tab/>
      </w:r>
      <w:r w:rsidRPr="00E44216">
        <w:rPr>
          <w:lang w:val="fr-CA"/>
        </w:rPr>
        <w:t>b)</w:t>
      </w:r>
      <w:r w:rsidRPr="00E44216">
        <w:rPr>
          <w:lang w:val="fr-CA"/>
        </w:rPr>
        <w:tab/>
      </w:r>
      <w:r w:rsidRPr="00E44216">
        <w:rPr>
          <w:lang w:val="fr-FR"/>
        </w:rPr>
        <w:t>Traités multilatéraux</w:t>
      </w:r>
    </w:p>
    <w:p w14:paraId="542D7C96" w14:textId="77777777" w:rsidR="00507F03" w:rsidRPr="00E44216" w:rsidRDefault="00507F03" w:rsidP="00507F03">
      <w:pPr>
        <w:pStyle w:val="SingleTxtG"/>
        <w:rPr>
          <w:lang w:val="fr-CA"/>
        </w:rPr>
      </w:pPr>
      <w:r w:rsidRPr="00E44216">
        <w:rPr>
          <w:lang w:val="fr-FR"/>
        </w:rPr>
        <w:t>16.</w:t>
      </w:r>
      <w:r w:rsidRPr="00E44216">
        <w:rPr>
          <w:lang w:val="fr-FR"/>
        </w:rPr>
        <w:tab/>
        <w:t>Accord aux fins de l</w:t>
      </w:r>
      <w:r>
        <w:rPr>
          <w:lang w:val="fr-FR"/>
        </w:rPr>
        <w:t>’</w:t>
      </w:r>
      <w:r w:rsidRPr="00E44216">
        <w:rPr>
          <w:lang w:val="fr-FR"/>
        </w:rPr>
        <w:t>application des dispositions de la Convention des Nations Unies sur le droit de la mer du 10 décembre 1982 relatives à la conservation et à la gestion des stocks de poissons dont les déplacements s</w:t>
      </w:r>
      <w:r>
        <w:rPr>
          <w:lang w:val="fr-FR"/>
        </w:rPr>
        <w:t>’</w:t>
      </w:r>
      <w:r w:rsidRPr="00E44216">
        <w:rPr>
          <w:lang w:val="fr-FR"/>
        </w:rPr>
        <w:t>effectuent tant à l</w:t>
      </w:r>
      <w:r>
        <w:rPr>
          <w:lang w:val="fr-FR"/>
        </w:rPr>
        <w:t>’</w:t>
      </w:r>
      <w:r w:rsidRPr="00E44216">
        <w:rPr>
          <w:lang w:val="fr-FR"/>
        </w:rPr>
        <w:t>intérieur qu</w:t>
      </w:r>
      <w:r>
        <w:rPr>
          <w:lang w:val="fr-FR"/>
        </w:rPr>
        <w:t>’</w:t>
      </w:r>
      <w:r w:rsidRPr="00E44216">
        <w:rPr>
          <w:lang w:val="fr-FR"/>
        </w:rPr>
        <w:t>au-delà de zones économiques exclusives (stocks chevauchants) et des stocks de poissons grands migrateurs (New York, 4 août 1995)</w:t>
      </w:r>
      <w:bookmarkStart w:id="1" w:name="_Ref82002179"/>
      <w:r w:rsidRPr="00E44216">
        <w:rPr>
          <w:rStyle w:val="FootnoteReference"/>
        </w:rPr>
        <w:footnoteReference w:id="19"/>
      </w:r>
      <w:bookmarkEnd w:id="1"/>
      <w:r w:rsidRPr="00E44216">
        <w:rPr>
          <w:lang w:val="fr-FR"/>
        </w:rPr>
        <w:t> :</w:t>
      </w:r>
    </w:p>
    <w:p w14:paraId="7011717D" w14:textId="77777777" w:rsidR="00507F03" w:rsidRPr="00E44216" w:rsidRDefault="00507F03" w:rsidP="00507F03">
      <w:pPr>
        <w:pStyle w:val="SingleTxtG"/>
        <w:ind w:left="1701"/>
        <w:jc w:val="left"/>
        <w:rPr>
          <w:b/>
          <w:bCs/>
          <w:lang w:val="fr-CA"/>
        </w:rPr>
      </w:pPr>
      <w:r w:rsidRPr="00E44216">
        <w:rPr>
          <w:b/>
          <w:bCs/>
          <w:lang w:val="fr-FR"/>
        </w:rPr>
        <w:t xml:space="preserve">Article 41 </w:t>
      </w:r>
      <w:r w:rsidRPr="00E44216">
        <w:rPr>
          <w:b/>
          <w:bCs/>
          <w:lang w:val="fr-FR"/>
        </w:rPr>
        <w:br/>
        <w:t>Application provisoire</w:t>
      </w:r>
    </w:p>
    <w:p w14:paraId="683BB0EF" w14:textId="77777777" w:rsidR="00507F03" w:rsidRPr="00E44216" w:rsidRDefault="00507F03" w:rsidP="00507F03">
      <w:pPr>
        <w:pStyle w:val="SingleTxtG"/>
        <w:ind w:left="1701"/>
        <w:rPr>
          <w:lang w:val="fr-CA"/>
        </w:rPr>
      </w:pPr>
      <w:r w:rsidRPr="00E44216">
        <w:rPr>
          <w:lang w:val="fr-FR"/>
        </w:rPr>
        <w:t>1.</w:t>
      </w:r>
      <w:r w:rsidRPr="00E44216">
        <w:rPr>
          <w:lang w:val="fr-FR"/>
        </w:rPr>
        <w:tab/>
        <w:t>Le présent Accord est appliqué à titre provisoire par tout État ou entité qui consent à son application provisoire en adressant au dépositaire une notification écrite à cet effet. Cette application provisoire prend effet à compter de la date de réception de la notification.</w:t>
      </w:r>
    </w:p>
    <w:p w14:paraId="54FFA9A6" w14:textId="77777777" w:rsidR="00507F03" w:rsidRPr="00E44216" w:rsidRDefault="00507F03" w:rsidP="00507F03">
      <w:pPr>
        <w:pStyle w:val="SingleTxtG"/>
        <w:rPr>
          <w:u w:val="single"/>
          <w:lang w:val="fr-CA"/>
        </w:rPr>
      </w:pPr>
      <w:r w:rsidRPr="00E44216">
        <w:rPr>
          <w:lang w:val="fr-FR"/>
        </w:rPr>
        <w:t>17.</w:t>
      </w:r>
      <w:r w:rsidRPr="00E44216">
        <w:rPr>
          <w:lang w:val="fr-FR"/>
        </w:rPr>
        <w:tab/>
        <w:t>Accord international de 2001 sur le cacao (Genève, 2 mars 2001)</w:t>
      </w:r>
      <w:r w:rsidRPr="00E44216">
        <w:rPr>
          <w:rStyle w:val="FootnoteReference"/>
        </w:rPr>
        <w:footnoteReference w:id="20"/>
      </w:r>
      <w:r w:rsidRPr="00E44216">
        <w:rPr>
          <w:lang w:val="fr-FR"/>
        </w:rPr>
        <w:t> :</w:t>
      </w:r>
    </w:p>
    <w:p w14:paraId="6F1C2390" w14:textId="77777777" w:rsidR="00507F03" w:rsidRPr="00E44216" w:rsidRDefault="00507F03" w:rsidP="00507F03">
      <w:pPr>
        <w:pStyle w:val="SingleTxtG"/>
        <w:ind w:left="1701"/>
        <w:jc w:val="left"/>
        <w:rPr>
          <w:b/>
          <w:bCs/>
          <w:lang w:val="fr-CA"/>
        </w:rPr>
      </w:pPr>
      <w:r w:rsidRPr="00E44216">
        <w:rPr>
          <w:b/>
          <w:bCs/>
          <w:lang w:val="fr-FR"/>
        </w:rPr>
        <w:t>Article 57</w:t>
      </w:r>
      <w:r w:rsidRPr="00E44216">
        <w:rPr>
          <w:lang w:val="fr-FR"/>
        </w:rPr>
        <w:t xml:space="preserve"> </w:t>
      </w:r>
      <w:r w:rsidRPr="00E44216">
        <w:rPr>
          <w:lang w:val="fr-FR"/>
        </w:rPr>
        <w:br/>
      </w:r>
      <w:r w:rsidRPr="00E44216">
        <w:rPr>
          <w:b/>
          <w:bCs/>
          <w:lang w:val="fr-FR"/>
        </w:rPr>
        <w:t>Notification d</w:t>
      </w:r>
      <w:r>
        <w:rPr>
          <w:b/>
          <w:bCs/>
          <w:lang w:val="fr-FR"/>
        </w:rPr>
        <w:t>’</w:t>
      </w:r>
      <w:r w:rsidRPr="00E44216">
        <w:rPr>
          <w:b/>
          <w:bCs/>
          <w:lang w:val="fr-FR"/>
        </w:rPr>
        <w:t>application à titre provisoire</w:t>
      </w:r>
    </w:p>
    <w:p w14:paraId="258D387C" w14:textId="77777777" w:rsidR="00507F03" w:rsidRPr="00E44216" w:rsidRDefault="00507F03" w:rsidP="00507F03">
      <w:pPr>
        <w:pStyle w:val="SingleTxtG"/>
        <w:ind w:left="1701"/>
        <w:rPr>
          <w:lang w:val="fr-CA"/>
        </w:rPr>
      </w:pPr>
      <w:r w:rsidRPr="00E44216">
        <w:rPr>
          <w:lang w:val="fr-FR"/>
        </w:rPr>
        <w:t>1.</w:t>
      </w:r>
      <w:r w:rsidRPr="00E44216">
        <w:rPr>
          <w:lang w:val="fr-FR"/>
        </w:rPr>
        <w:tab/>
        <w:t>Un gouvernement signataire qui a l</w:t>
      </w:r>
      <w:r>
        <w:rPr>
          <w:lang w:val="fr-FR"/>
        </w:rPr>
        <w:t>’</w:t>
      </w:r>
      <w:r w:rsidRPr="00E44216">
        <w:rPr>
          <w:lang w:val="fr-FR"/>
        </w:rPr>
        <w:t>intention de ratifier, d</w:t>
      </w:r>
      <w:r>
        <w:rPr>
          <w:lang w:val="fr-FR"/>
        </w:rPr>
        <w:t>’</w:t>
      </w:r>
      <w:r w:rsidRPr="00E44216">
        <w:rPr>
          <w:lang w:val="fr-FR"/>
        </w:rPr>
        <w:t>accepter ou d</w:t>
      </w:r>
      <w:r>
        <w:rPr>
          <w:lang w:val="fr-FR"/>
        </w:rPr>
        <w:t>’</w:t>
      </w:r>
      <w:r w:rsidRPr="00E44216">
        <w:rPr>
          <w:lang w:val="fr-FR"/>
        </w:rPr>
        <w:t>approuver le présent Accord ou un gouvernement qui a l</w:t>
      </w:r>
      <w:r>
        <w:rPr>
          <w:lang w:val="fr-FR"/>
        </w:rPr>
        <w:t>’</w:t>
      </w:r>
      <w:r w:rsidRPr="00E44216">
        <w:rPr>
          <w:lang w:val="fr-FR"/>
        </w:rPr>
        <w:t>intention d</w:t>
      </w:r>
      <w:r>
        <w:rPr>
          <w:lang w:val="fr-FR"/>
        </w:rPr>
        <w:t>’</w:t>
      </w:r>
      <w:r w:rsidRPr="00E44216">
        <w:rPr>
          <w:lang w:val="fr-FR"/>
        </w:rPr>
        <w:t>y adhérer, mais qui n</w:t>
      </w:r>
      <w:r>
        <w:rPr>
          <w:lang w:val="fr-FR"/>
        </w:rPr>
        <w:t>’</w:t>
      </w:r>
      <w:r w:rsidRPr="00E44216">
        <w:rPr>
          <w:lang w:val="fr-FR"/>
        </w:rPr>
        <w:t>a pas encore pu déposer son instrument, peut à tout moment notifier au dépositaire que, conformément à sa procédure constitutionnelle et/ou à ses lois et règlements nationaux, il appliquera le présent Accord à titre provisoire soit quand celui-ci entrera en vigueur conformément à l</w:t>
      </w:r>
      <w:r>
        <w:rPr>
          <w:lang w:val="fr-FR"/>
        </w:rPr>
        <w:t>’</w:t>
      </w:r>
      <w:r w:rsidRPr="00E44216">
        <w:rPr>
          <w:lang w:val="fr-FR"/>
        </w:rPr>
        <w:t>article 62, soit, s</w:t>
      </w:r>
      <w:r>
        <w:rPr>
          <w:lang w:val="fr-FR"/>
        </w:rPr>
        <w:t>’</w:t>
      </w:r>
      <w:r w:rsidRPr="00E44216">
        <w:rPr>
          <w:lang w:val="fr-FR"/>
        </w:rPr>
        <w:t>il est déjà en vigueur, à une date spécifiée. Chaque gouvernement qui fait cette notification déclare, au moment où il la fait, s</w:t>
      </w:r>
      <w:r>
        <w:rPr>
          <w:lang w:val="fr-FR"/>
        </w:rPr>
        <w:t>’</w:t>
      </w:r>
      <w:r w:rsidRPr="00E44216">
        <w:rPr>
          <w:lang w:val="fr-FR"/>
        </w:rPr>
        <w:t>il sera Membre exportateur ou Membre importateur.</w:t>
      </w:r>
    </w:p>
    <w:p w14:paraId="35BCB98D" w14:textId="77777777" w:rsidR="00507F03" w:rsidRPr="00E44216" w:rsidRDefault="00507F03" w:rsidP="00507F03">
      <w:pPr>
        <w:pStyle w:val="SingleTxtG"/>
        <w:ind w:left="1701"/>
        <w:rPr>
          <w:lang w:val="fr-CA"/>
        </w:rPr>
      </w:pPr>
      <w:r w:rsidRPr="00E44216">
        <w:rPr>
          <w:lang w:val="fr-FR"/>
        </w:rPr>
        <w:t>2.</w:t>
      </w:r>
      <w:r w:rsidRPr="00E44216">
        <w:rPr>
          <w:lang w:val="fr-FR"/>
        </w:rPr>
        <w:tab/>
        <w:t>Un gouvernement qui a notifié, conformément au paragraphe 1 du présent article, qu</w:t>
      </w:r>
      <w:r>
        <w:rPr>
          <w:lang w:val="fr-FR"/>
        </w:rPr>
        <w:t>’</w:t>
      </w:r>
      <w:r w:rsidRPr="00E44216">
        <w:rPr>
          <w:lang w:val="fr-FR"/>
        </w:rPr>
        <w:t>il appliquera le présent Accord soit quand celui-ci entrera en vigueur, soit à une date spécifiée, est dès lors Membre à titre provisoire. Il reste Membre à titre provisoire jusqu</w:t>
      </w:r>
      <w:r>
        <w:rPr>
          <w:lang w:val="fr-FR"/>
        </w:rPr>
        <w:t>’</w:t>
      </w:r>
      <w:r w:rsidRPr="00E44216">
        <w:rPr>
          <w:lang w:val="fr-FR"/>
        </w:rPr>
        <w:t>à la date de dépôt de son instrument de ratification, d</w:t>
      </w:r>
      <w:r>
        <w:rPr>
          <w:lang w:val="fr-FR"/>
        </w:rPr>
        <w:t>’</w:t>
      </w:r>
      <w:r w:rsidRPr="00E44216">
        <w:rPr>
          <w:lang w:val="fr-FR"/>
        </w:rPr>
        <w:t>acceptation, d</w:t>
      </w:r>
      <w:r>
        <w:rPr>
          <w:lang w:val="fr-FR"/>
        </w:rPr>
        <w:t>’</w:t>
      </w:r>
      <w:r w:rsidRPr="00E44216">
        <w:rPr>
          <w:lang w:val="fr-FR"/>
        </w:rPr>
        <w:t>approbation ou d</w:t>
      </w:r>
      <w:r>
        <w:rPr>
          <w:lang w:val="fr-FR"/>
        </w:rPr>
        <w:t>’</w:t>
      </w:r>
      <w:r w:rsidRPr="00E44216">
        <w:rPr>
          <w:lang w:val="fr-FR"/>
        </w:rPr>
        <w:t>adhésion.</w:t>
      </w:r>
    </w:p>
    <w:p w14:paraId="24271B29" w14:textId="77777777" w:rsidR="00507F03" w:rsidRPr="00E44216" w:rsidRDefault="00507F03" w:rsidP="00507F03">
      <w:pPr>
        <w:pStyle w:val="SingleTxtG"/>
        <w:keepNext/>
        <w:rPr>
          <w:lang w:val="fr-CA"/>
        </w:rPr>
      </w:pPr>
      <w:r w:rsidRPr="00E44216">
        <w:rPr>
          <w:lang w:val="fr-FR"/>
        </w:rPr>
        <w:lastRenderedPageBreak/>
        <w:t>18.</w:t>
      </w:r>
      <w:r w:rsidRPr="00E44216">
        <w:rPr>
          <w:lang w:val="fr-FR"/>
        </w:rPr>
        <w:tab/>
        <w:t>Convention sur les armes à sous-munitions (Dublin, 30 mai 2008)</w:t>
      </w:r>
      <w:r w:rsidRPr="00E44216">
        <w:rPr>
          <w:rStyle w:val="FootnoteReference"/>
        </w:rPr>
        <w:footnoteReference w:id="21"/>
      </w:r>
      <w:r w:rsidRPr="00E44216">
        <w:rPr>
          <w:lang w:val="fr-FR"/>
        </w:rPr>
        <w:t> :</w:t>
      </w:r>
    </w:p>
    <w:p w14:paraId="0B49AB92" w14:textId="77777777" w:rsidR="00507F03" w:rsidRPr="00E44216" w:rsidRDefault="00507F03" w:rsidP="00507F03">
      <w:pPr>
        <w:pStyle w:val="SingleTxtG"/>
        <w:ind w:left="1701"/>
        <w:jc w:val="left"/>
        <w:rPr>
          <w:b/>
          <w:bCs/>
          <w:lang w:val="fr-CA"/>
        </w:rPr>
      </w:pPr>
      <w:r w:rsidRPr="00E44216">
        <w:rPr>
          <w:b/>
          <w:bCs/>
          <w:lang w:val="fr-FR"/>
        </w:rPr>
        <w:t>Article 18</w:t>
      </w:r>
      <w:r w:rsidRPr="00E44216">
        <w:rPr>
          <w:lang w:val="fr-FR"/>
        </w:rPr>
        <w:t xml:space="preserve"> </w:t>
      </w:r>
      <w:r w:rsidRPr="00E44216">
        <w:rPr>
          <w:lang w:val="fr-FR"/>
        </w:rPr>
        <w:br/>
      </w:r>
      <w:r w:rsidRPr="00E44216">
        <w:rPr>
          <w:b/>
          <w:bCs/>
          <w:lang w:val="fr-FR"/>
        </w:rPr>
        <w:t>Application à titre provisoire</w:t>
      </w:r>
    </w:p>
    <w:p w14:paraId="2447B1F1" w14:textId="77777777" w:rsidR="00507F03" w:rsidRPr="00E44216" w:rsidRDefault="00507F03" w:rsidP="00507F03">
      <w:pPr>
        <w:pStyle w:val="SingleTxtG"/>
        <w:ind w:left="1701"/>
        <w:rPr>
          <w:lang w:val="fr-CA"/>
        </w:rPr>
      </w:pPr>
      <w:r w:rsidRPr="00E44216">
        <w:rPr>
          <w:lang w:val="fr-FR"/>
        </w:rPr>
        <w:tab/>
        <w:t>Un État peut, au moment de la ratification, de l</w:t>
      </w:r>
      <w:r>
        <w:rPr>
          <w:lang w:val="fr-FR"/>
        </w:rPr>
        <w:t>’</w:t>
      </w:r>
      <w:r w:rsidRPr="00E44216">
        <w:rPr>
          <w:lang w:val="fr-FR"/>
        </w:rPr>
        <w:t>acceptation, de l</w:t>
      </w:r>
      <w:r>
        <w:rPr>
          <w:lang w:val="fr-FR"/>
        </w:rPr>
        <w:t>’</w:t>
      </w:r>
      <w:r w:rsidRPr="00E44216">
        <w:rPr>
          <w:lang w:val="fr-FR"/>
        </w:rPr>
        <w:t>approbation de la présente Convention, ou de l</w:t>
      </w:r>
      <w:r>
        <w:rPr>
          <w:lang w:val="fr-FR"/>
        </w:rPr>
        <w:t>’</w:t>
      </w:r>
      <w:r w:rsidRPr="00E44216">
        <w:rPr>
          <w:lang w:val="fr-FR"/>
        </w:rPr>
        <w:t>adhésion à celle-ci, déclarer qu</w:t>
      </w:r>
      <w:r>
        <w:rPr>
          <w:lang w:val="fr-FR"/>
        </w:rPr>
        <w:t>’</w:t>
      </w:r>
      <w:r w:rsidRPr="00E44216">
        <w:rPr>
          <w:lang w:val="fr-FR"/>
        </w:rPr>
        <w:t>il en appliquera, à titre provisoire, l</w:t>
      </w:r>
      <w:r>
        <w:rPr>
          <w:lang w:val="fr-FR"/>
        </w:rPr>
        <w:t>’</w:t>
      </w:r>
      <w:r w:rsidRPr="00E44216">
        <w:rPr>
          <w:lang w:val="fr-FR"/>
        </w:rPr>
        <w:t xml:space="preserve">article 1 de la présente Convention en attendant son entrée en vigueur pour cet État. </w:t>
      </w:r>
    </w:p>
    <w:p w14:paraId="6D824357" w14:textId="77777777" w:rsidR="00507F03" w:rsidRPr="00E44216" w:rsidRDefault="00507F03" w:rsidP="00507F03">
      <w:pPr>
        <w:pStyle w:val="SingleTxtG"/>
        <w:rPr>
          <w:lang w:val="fr-CA"/>
        </w:rPr>
      </w:pPr>
      <w:r w:rsidRPr="00E44216">
        <w:rPr>
          <w:lang w:val="fr-FR"/>
        </w:rPr>
        <w:t>19.</w:t>
      </w:r>
      <w:r w:rsidRPr="00E44216">
        <w:rPr>
          <w:lang w:val="fr-FR"/>
        </w:rPr>
        <w:tab/>
        <w:t>Traité sur le commerce des armes (New York, 2 avril 2013)</w:t>
      </w:r>
      <w:bookmarkStart w:id="2" w:name="_Ref81999827"/>
      <w:r w:rsidRPr="00E44216">
        <w:rPr>
          <w:rStyle w:val="FootnoteReference"/>
        </w:rPr>
        <w:footnoteReference w:id="22"/>
      </w:r>
      <w:bookmarkEnd w:id="2"/>
      <w:r w:rsidRPr="00E44216">
        <w:rPr>
          <w:lang w:val="fr-FR"/>
        </w:rPr>
        <w:t> :</w:t>
      </w:r>
    </w:p>
    <w:p w14:paraId="395E43D0" w14:textId="77777777" w:rsidR="00507F03" w:rsidRPr="00E44216" w:rsidRDefault="00507F03" w:rsidP="00507F03">
      <w:pPr>
        <w:pStyle w:val="SingleTxtG"/>
        <w:ind w:left="1701"/>
        <w:jc w:val="left"/>
        <w:rPr>
          <w:b/>
          <w:bCs/>
          <w:lang w:val="fr-CA"/>
        </w:rPr>
      </w:pPr>
      <w:r w:rsidRPr="00E44216">
        <w:rPr>
          <w:b/>
          <w:bCs/>
          <w:lang w:val="fr-FR"/>
        </w:rPr>
        <w:t>Article 23</w:t>
      </w:r>
      <w:r w:rsidRPr="00E44216">
        <w:rPr>
          <w:lang w:val="fr-FR"/>
        </w:rPr>
        <w:t xml:space="preserve"> </w:t>
      </w:r>
      <w:r w:rsidRPr="00E44216">
        <w:rPr>
          <w:lang w:val="fr-FR"/>
        </w:rPr>
        <w:br/>
      </w:r>
      <w:r w:rsidRPr="00E44216">
        <w:rPr>
          <w:b/>
          <w:bCs/>
          <w:lang w:val="fr-FR"/>
        </w:rPr>
        <w:t>Application à titre provisoire</w:t>
      </w:r>
    </w:p>
    <w:p w14:paraId="705C48EB" w14:textId="77777777" w:rsidR="00507F03" w:rsidRPr="00E44216" w:rsidRDefault="00507F03" w:rsidP="00507F03">
      <w:pPr>
        <w:pStyle w:val="SingleTxtG"/>
        <w:ind w:left="1701"/>
        <w:rPr>
          <w:lang w:val="fr-CA"/>
        </w:rPr>
      </w:pPr>
      <w:r w:rsidRPr="00E44216">
        <w:rPr>
          <w:lang w:val="fr-FR"/>
        </w:rPr>
        <w:tab/>
        <w:t>Tout État peut, au moment de la signature ou du dépôt de son instrument de ratification, déclarer qu</w:t>
      </w:r>
      <w:r>
        <w:rPr>
          <w:lang w:val="fr-FR"/>
        </w:rPr>
        <w:t>’</w:t>
      </w:r>
      <w:r w:rsidRPr="00E44216">
        <w:rPr>
          <w:lang w:val="fr-FR"/>
        </w:rPr>
        <w:t>il appliquera l</w:t>
      </w:r>
      <w:r>
        <w:rPr>
          <w:lang w:val="fr-FR"/>
        </w:rPr>
        <w:t>’</w:t>
      </w:r>
      <w:r w:rsidRPr="00E44216">
        <w:rPr>
          <w:lang w:val="fr-FR"/>
        </w:rPr>
        <w:t>article 6 et l</w:t>
      </w:r>
      <w:r>
        <w:rPr>
          <w:lang w:val="fr-FR"/>
        </w:rPr>
        <w:t>’</w:t>
      </w:r>
      <w:r w:rsidRPr="00E44216">
        <w:rPr>
          <w:lang w:val="fr-FR"/>
        </w:rPr>
        <w:t>article 7 à titre provisoire en attendant l</w:t>
      </w:r>
      <w:r>
        <w:rPr>
          <w:lang w:val="fr-FR"/>
        </w:rPr>
        <w:t>’</w:t>
      </w:r>
      <w:r w:rsidRPr="00E44216">
        <w:rPr>
          <w:lang w:val="fr-FR"/>
        </w:rPr>
        <w:t>entrée en vigueur du présent Traité à son égard.</w:t>
      </w:r>
    </w:p>
    <w:p w14:paraId="1F664EB8" w14:textId="77777777" w:rsidR="00507F03" w:rsidRPr="00E44216" w:rsidRDefault="00507F03" w:rsidP="00507F03">
      <w:pPr>
        <w:pStyle w:val="H1G"/>
        <w:rPr>
          <w:lang w:val="fr-CA"/>
        </w:rPr>
      </w:pPr>
      <w:r w:rsidRPr="00E44216">
        <w:rPr>
          <w:lang w:val="fr-CA"/>
        </w:rPr>
        <w:tab/>
        <w:t>B.</w:t>
      </w:r>
      <w:r w:rsidRPr="00E44216">
        <w:rPr>
          <w:lang w:val="fr-CA"/>
        </w:rPr>
        <w:tab/>
      </w:r>
      <w:r w:rsidRPr="00E44216">
        <w:rPr>
          <w:lang w:val="fr-FR"/>
        </w:rPr>
        <w:t>Forme de l</w:t>
      </w:r>
      <w:r>
        <w:rPr>
          <w:lang w:val="fr-FR"/>
        </w:rPr>
        <w:t>’</w:t>
      </w:r>
      <w:r w:rsidRPr="00E44216">
        <w:rPr>
          <w:lang w:val="fr-FR"/>
        </w:rPr>
        <w:t>accord relatif à l</w:t>
      </w:r>
      <w:r>
        <w:rPr>
          <w:lang w:val="fr-FR"/>
        </w:rPr>
        <w:t>’</w:t>
      </w:r>
      <w:r w:rsidRPr="00E44216">
        <w:rPr>
          <w:lang w:val="fr-FR"/>
        </w:rPr>
        <w:t>application à titre provisoire</w:t>
      </w:r>
    </w:p>
    <w:p w14:paraId="32E69953" w14:textId="77777777" w:rsidR="00507F03" w:rsidRPr="00E44216" w:rsidRDefault="00507F03" w:rsidP="00507F03">
      <w:pPr>
        <w:pStyle w:val="SingleTxtG"/>
        <w:rPr>
          <w:lang w:val="fr-CA"/>
        </w:rPr>
      </w:pPr>
      <w:r w:rsidRPr="00E44216">
        <w:rPr>
          <w:lang w:val="fr-FR"/>
        </w:rPr>
        <w:tab/>
        <w:t>À titre d</w:t>
      </w:r>
      <w:r>
        <w:rPr>
          <w:lang w:val="fr-FR"/>
        </w:rPr>
        <w:t>’</w:t>
      </w:r>
      <w:r w:rsidRPr="00E44216">
        <w:rPr>
          <w:lang w:val="fr-FR"/>
        </w:rPr>
        <w:t>exemple de formes d</w:t>
      </w:r>
      <w:r>
        <w:rPr>
          <w:lang w:val="fr-FR"/>
        </w:rPr>
        <w:t>’</w:t>
      </w:r>
      <w:r w:rsidRPr="00E44216">
        <w:rPr>
          <w:lang w:val="fr-FR"/>
        </w:rPr>
        <w:t>accord relatif à l</w:t>
      </w:r>
      <w:r>
        <w:rPr>
          <w:lang w:val="fr-FR"/>
        </w:rPr>
        <w:t>’</w:t>
      </w:r>
      <w:r w:rsidRPr="00E44216">
        <w:rPr>
          <w:lang w:val="fr-FR"/>
        </w:rPr>
        <w:t>application provisoire, on peut retenir :</w:t>
      </w:r>
    </w:p>
    <w:p w14:paraId="5394CCA2" w14:textId="77777777" w:rsidR="00507F03" w:rsidRPr="00E44216" w:rsidRDefault="00507F03" w:rsidP="00507F03">
      <w:pPr>
        <w:pStyle w:val="H4G"/>
        <w:rPr>
          <w:lang w:val="fr-CA"/>
        </w:rPr>
      </w:pPr>
      <w:r w:rsidRPr="00E44216">
        <w:rPr>
          <w:lang w:val="fr-CA"/>
        </w:rPr>
        <w:tab/>
        <w:t>a)</w:t>
      </w:r>
      <w:r w:rsidRPr="00E44216">
        <w:rPr>
          <w:lang w:val="fr-CA"/>
        </w:rPr>
        <w:tab/>
      </w:r>
      <w:r w:rsidRPr="00E44216">
        <w:rPr>
          <w:lang w:val="fr-FR"/>
        </w:rPr>
        <w:t xml:space="preserve">Traités bilatéraux </w:t>
      </w:r>
    </w:p>
    <w:p w14:paraId="0E7B47A2" w14:textId="77777777" w:rsidR="00507F03" w:rsidRPr="00E44216" w:rsidRDefault="00507F03" w:rsidP="00507F03">
      <w:pPr>
        <w:pStyle w:val="SingleTxtG"/>
        <w:rPr>
          <w:lang w:val="fr-CA"/>
        </w:rPr>
      </w:pPr>
      <w:r w:rsidRPr="00E44216">
        <w:rPr>
          <w:lang w:val="fr-FR"/>
        </w:rPr>
        <w:t>20.</w:t>
      </w:r>
      <w:r w:rsidRPr="00E44216">
        <w:rPr>
          <w:lang w:val="fr-FR"/>
        </w:rPr>
        <w:tab/>
        <w:t>Accord relatif à la fiscalité des revenus de l</w:t>
      </w:r>
      <w:r>
        <w:rPr>
          <w:lang w:val="fr-FR"/>
        </w:rPr>
        <w:t>’</w:t>
      </w:r>
      <w:r w:rsidRPr="00E44216">
        <w:rPr>
          <w:lang w:val="fr-FR"/>
        </w:rPr>
        <w:t>épargne et à son application provisoire (Bruxelles, 26 mai 2004 et La Haye, 9 novembre 2004)</w:t>
      </w:r>
      <w:r w:rsidRPr="00E44216">
        <w:rPr>
          <w:rStyle w:val="FootnoteReference"/>
        </w:rPr>
        <w:footnoteReference w:id="23"/>
      </w:r>
      <w:r w:rsidRPr="00E44216">
        <w:rPr>
          <w:lang w:val="fr-FR"/>
        </w:rPr>
        <w:t> :</w:t>
      </w:r>
    </w:p>
    <w:p w14:paraId="2A77D118" w14:textId="77777777" w:rsidR="00507F03" w:rsidRPr="00E44216" w:rsidRDefault="00507F03" w:rsidP="00507F03">
      <w:pPr>
        <w:pStyle w:val="SingleTxtG"/>
        <w:ind w:left="1701"/>
        <w:jc w:val="left"/>
        <w:rPr>
          <w:b/>
          <w:bCs/>
          <w:lang w:val="fr-CA"/>
        </w:rPr>
      </w:pPr>
      <w:r w:rsidRPr="00E44216">
        <w:rPr>
          <w:b/>
          <w:bCs/>
          <w:lang w:val="fr-FR"/>
        </w:rPr>
        <w:t>Lettre de l</w:t>
      </w:r>
      <w:r>
        <w:rPr>
          <w:b/>
          <w:bCs/>
          <w:lang w:val="fr-FR"/>
        </w:rPr>
        <w:t>’</w:t>
      </w:r>
      <w:r w:rsidRPr="00E44216">
        <w:rPr>
          <w:b/>
          <w:bCs/>
          <w:lang w:val="fr-FR"/>
        </w:rPr>
        <w:t>Allemagne aux Pays-Bas</w:t>
      </w:r>
    </w:p>
    <w:p w14:paraId="519D44E2" w14:textId="77777777" w:rsidR="00507F03" w:rsidRPr="00E44216" w:rsidRDefault="00507F03" w:rsidP="00507F03">
      <w:pPr>
        <w:pStyle w:val="SingleTxtG"/>
        <w:ind w:left="1701"/>
        <w:jc w:val="left"/>
        <w:rPr>
          <w:lang w:val="fr-FR"/>
        </w:rPr>
      </w:pPr>
      <w:r w:rsidRPr="00E44216">
        <w:rPr>
          <w:lang w:val="fr-FR"/>
        </w:rPr>
        <w:t>[...]</w:t>
      </w:r>
    </w:p>
    <w:p w14:paraId="196870AA" w14:textId="77777777" w:rsidR="00507F03" w:rsidRPr="00E44216" w:rsidRDefault="00507F03" w:rsidP="00507F03">
      <w:pPr>
        <w:pStyle w:val="SingleTxtG"/>
        <w:ind w:left="1701"/>
        <w:rPr>
          <w:lang w:val="fr-CA"/>
        </w:rPr>
      </w:pPr>
      <w:r w:rsidRPr="00E44216">
        <w:rPr>
          <w:lang w:val="fr-FR"/>
        </w:rPr>
        <w:tab/>
        <w:t>Dans l</w:t>
      </w:r>
      <w:r>
        <w:rPr>
          <w:lang w:val="fr-FR"/>
        </w:rPr>
        <w:t>’</w:t>
      </w:r>
      <w:r w:rsidRPr="00E44216">
        <w:rPr>
          <w:lang w:val="fr-FR"/>
        </w:rPr>
        <w:t>attente de l</w:t>
      </w:r>
      <w:r>
        <w:rPr>
          <w:lang w:val="fr-FR"/>
        </w:rPr>
        <w:t>’</w:t>
      </w:r>
      <w:r w:rsidRPr="00E44216">
        <w:rPr>
          <w:lang w:val="fr-FR"/>
        </w:rPr>
        <w:t>accomplissement de ces procédures internes et de l</w:t>
      </w:r>
      <w:r>
        <w:rPr>
          <w:lang w:val="fr-FR"/>
        </w:rPr>
        <w:t>’</w:t>
      </w:r>
      <w:r w:rsidRPr="00E44216">
        <w:rPr>
          <w:lang w:val="fr-FR"/>
        </w:rPr>
        <w:t>entrée en vigueur de « l</w:t>
      </w:r>
      <w:r>
        <w:rPr>
          <w:lang w:val="fr-FR"/>
        </w:rPr>
        <w:t>’</w:t>
      </w:r>
      <w:r w:rsidRPr="00E44216">
        <w:rPr>
          <w:lang w:val="fr-FR"/>
        </w:rPr>
        <w:t>Accord relatif à l</w:t>
      </w:r>
      <w:r>
        <w:rPr>
          <w:lang w:val="fr-FR"/>
        </w:rPr>
        <w:t>’</w:t>
      </w:r>
      <w:r w:rsidRPr="00E44216">
        <w:rPr>
          <w:lang w:val="fr-FR"/>
        </w:rPr>
        <w:t>échange automatique d</w:t>
      </w:r>
      <w:r>
        <w:rPr>
          <w:lang w:val="fr-FR"/>
        </w:rPr>
        <w:t>’</w:t>
      </w:r>
      <w:r w:rsidRPr="00E44216">
        <w:rPr>
          <w:lang w:val="fr-FR"/>
        </w:rPr>
        <w:t>informations concernant les revenus de l</w:t>
      </w:r>
      <w:r>
        <w:rPr>
          <w:lang w:val="fr-FR"/>
        </w:rPr>
        <w:t>’</w:t>
      </w:r>
      <w:r w:rsidRPr="00E44216">
        <w:rPr>
          <w:lang w:val="fr-FR"/>
        </w:rPr>
        <w:t>épargne sous forme de paiements d</w:t>
      </w:r>
      <w:r>
        <w:rPr>
          <w:lang w:val="fr-FR"/>
        </w:rPr>
        <w:t>’</w:t>
      </w:r>
      <w:r w:rsidRPr="00E44216">
        <w:rPr>
          <w:lang w:val="fr-FR"/>
        </w:rPr>
        <w:t>intérêts » en question, j</w:t>
      </w:r>
      <w:r>
        <w:rPr>
          <w:lang w:val="fr-FR"/>
        </w:rPr>
        <w:t>’</w:t>
      </w:r>
      <w:r w:rsidRPr="00E44216">
        <w:rPr>
          <w:lang w:val="fr-FR"/>
        </w:rPr>
        <w:t>ai l</w:t>
      </w:r>
      <w:r>
        <w:rPr>
          <w:lang w:val="fr-FR"/>
        </w:rPr>
        <w:t>’</w:t>
      </w:r>
      <w:r w:rsidRPr="00E44216">
        <w:rPr>
          <w:lang w:val="fr-FR"/>
        </w:rPr>
        <w:t>honneur de proposer que la République fédérale d</w:t>
      </w:r>
      <w:r>
        <w:rPr>
          <w:lang w:val="fr-FR"/>
        </w:rPr>
        <w:t>’</w:t>
      </w:r>
      <w:r w:rsidRPr="00E44216">
        <w:rPr>
          <w:lang w:val="fr-FR"/>
        </w:rPr>
        <w:t>Allemagne et le Royaume des Pays-Bas pour ce qui est d</w:t>
      </w:r>
      <w:r>
        <w:rPr>
          <w:lang w:val="fr-FR"/>
        </w:rPr>
        <w:t>’</w:t>
      </w:r>
      <w:r w:rsidRPr="00E44216">
        <w:rPr>
          <w:lang w:val="fr-FR"/>
        </w:rPr>
        <w:t>Aruba appliquent ledit Accord à titre provisoire, dans le cadre de nos exigences constitutionnelles respectives, à compter du 1</w:t>
      </w:r>
      <w:r w:rsidRPr="00E44216">
        <w:rPr>
          <w:vertAlign w:val="superscript"/>
          <w:lang w:val="fr-FR"/>
        </w:rPr>
        <w:t>er</w:t>
      </w:r>
      <w:r w:rsidRPr="00E44216">
        <w:rPr>
          <w:lang w:val="fr-FR"/>
        </w:rPr>
        <w:t xml:space="preserve"> janvier 2005 ou de la date d</w:t>
      </w:r>
      <w:r>
        <w:rPr>
          <w:lang w:val="fr-FR"/>
        </w:rPr>
        <w:t>’</w:t>
      </w:r>
      <w:r w:rsidRPr="00E44216">
        <w:rPr>
          <w:lang w:val="fr-FR"/>
        </w:rPr>
        <w:t>application de la directive 2003/48/CE du Conseil du 3 juin 2003 en matière de fiscalité des revenus de l</w:t>
      </w:r>
      <w:r>
        <w:rPr>
          <w:lang w:val="fr-FR"/>
        </w:rPr>
        <w:t>’</w:t>
      </w:r>
      <w:r w:rsidRPr="00E44216">
        <w:rPr>
          <w:lang w:val="fr-FR"/>
        </w:rPr>
        <w:t>épargne sous forme de paiements d</w:t>
      </w:r>
      <w:r>
        <w:rPr>
          <w:lang w:val="fr-FR"/>
        </w:rPr>
        <w:t>’</w:t>
      </w:r>
      <w:r w:rsidRPr="00E44216">
        <w:rPr>
          <w:lang w:val="fr-FR"/>
        </w:rPr>
        <w:t>intérêts, la date la plus tardive étant retenue.</w:t>
      </w:r>
    </w:p>
    <w:p w14:paraId="56B6E613" w14:textId="77777777" w:rsidR="00507F03" w:rsidRPr="00E44216" w:rsidRDefault="00507F03" w:rsidP="00507F03">
      <w:pPr>
        <w:pStyle w:val="SingleTxtG"/>
        <w:ind w:left="1701"/>
        <w:jc w:val="left"/>
        <w:rPr>
          <w:lang w:val="fr-CA"/>
        </w:rPr>
      </w:pPr>
      <w:r w:rsidRPr="00E44216">
        <w:rPr>
          <w:lang w:val="fr-FR"/>
        </w:rPr>
        <w:t>[...]</w:t>
      </w:r>
    </w:p>
    <w:p w14:paraId="41A54935" w14:textId="77777777" w:rsidR="00507F03" w:rsidRPr="00E44216" w:rsidRDefault="00507F03" w:rsidP="00507F03">
      <w:pPr>
        <w:pStyle w:val="SingleTxtG"/>
        <w:ind w:left="1701"/>
        <w:jc w:val="left"/>
        <w:rPr>
          <w:b/>
          <w:bCs/>
          <w:lang w:val="fr-CA"/>
        </w:rPr>
      </w:pPr>
      <w:r w:rsidRPr="00E44216">
        <w:rPr>
          <w:b/>
          <w:bCs/>
          <w:lang w:val="fr-FR"/>
        </w:rPr>
        <w:t>Lettre des Pays-Bas à l</w:t>
      </w:r>
      <w:r>
        <w:rPr>
          <w:b/>
          <w:bCs/>
          <w:lang w:val="fr-FR"/>
        </w:rPr>
        <w:t>’</w:t>
      </w:r>
      <w:r w:rsidRPr="00E44216">
        <w:rPr>
          <w:b/>
          <w:bCs/>
          <w:lang w:val="fr-FR"/>
        </w:rPr>
        <w:t>Allemagne</w:t>
      </w:r>
    </w:p>
    <w:p w14:paraId="7CF65C14" w14:textId="77777777" w:rsidR="00507F03" w:rsidRPr="00E44216" w:rsidRDefault="00507F03" w:rsidP="00507F03">
      <w:pPr>
        <w:pStyle w:val="SingleTxtG"/>
        <w:ind w:left="1701"/>
        <w:jc w:val="left"/>
        <w:rPr>
          <w:lang w:val="fr-CA"/>
        </w:rPr>
      </w:pPr>
      <w:r w:rsidRPr="00E44216">
        <w:rPr>
          <w:lang w:val="fr-FR"/>
        </w:rPr>
        <w:t>[...]</w:t>
      </w:r>
    </w:p>
    <w:p w14:paraId="123765B4" w14:textId="77777777" w:rsidR="00507F03" w:rsidRPr="00E44216" w:rsidRDefault="00507F03" w:rsidP="00507F03">
      <w:pPr>
        <w:pStyle w:val="SingleTxtG"/>
        <w:ind w:left="1701"/>
        <w:rPr>
          <w:lang w:val="fr-CA"/>
        </w:rPr>
      </w:pPr>
      <w:r w:rsidRPr="00E44216">
        <w:rPr>
          <w:lang w:val="fr-FR"/>
        </w:rPr>
        <w:tab/>
        <w:t>Je suis en mesure de confirmer l</w:t>
      </w:r>
      <w:r>
        <w:rPr>
          <w:lang w:val="fr-FR"/>
        </w:rPr>
        <w:t>’</w:t>
      </w:r>
      <w:r w:rsidRPr="00E44216">
        <w:rPr>
          <w:lang w:val="fr-FR"/>
        </w:rPr>
        <w:t>accord du Royaume des Pays-Bas pour ce qui est d</w:t>
      </w:r>
      <w:r>
        <w:rPr>
          <w:lang w:val="fr-FR"/>
        </w:rPr>
        <w:t>’</w:t>
      </w:r>
      <w:r w:rsidRPr="00E44216">
        <w:rPr>
          <w:lang w:val="fr-FR"/>
        </w:rPr>
        <w:t>Aruba sur le contenu de votre lettre.</w:t>
      </w:r>
    </w:p>
    <w:p w14:paraId="7245565F" w14:textId="77777777" w:rsidR="00507F03" w:rsidRPr="00E44216" w:rsidRDefault="00507F03" w:rsidP="00507F03">
      <w:pPr>
        <w:pStyle w:val="SingleTxtG"/>
        <w:ind w:left="1701"/>
        <w:jc w:val="left"/>
        <w:rPr>
          <w:lang w:val="fr-CA"/>
        </w:rPr>
      </w:pPr>
      <w:r w:rsidRPr="00E44216">
        <w:rPr>
          <w:lang w:val="fr-FR"/>
        </w:rPr>
        <w:t>[...]</w:t>
      </w:r>
    </w:p>
    <w:p w14:paraId="690F6C40" w14:textId="77777777" w:rsidR="00507F03" w:rsidRPr="00E44216" w:rsidRDefault="00507F03" w:rsidP="00507F03">
      <w:pPr>
        <w:pStyle w:val="H4G"/>
        <w:rPr>
          <w:lang w:val="fr-CA"/>
        </w:rPr>
      </w:pPr>
      <w:r w:rsidRPr="00E44216">
        <w:rPr>
          <w:lang w:val="fr-FR"/>
        </w:rPr>
        <w:lastRenderedPageBreak/>
        <w:tab/>
        <w:t>b)</w:t>
      </w:r>
      <w:r w:rsidRPr="00E44216">
        <w:rPr>
          <w:lang w:val="fr-FR"/>
        </w:rPr>
        <w:tab/>
        <w:t xml:space="preserve">Traités multilatéraux </w:t>
      </w:r>
    </w:p>
    <w:p w14:paraId="0FB8C944" w14:textId="77777777" w:rsidR="00507F03" w:rsidRPr="008C5911" w:rsidRDefault="00507F03" w:rsidP="00507F03">
      <w:pPr>
        <w:pStyle w:val="SingleTxtG"/>
        <w:rPr>
          <w:lang w:val="fr-CA"/>
        </w:rPr>
      </w:pPr>
      <w:r w:rsidRPr="00E44216">
        <w:rPr>
          <w:lang w:val="fr-FR"/>
        </w:rPr>
        <w:t>21.</w:t>
      </w:r>
      <w:r w:rsidRPr="00E44216">
        <w:rPr>
          <w:lang w:val="fr-FR"/>
        </w:rPr>
        <w:tab/>
        <w:t>Protocole d</w:t>
      </w:r>
      <w:r>
        <w:rPr>
          <w:lang w:val="fr-FR"/>
        </w:rPr>
        <w:t>’</w:t>
      </w:r>
      <w:r w:rsidRPr="00E44216">
        <w:rPr>
          <w:lang w:val="fr-FR"/>
        </w:rPr>
        <w:t>application</w:t>
      </w:r>
      <w:r w:rsidRPr="008C5911">
        <w:rPr>
          <w:lang w:val="fr-FR"/>
        </w:rPr>
        <w:t xml:space="preserve"> provisoire de l</w:t>
      </w:r>
      <w:r>
        <w:rPr>
          <w:lang w:val="fr-FR"/>
        </w:rPr>
        <w:t>’</w:t>
      </w:r>
      <w:r w:rsidRPr="008C5911">
        <w:rPr>
          <w:lang w:val="fr-FR"/>
        </w:rPr>
        <w:t>accord portant création du Centre de la Communauté des Caraïbes sur les changements climatiques (Belize City, 5 février 2002)</w:t>
      </w:r>
      <w:r w:rsidRPr="00F22830">
        <w:rPr>
          <w:rStyle w:val="FootnoteReference"/>
        </w:rPr>
        <w:footnoteReference w:id="24"/>
      </w:r>
      <w:r w:rsidRPr="008C5911">
        <w:rPr>
          <w:lang w:val="fr-FR"/>
        </w:rPr>
        <w:t> :</w:t>
      </w:r>
    </w:p>
    <w:p w14:paraId="3F0DEC67" w14:textId="77777777" w:rsidR="00507F03" w:rsidRPr="008C5911" w:rsidRDefault="00507F03" w:rsidP="00507F03">
      <w:pPr>
        <w:pStyle w:val="SingleTxtG"/>
        <w:keepNext/>
        <w:keepLines/>
        <w:ind w:left="1701"/>
        <w:rPr>
          <w:lang w:val="fr-CA"/>
        </w:rPr>
      </w:pPr>
      <w:r w:rsidRPr="008C5911">
        <w:rPr>
          <w:lang w:val="fr-FR"/>
        </w:rPr>
        <w:tab/>
        <w:t>Rappelant que l</w:t>
      </w:r>
      <w:r>
        <w:rPr>
          <w:lang w:val="fr-FR"/>
        </w:rPr>
        <w:t>’</w:t>
      </w:r>
      <w:r w:rsidRPr="008C5911">
        <w:rPr>
          <w:lang w:val="fr-FR"/>
        </w:rPr>
        <w:t>article 37 de l</w:t>
      </w:r>
      <w:r>
        <w:rPr>
          <w:lang w:val="fr-FR"/>
        </w:rPr>
        <w:t>’</w:t>
      </w:r>
      <w:r w:rsidRPr="008C5911">
        <w:rPr>
          <w:lang w:val="fr-FR"/>
        </w:rPr>
        <w:t>accord portant création du Centre de la Communauté des Caraïbes sur les changements climatiques prévoit que ce dernier entre en vigueur dès le dépôt du septième instrument de ratification auprès du Gouvernement du pays hôte,</w:t>
      </w:r>
    </w:p>
    <w:p w14:paraId="1432F5D3" w14:textId="77777777" w:rsidR="00507F03" w:rsidRPr="008C5911" w:rsidRDefault="00507F03" w:rsidP="00507F03">
      <w:pPr>
        <w:pStyle w:val="SingleTxtG"/>
        <w:ind w:left="1701"/>
        <w:rPr>
          <w:lang w:val="fr-CA"/>
        </w:rPr>
      </w:pPr>
      <w:r w:rsidRPr="008C5911">
        <w:rPr>
          <w:lang w:val="fr-FR"/>
        </w:rPr>
        <w:tab/>
        <w:t>Souhaitant assurer le fonctionnement du Centre de la Communauté des Caraïbes sur les changements climatiques dans les meilleurs délais,</w:t>
      </w:r>
    </w:p>
    <w:p w14:paraId="020D614B" w14:textId="77777777" w:rsidR="00507F03" w:rsidRPr="008C5911" w:rsidRDefault="00507F03" w:rsidP="00507F03">
      <w:pPr>
        <w:pStyle w:val="SingleTxtG"/>
        <w:ind w:left="1701"/>
        <w:jc w:val="left"/>
        <w:rPr>
          <w:lang w:val="fr-CA"/>
        </w:rPr>
      </w:pPr>
      <w:r w:rsidRPr="008C5911">
        <w:rPr>
          <w:lang w:val="fr-FR"/>
        </w:rPr>
        <w:tab/>
        <w:t>Sont convenues de ce qui suit :</w:t>
      </w:r>
    </w:p>
    <w:p w14:paraId="565A3237" w14:textId="77777777" w:rsidR="00507F03" w:rsidRPr="008C5911" w:rsidRDefault="00507F03" w:rsidP="00507F03">
      <w:pPr>
        <w:pStyle w:val="SingleTxtG"/>
        <w:ind w:left="1701"/>
        <w:jc w:val="left"/>
        <w:rPr>
          <w:b/>
          <w:bCs/>
          <w:lang w:val="fr-CA"/>
        </w:rPr>
      </w:pPr>
      <w:r w:rsidRPr="008C5911">
        <w:rPr>
          <w:b/>
          <w:bCs/>
          <w:lang w:val="fr-FR"/>
        </w:rPr>
        <w:t>Article premier</w:t>
      </w:r>
      <w:r>
        <w:rPr>
          <w:b/>
          <w:bCs/>
          <w:lang w:val="fr-FR"/>
        </w:rPr>
        <w:t xml:space="preserve"> </w:t>
      </w:r>
      <w:r w:rsidRPr="008C5911">
        <w:rPr>
          <w:b/>
          <w:bCs/>
          <w:lang w:val="fr-FR"/>
        </w:rPr>
        <w:br/>
        <w:t>Application provisoire de l</w:t>
      </w:r>
      <w:r>
        <w:rPr>
          <w:b/>
          <w:bCs/>
          <w:lang w:val="fr-FR"/>
        </w:rPr>
        <w:t>’</w:t>
      </w:r>
      <w:r w:rsidRPr="008C5911">
        <w:rPr>
          <w:b/>
          <w:bCs/>
          <w:lang w:val="fr-FR"/>
        </w:rPr>
        <w:t xml:space="preserve">accord portant création du Centre </w:t>
      </w:r>
      <w:r w:rsidRPr="008C5911">
        <w:rPr>
          <w:b/>
          <w:bCs/>
          <w:lang w:val="fr-FR"/>
        </w:rPr>
        <w:br/>
        <w:t>de la Communauté des Caraïbes sur les changements climatiques</w:t>
      </w:r>
    </w:p>
    <w:p w14:paraId="5D455C1F" w14:textId="77777777" w:rsidR="00507F03" w:rsidRPr="008C5911" w:rsidRDefault="00507F03" w:rsidP="00507F03">
      <w:pPr>
        <w:pStyle w:val="SingleTxtG"/>
        <w:ind w:left="1701"/>
        <w:rPr>
          <w:lang w:val="fr-CA"/>
        </w:rPr>
      </w:pPr>
      <w:r w:rsidRPr="008C5911">
        <w:rPr>
          <w:lang w:val="fr-FR"/>
        </w:rPr>
        <w:tab/>
        <w:t>Les signataires de l</w:t>
      </w:r>
      <w:r>
        <w:rPr>
          <w:lang w:val="fr-FR"/>
        </w:rPr>
        <w:t>’</w:t>
      </w:r>
      <w:r w:rsidRPr="008C5911">
        <w:rPr>
          <w:lang w:val="fr-FR"/>
        </w:rPr>
        <w:t>Accord portant création du Centre de la Communauté des Caraïbes sur les changements climatiques sont convenus d</w:t>
      </w:r>
      <w:r>
        <w:rPr>
          <w:lang w:val="fr-FR"/>
        </w:rPr>
        <w:t>’</w:t>
      </w:r>
      <w:r w:rsidRPr="008C5911">
        <w:rPr>
          <w:lang w:val="fr-FR"/>
        </w:rPr>
        <w:t>appliquer ledit Accord entre eux, à titre provisoire, dans l</w:t>
      </w:r>
      <w:r>
        <w:rPr>
          <w:lang w:val="fr-FR"/>
        </w:rPr>
        <w:t>’</w:t>
      </w:r>
      <w:r w:rsidRPr="008C5911">
        <w:rPr>
          <w:lang w:val="fr-FR"/>
        </w:rPr>
        <w:t>attente de son entrée en vigueur définitive, conformément à son article 37</w:t>
      </w:r>
      <w:r w:rsidRPr="00F22925">
        <w:rPr>
          <w:lang w:val="fr-FR"/>
        </w:rPr>
        <w:t>.</w:t>
      </w:r>
    </w:p>
    <w:p w14:paraId="48EBF092" w14:textId="77777777" w:rsidR="00507F03" w:rsidRPr="008C5911" w:rsidRDefault="00507F03" w:rsidP="00507F03">
      <w:pPr>
        <w:pStyle w:val="SingleTxtG"/>
        <w:rPr>
          <w:lang w:val="fr-CA"/>
        </w:rPr>
      </w:pPr>
      <w:r w:rsidRPr="008C5911">
        <w:rPr>
          <w:lang w:val="fr-FR"/>
        </w:rPr>
        <w:t>22</w:t>
      </w:r>
      <w:r w:rsidRPr="00F22925">
        <w:rPr>
          <w:lang w:val="fr-FR"/>
        </w:rPr>
        <w:t>.</w:t>
      </w:r>
      <w:r w:rsidRPr="008C5911">
        <w:rPr>
          <w:lang w:val="fr-FR"/>
        </w:rPr>
        <w:tab/>
        <w:t>Accord sur l</w:t>
      </w:r>
      <w:r>
        <w:rPr>
          <w:lang w:val="fr-FR"/>
        </w:rPr>
        <w:t>’</w:t>
      </w:r>
      <w:r w:rsidRPr="008C5911">
        <w:rPr>
          <w:lang w:val="fr-FR"/>
        </w:rPr>
        <w:t xml:space="preserve">application provisoire de certaines dispositions du Protocole </w:t>
      </w:r>
      <w:r w:rsidRPr="008C5911">
        <w:rPr>
          <w:rFonts w:eastAsia="MS Mincho"/>
          <w:lang w:val="fr-FR"/>
        </w:rPr>
        <w:t>n</w:t>
      </w:r>
      <w:r w:rsidRPr="008C5911">
        <w:rPr>
          <w:rFonts w:eastAsia="MS Mincho"/>
          <w:vertAlign w:val="superscript"/>
          <w:lang w:val="fr-FR"/>
        </w:rPr>
        <w:t>o</w:t>
      </w:r>
      <w:r w:rsidRPr="008C5911">
        <w:rPr>
          <w:lang w:val="fr-FR"/>
        </w:rPr>
        <w:t> 14 [à la Convention de sauvegarde des droits de l</w:t>
      </w:r>
      <w:r>
        <w:rPr>
          <w:lang w:val="fr-FR"/>
        </w:rPr>
        <w:t>’</w:t>
      </w:r>
      <w:r w:rsidRPr="008C5911">
        <w:rPr>
          <w:lang w:val="fr-FR"/>
        </w:rPr>
        <w:t>homme et des libertés fondamentales] dans l</w:t>
      </w:r>
      <w:r>
        <w:rPr>
          <w:lang w:val="fr-FR"/>
        </w:rPr>
        <w:t>’</w:t>
      </w:r>
      <w:r w:rsidRPr="008C5911">
        <w:rPr>
          <w:lang w:val="fr-FR"/>
        </w:rPr>
        <w:t>attente de son entrée en vigueur (Madrid, 12 mai 2009)</w:t>
      </w:r>
      <w:r w:rsidRPr="00F22830">
        <w:rPr>
          <w:rStyle w:val="FootnoteReference"/>
        </w:rPr>
        <w:footnoteReference w:id="25"/>
      </w:r>
      <w:r w:rsidRPr="008C5911">
        <w:rPr>
          <w:lang w:val="fr-FR"/>
        </w:rPr>
        <w:t xml:space="preserve"> : </w:t>
      </w:r>
    </w:p>
    <w:p w14:paraId="1E78ECAE"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201C884F" w14:textId="77777777" w:rsidR="00507F03" w:rsidRPr="008C5911" w:rsidRDefault="00507F03" w:rsidP="00507F03">
      <w:pPr>
        <w:pStyle w:val="SingleTxtG"/>
        <w:keepNext/>
        <w:keepLines/>
        <w:ind w:left="1701"/>
        <w:rPr>
          <w:lang w:val="fr-CA"/>
        </w:rPr>
      </w:pPr>
      <w:r w:rsidRPr="008C5911">
        <w:rPr>
          <w:lang w:val="fr-FR"/>
        </w:rPr>
        <w:tab/>
        <w:t>b)</w:t>
      </w:r>
      <w:r w:rsidRPr="008C5911">
        <w:rPr>
          <w:lang w:val="fr-FR"/>
        </w:rPr>
        <w:tab/>
        <w:t>toute Haute Partie Contractante peut déclarer à tout moment en adressant une notification au Secrétaire Général du Conseil de l</w:t>
      </w:r>
      <w:r>
        <w:rPr>
          <w:lang w:val="fr-FR"/>
        </w:rPr>
        <w:t>’</w:t>
      </w:r>
      <w:r w:rsidRPr="008C5911">
        <w:rPr>
          <w:lang w:val="fr-FR"/>
        </w:rPr>
        <w:t>Europe qu</w:t>
      </w:r>
      <w:r>
        <w:rPr>
          <w:lang w:val="fr-FR"/>
        </w:rPr>
        <w:t>’</w:t>
      </w:r>
      <w:r w:rsidRPr="008C5911">
        <w:rPr>
          <w:lang w:val="fr-FR"/>
        </w:rPr>
        <w:t>elle accepte, à son égard, l</w:t>
      </w:r>
      <w:r>
        <w:rPr>
          <w:lang w:val="fr-FR"/>
        </w:rPr>
        <w:t>’</w:t>
      </w:r>
      <w:r w:rsidRPr="008C5911">
        <w:rPr>
          <w:lang w:val="fr-FR"/>
        </w:rPr>
        <w:t xml:space="preserve">application provisoire des parties susmentionnées du Protocole </w:t>
      </w:r>
      <w:r w:rsidRPr="008C5911">
        <w:rPr>
          <w:rFonts w:eastAsia="MS Mincho"/>
          <w:lang w:val="fr-FR"/>
        </w:rPr>
        <w:t>n</w:t>
      </w:r>
      <w:r w:rsidRPr="008C5911">
        <w:rPr>
          <w:rFonts w:eastAsia="MS Mincho"/>
          <w:vertAlign w:val="superscript"/>
          <w:lang w:val="fr-FR"/>
        </w:rPr>
        <w:t>o</w:t>
      </w:r>
      <w:r w:rsidRPr="008C5911">
        <w:rPr>
          <w:lang w:val="fr-FR"/>
        </w:rPr>
        <w:t> 14</w:t>
      </w:r>
      <w:r w:rsidRPr="00F22925">
        <w:rPr>
          <w:lang w:val="fr-FR"/>
        </w:rPr>
        <w:t>.</w:t>
      </w:r>
      <w:r w:rsidRPr="008C5911">
        <w:rPr>
          <w:lang w:val="fr-FR"/>
        </w:rPr>
        <w:t xml:space="preserve"> Une telle déclaration d</w:t>
      </w:r>
      <w:r>
        <w:rPr>
          <w:lang w:val="fr-FR"/>
        </w:rPr>
        <w:t>’</w:t>
      </w:r>
      <w:r w:rsidRPr="008C5911">
        <w:rPr>
          <w:lang w:val="fr-FR"/>
        </w:rPr>
        <w:t>acceptation prendra effet le premier jour du mois suivant la date de sa réception par le Secrétaire Général du Conseil de l</w:t>
      </w:r>
      <w:r>
        <w:rPr>
          <w:lang w:val="fr-FR"/>
        </w:rPr>
        <w:t>’</w:t>
      </w:r>
      <w:r w:rsidRPr="008C5911">
        <w:rPr>
          <w:lang w:val="fr-FR"/>
        </w:rPr>
        <w:t xml:space="preserve">Europe ; les parties susmentionnées du Protocole </w:t>
      </w:r>
      <w:r w:rsidRPr="008C5911">
        <w:rPr>
          <w:rFonts w:eastAsia="MS Mincho"/>
          <w:lang w:val="fr-FR"/>
        </w:rPr>
        <w:t>n</w:t>
      </w:r>
      <w:r w:rsidRPr="008C5911">
        <w:rPr>
          <w:rFonts w:eastAsia="MS Mincho"/>
          <w:vertAlign w:val="superscript"/>
          <w:lang w:val="fr-FR"/>
        </w:rPr>
        <w:t>o</w:t>
      </w:r>
      <w:r w:rsidRPr="008C5911">
        <w:rPr>
          <w:lang w:val="fr-FR"/>
        </w:rPr>
        <w:t> 14 ne s</w:t>
      </w:r>
      <w:r>
        <w:rPr>
          <w:lang w:val="fr-FR"/>
        </w:rPr>
        <w:t>’</w:t>
      </w:r>
      <w:r w:rsidRPr="008C5911">
        <w:rPr>
          <w:lang w:val="fr-FR"/>
        </w:rPr>
        <w:t>appliqueront pas à l</w:t>
      </w:r>
      <w:r>
        <w:rPr>
          <w:lang w:val="fr-FR"/>
        </w:rPr>
        <w:t>’</w:t>
      </w:r>
      <w:r w:rsidRPr="008C5911">
        <w:rPr>
          <w:lang w:val="fr-FR"/>
        </w:rPr>
        <w:t>égard des Parties n</w:t>
      </w:r>
      <w:r>
        <w:rPr>
          <w:lang w:val="fr-FR"/>
        </w:rPr>
        <w:t>’</w:t>
      </w:r>
      <w:r w:rsidRPr="008C5911">
        <w:rPr>
          <w:lang w:val="fr-FR"/>
        </w:rPr>
        <w:t>ayant pas fait une telle déclaration d</w:t>
      </w:r>
      <w:r>
        <w:rPr>
          <w:lang w:val="fr-FR"/>
        </w:rPr>
        <w:t>’</w:t>
      </w:r>
      <w:r w:rsidRPr="008C5911">
        <w:rPr>
          <w:lang w:val="fr-FR"/>
        </w:rPr>
        <w:t>acceptation ;</w:t>
      </w:r>
    </w:p>
    <w:p w14:paraId="01A601EA" w14:textId="77777777" w:rsidR="00507F03" w:rsidRPr="008C5911" w:rsidRDefault="00507F03" w:rsidP="00507F03">
      <w:pPr>
        <w:pStyle w:val="SingleTxtG"/>
        <w:rPr>
          <w:lang w:val="fr-CA"/>
        </w:rPr>
      </w:pPr>
      <w:r w:rsidRPr="008C5911">
        <w:rPr>
          <w:lang w:val="fr-FR"/>
        </w:rPr>
        <w:t>23</w:t>
      </w:r>
      <w:r w:rsidRPr="00F22925">
        <w:rPr>
          <w:lang w:val="fr-FR"/>
        </w:rPr>
        <w:t>.</w:t>
      </w:r>
      <w:r w:rsidRPr="008C5911">
        <w:rPr>
          <w:lang w:val="fr-FR"/>
        </w:rPr>
        <w:tab/>
        <w:t>Résolution 365 (XII) de l</w:t>
      </w:r>
      <w:r>
        <w:rPr>
          <w:lang w:val="fr-FR"/>
        </w:rPr>
        <w:t>’</w:t>
      </w:r>
      <w:r w:rsidRPr="008C5911">
        <w:rPr>
          <w:lang w:val="fr-FR"/>
        </w:rPr>
        <w:t>Assemblée générale de l</w:t>
      </w:r>
      <w:r>
        <w:rPr>
          <w:lang w:val="fr-FR"/>
        </w:rPr>
        <w:t>’</w:t>
      </w:r>
      <w:r w:rsidRPr="008C5911">
        <w:rPr>
          <w:lang w:val="fr-FR"/>
        </w:rPr>
        <w:t>Organisation mondiale du tourisme, intitulée « Avenir de l</w:t>
      </w:r>
      <w:r>
        <w:rPr>
          <w:lang w:val="fr-FR"/>
        </w:rPr>
        <w:t>’</w:t>
      </w:r>
      <w:r w:rsidRPr="008C5911">
        <w:rPr>
          <w:lang w:val="fr-FR"/>
        </w:rPr>
        <w:t>Organisation »</w:t>
      </w:r>
      <w:r w:rsidRPr="00F22830">
        <w:rPr>
          <w:rStyle w:val="FootnoteReference"/>
        </w:rPr>
        <w:footnoteReference w:id="26"/>
      </w:r>
      <w:r w:rsidRPr="008C5911">
        <w:rPr>
          <w:lang w:val="fr-FR"/>
        </w:rPr>
        <w:t> :</w:t>
      </w:r>
    </w:p>
    <w:p w14:paraId="58A41EDC"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2B40C83F" w14:textId="77777777" w:rsidR="00507F03" w:rsidRPr="008C5911" w:rsidRDefault="00507F03" w:rsidP="00507F03">
      <w:pPr>
        <w:pStyle w:val="SingleTxtG"/>
        <w:ind w:left="1701"/>
        <w:rPr>
          <w:lang w:val="fr-CA"/>
        </w:rPr>
      </w:pPr>
      <w:r w:rsidRPr="008C5911">
        <w:rPr>
          <w:lang w:val="fr-FR"/>
        </w:rPr>
        <w:tab/>
        <w:t>Constatant à regret que l</w:t>
      </w:r>
      <w:r>
        <w:rPr>
          <w:lang w:val="fr-FR"/>
        </w:rPr>
        <w:t>’</w:t>
      </w:r>
      <w:r w:rsidRPr="008C5911">
        <w:rPr>
          <w:lang w:val="fr-FR"/>
        </w:rPr>
        <w:t>amendement à l</w:t>
      </w:r>
      <w:r>
        <w:rPr>
          <w:lang w:val="fr-FR"/>
        </w:rPr>
        <w:t>’</w:t>
      </w:r>
      <w:r w:rsidRPr="008C5911">
        <w:rPr>
          <w:lang w:val="fr-FR"/>
        </w:rPr>
        <w:t>article 14 des Statuts qu</w:t>
      </w:r>
      <w:r>
        <w:rPr>
          <w:lang w:val="fr-FR"/>
        </w:rPr>
        <w:t>’</w:t>
      </w:r>
      <w:r w:rsidRPr="008C5911">
        <w:rPr>
          <w:lang w:val="fr-FR"/>
        </w:rPr>
        <w:t>elle a adopté par sa résolution 134 (V), tendant à conférer à l</w:t>
      </w:r>
      <w:r>
        <w:rPr>
          <w:lang w:val="fr-FR"/>
        </w:rPr>
        <w:t>’</w:t>
      </w:r>
      <w:r w:rsidRPr="008C5911">
        <w:rPr>
          <w:lang w:val="fr-FR"/>
        </w:rPr>
        <w:t>État hôte un siège permanent au Conseil exécutif, doté du droit de vote et non soumis au principe de la répartition géographique des sièges au sein de cet organe, n</w:t>
      </w:r>
      <w:r>
        <w:rPr>
          <w:lang w:val="fr-FR"/>
        </w:rPr>
        <w:t>’</w:t>
      </w:r>
      <w:r w:rsidRPr="008C5911">
        <w:rPr>
          <w:lang w:val="fr-FR"/>
        </w:rPr>
        <w:t>a toujours pas recueilli le nombre d</w:t>
      </w:r>
      <w:r>
        <w:rPr>
          <w:lang w:val="fr-FR"/>
        </w:rPr>
        <w:t>’</w:t>
      </w:r>
      <w:r w:rsidRPr="008C5911">
        <w:rPr>
          <w:lang w:val="fr-FR"/>
        </w:rPr>
        <w:t xml:space="preserve">approbations requis, </w:t>
      </w:r>
    </w:p>
    <w:p w14:paraId="6F4EF485" w14:textId="77777777" w:rsidR="00507F03" w:rsidRPr="008C5911" w:rsidRDefault="00507F03" w:rsidP="00507F03">
      <w:pPr>
        <w:pStyle w:val="SingleTxtG"/>
        <w:ind w:left="1701"/>
        <w:rPr>
          <w:lang w:val="fr-CA"/>
        </w:rPr>
      </w:pPr>
      <w:r w:rsidRPr="008C5911">
        <w:rPr>
          <w:lang w:val="fr-FR"/>
        </w:rPr>
        <w:t>2</w:t>
      </w:r>
      <w:r w:rsidRPr="00F22925">
        <w:rPr>
          <w:lang w:val="fr-FR"/>
        </w:rPr>
        <w:t>.</w:t>
      </w:r>
      <w:r w:rsidRPr="008C5911">
        <w:rPr>
          <w:lang w:val="fr-FR"/>
        </w:rPr>
        <w:tab/>
        <w:t>Décide que cet amendement sera appliqué à titre provisoire dans l</w:t>
      </w:r>
      <w:r>
        <w:rPr>
          <w:lang w:val="fr-FR"/>
        </w:rPr>
        <w:t>’</w:t>
      </w:r>
      <w:r w:rsidRPr="008C5911">
        <w:rPr>
          <w:lang w:val="fr-FR"/>
        </w:rPr>
        <w:t>attente de sa ratification</w:t>
      </w:r>
      <w:r w:rsidRPr="00F22925">
        <w:rPr>
          <w:lang w:val="fr-FR"/>
        </w:rPr>
        <w:t>.</w:t>
      </w:r>
      <w:r w:rsidRPr="008C5911">
        <w:rPr>
          <w:lang w:val="fr-FR"/>
        </w:rPr>
        <w:t xml:space="preserve"> </w:t>
      </w:r>
    </w:p>
    <w:p w14:paraId="43079823" w14:textId="77777777" w:rsidR="00507F03" w:rsidRPr="008C5911" w:rsidRDefault="00507F03" w:rsidP="00507F03">
      <w:pPr>
        <w:pStyle w:val="H1G"/>
        <w:rPr>
          <w:lang w:val="fr-CA"/>
        </w:rPr>
      </w:pPr>
      <w:r w:rsidRPr="008C5911">
        <w:rPr>
          <w:lang w:val="fr-CA"/>
        </w:rPr>
        <w:lastRenderedPageBreak/>
        <w:tab/>
        <w:t>C</w:t>
      </w:r>
      <w:r w:rsidRPr="00F22925">
        <w:rPr>
          <w:lang w:val="fr-CA"/>
        </w:rPr>
        <w:t>.</w:t>
      </w:r>
      <w:r w:rsidRPr="008C5911">
        <w:rPr>
          <w:lang w:val="fr-CA"/>
        </w:rPr>
        <w:tab/>
      </w:r>
      <w:r>
        <w:rPr>
          <w:lang w:val="fr-CA"/>
        </w:rPr>
        <w:t>Option d’acceptation ou option de refus de</w:t>
      </w:r>
      <w:r w:rsidRPr="008C5911">
        <w:rPr>
          <w:lang w:val="fr-FR"/>
        </w:rPr>
        <w:t xml:space="preserve"> l</w:t>
      </w:r>
      <w:r>
        <w:rPr>
          <w:lang w:val="fr-FR"/>
        </w:rPr>
        <w:t>’</w:t>
      </w:r>
      <w:r w:rsidRPr="008C5911">
        <w:rPr>
          <w:lang w:val="fr-FR"/>
        </w:rPr>
        <w:t xml:space="preserve">application </w:t>
      </w:r>
      <w:r>
        <w:rPr>
          <w:lang w:val="fr-FR"/>
        </w:rPr>
        <w:br/>
      </w:r>
      <w:r w:rsidRPr="008C5911">
        <w:rPr>
          <w:lang w:val="fr-FR"/>
        </w:rPr>
        <w:t xml:space="preserve">à titre provisoire </w:t>
      </w:r>
    </w:p>
    <w:p w14:paraId="15646071" w14:textId="77777777" w:rsidR="00507F03" w:rsidRPr="008C5911" w:rsidRDefault="00507F03" w:rsidP="00507F03">
      <w:pPr>
        <w:pStyle w:val="SingleTxtG"/>
        <w:rPr>
          <w:lang w:val="fr-CA"/>
        </w:rPr>
      </w:pPr>
      <w:r w:rsidRPr="008C5911">
        <w:rPr>
          <w:lang w:val="fr-FR"/>
        </w:rPr>
        <w:tab/>
        <w:t>À titre d</w:t>
      </w:r>
      <w:r>
        <w:rPr>
          <w:lang w:val="fr-FR"/>
        </w:rPr>
        <w:t>’</w:t>
      </w:r>
      <w:r w:rsidRPr="008C5911">
        <w:rPr>
          <w:lang w:val="fr-FR"/>
        </w:rPr>
        <w:t xml:space="preserve">exemples de dispositions </w:t>
      </w:r>
      <w:r>
        <w:rPr>
          <w:lang w:val="fr-FR"/>
        </w:rPr>
        <w:t>prévoyant une option d’acceptation ou une option de refus de</w:t>
      </w:r>
      <w:r w:rsidRPr="008C5911">
        <w:rPr>
          <w:lang w:val="fr-FR"/>
        </w:rPr>
        <w:t xml:space="preserve"> l</w:t>
      </w:r>
      <w:r>
        <w:rPr>
          <w:lang w:val="fr-FR"/>
        </w:rPr>
        <w:t>’</w:t>
      </w:r>
      <w:r w:rsidRPr="008C5911">
        <w:rPr>
          <w:lang w:val="fr-FR"/>
        </w:rPr>
        <w:t>application à titre provisoire, on peut retenir :</w:t>
      </w:r>
    </w:p>
    <w:p w14:paraId="46D48DD7" w14:textId="77777777" w:rsidR="00507F03" w:rsidRPr="008C5911" w:rsidRDefault="00507F03" w:rsidP="00507F03">
      <w:pPr>
        <w:pStyle w:val="SingleTxtG"/>
        <w:rPr>
          <w:lang w:val="fr-CA"/>
        </w:rPr>
      </w:pPr>
      <w:r w:rsidRPr="008C5911">
        <w:rPr>
          <w:lang w:val="fr-FR"/>
        </w:rPr>
        <w:t>24</w:t>
      </w:r>
      <w:r w:rsidRPr="00F22925">
        <w:rPr>
          <w:lang w:val="fr-FR"/>
        </w:rPr>
        <w:t>.</w:t>
      </w:r>
      <w:r w:rsidRPr="008C5911">
        <w:rPr>
          <w:lang w:val="fr-FR"/>
        </w:rPr>
        <w:tab/>
        <w:t>Accord relatif à l</w:t>
      </w:r>
      <w:r>
        <w:rPr>
          <w:lang w:val="fr-FR"/>
        </w:rPr>
        <w:t>’</w:t>
      </w:r>
      <w:r w:rsidRPr="008C5911">
        <w:rPr>
          <w:lang w:val="fr-FR"/>
        </w:rPr>
        <w:t>application de la Partie XI de la Convention des Nations Unies sur le droit de la mer du 10 décembre 1982 (New York, 28 juillet 1994)</w:t>
      </w:r>
      <w:bookmarkStart w:id="3" w:name="_Ref81999950"/>
      <w:r w:rsidRPr="00F22830">
        <w:rPr>
          <w:rStyle w:val="FootnoteReference"/>
        </w:rPr>
        <w:footnoteReference w:id="27"/>
      </w:r>
      <w:bookmarkEnd w:id="3"/>
      <w:r w:rsidRPr="008C5911">
        <w:rPr>
          <w:lang w:val="fr-FR"/>
        </w:rPr>
        <w:t> :</w:t>
      </w:r>
    </w:p>
    <w:p w14:paraId="6352532F" w14:textId="77777777" w:rsidR="00507F03" w:rsidRPr="008C5911" w:rsidRDefault="00507F03" w:rsidP="00507F03">
      <w:pPr>
        <w:pStyle w:val="SingleTxtG"/>
        <w:ind w:left="1701"/>
        <w:jc w:val="left"/>
        <w:rPr>
          <w:b/>
          <w:bCs/>
          <w:lang w:val="fr-CA"/>
        </w:rPr>
      </w:pPr>
      <w:r w:rsidRPr="008C5911">
        <w:rPr>
          <w:b/>
          <w:bCs/>
          <w:lang w:val="fr-FR"/>
        </w:rPr>
        <w:t xml:space="preserve">Article 7 </w:t>
      </w:r>
      <w:r w:rsidRPr="008C5911">
        <w:rPr>
          <w:b/>
          <w:bCs/>
          <w:lang w:val="fr-FR"/>
        </w:rPr>
        <w:br/>
        <w:t>Application à titre provisoire</w:t>
      </w:r>
    </w:p>
    <w:p w14:paraId="684E295C" w14:textId="77777777" w:rsidR="00507F03" w:rsidRPr="008C5911" w:rsidRDefault="00507F03" w:rsidP="00507F03">
      <w:pPr>
        <w:pStyle w:val="SingleTxtG"/>
        <w:ind w:left="1701"/>
        <w:rPr>
          <w:lang w:val="fr-CA"/>
        </w:rPr>
      </w:pPr>
      <w:r w:rsidRPr="008C5911">
        <w:rPr>
          <w:lang w:val="fr-FR"/>
        </w:rPr>
        <w:t>1</w:t>
      </w:r>
      <w:r w:rsidRPr="00F22925">
        <w:rPr>
          <w:lang w:val="fr-FR"/>
        </w:rPr>
        <w:t>.</w:t>
      </w:r>
      <w:r w:rsidRPr="008C5911">
        <w:rPr>
          <w:lang w:val="fr-FR"/>
        </w:rPr>
        <w:tab/>
        <w:t>Si le présent Accord n</w:t>
      </w:r>
      <w:r>
        <w:rPr>
          <w:lang w:val="fr-FR"/>
        </w:rPr>
        <w:t>’</w:t>
      </w:r>
      <w:r w:rsidRPr="008C5911">
        <w:rPr>
          <w:lang w:val="fr-FR"/>
        </w:rPr>
        <w:t>est pas entré en vigueur le 16 novembre 1994, il sera appliqué à titre provisoire jusqu</w:t>
      </w:r>
      <w:r>
        <w:rPr>
          <w:lang w:val="fr-FR"/>
        </w:rPr>
        <w:t>’</w:t>
      </w:r>
      <w:r w:rsidRPr="008C5911">
        <w:rPr>
          <w:lang w:val="fr-FR"/>
        </w:rPr>
        <w:t xml:space="preserve">à son entrée en vigueur par : </w:t>
      </w:r>
    </w:p>
    <w:p w14:paraId="19958EDB" w14:textId="77777777" w:rsidR="00507F03" w:rsidRPr="008C5911" w:rsidRDefault="00507F03" w:rsidP="00507F03">
      <w:pPr>
        <w:pStyle w:val="SingleTxtG"/>
        <w:ind w:left="1701"/>
        <w:rPr>
          <w:lang w:val="fr-CA"/>
        </w:rPr>
      </w:pPr>
      <w:r w:rsidRPr="008C5911">
        <w:rPr>
          <w:lang w:val="fr-FR"/>
        </w:rPr>
        <w:tab/>
        <w:t>a)</w:t>
      </w:r>
      <w:r w:rsidRPr="008C5911">
        <w:rPr>
          <w:lang w:val="fr-FR"/>
        </w:rPr>
        <w:tab/>
        <w:t>Les États qui ont consenti à son adoption au sein de l</w:t>
      </w:r>
      <w:r>
        <w:rPr>
          <w:lang w:val="fr-FR"/>
        </w:rPr>
        <w:t>’</w:t>
      </w:r>
      <w:r w:rsidRPr="008C5911">
        <w:rPr>
          <w:lang w:val="fr-FR"/>
        </w:rPr>
        <w:t>Assemblée générale des Nations Unies, à l</w:t>
      </w:r>
      <w:r>
        <w:rPr>
          <w:lang w:val="fr-FR"/>
        </w:rPr>
        <w:t>’</w:t>
      </w:r>
      <w:r w:rsidRPr="008C5911">
        <w:rPr>
          <w:lang w:val="fr-FR"/>
        </w:rPr>
        <w:t>exception de ceux qui avant le 16 novembre 1994 notifieront par écrit au dépositaire soit qu</w:t>
      </w:r>
      <w:r>
        <w:rPr>
          <w:lang w:val="fr-FR"/>
        </w:rPr>
        <w:t>’</w:t>
      </w:r>
      <w:r w:rsidRPr="008C5911">
        <w:rPr>
          <w:lang w:val="fr-FR"/>
        </w:rPr>
        <w:t>ils n</w:t>
      </w:r>
      <w:r>
        <w:rPr>
          <w:lang w:val="fr-FR"/>
        </w:rPr>
        <w:t>’</w:t>
      </w:r>
      <w:r w:rsidRPr="008C5911">
        <w:rPr>
          <w:lang w:val="fr-FR"/>
        </w:rPr>
        <w:t>appliquent pas l</w:t>
      </w:r>
      <w:r>
        <w:rPr>
          <w:lang w:val="fr-FR"/>
        </w:rPr>
        <w:t>’</w:t>
      </w:r>
      <w:r w:rsidRPr="008C5911">
        <w:rPr>
          <w:lang w:val="fr-FR"/>
        </w:rPr>
        <w:t>Accord à titre provisoire soit qu</w:t>
      </w:r>
      <w:r>
        <w:rPr>
          <w:lang w:val="fr-FR"/>
        </w:rPr>
        <w:t>’</w:t>
      </w:r>
      <w:r w:rsidRPr="008C5911">
        <w:rPr>
          <w:lang w:val="fr-FR"/>
        </w:rPr>
        <w:t xml:space="preserve">ils ne consentent à une telle application que moyennant une signature ou notification écrite ultérieure ; </w:t>
      </w:r>
    </w:p>
    <w:p w14:paraId="199638A2" w14:textId="77777777" w:rsidR="00507F03" w:rsidRPr="008C5911" w:rsidRDefault="00507F03" w:rsidP="00507F03">
      <w:pPr>
        <w:pStyle w:val="SingleTxtG"/>
        <w:ind w:left="1701"/>
        <w:rPr>
          <w:lang w:val="fr-CA"/>
        </w:rPr>
      </w:pPr>
      <w:r w:rsidRPr="008C5911">
        <w:rPr>
          <w:lang w:val="fr-FR"/>
        </w:rPr>
        <w:tab/>
        <w:t>b)</w:t>
      </w:r>
      <w:r w:rsidRPr="008C5911">
        <w:rPr>
          <w:lang w:val="fr-FR"/>
        </w:rPr>
        <w:tab/>
        <w:t>Les États et entités qui signent le présent Accord, à l</w:t>
      </w:r>
      <w:r>
        <w:rPr>
          <w:lang w:val="fr-FR"/>
        </w:rPr>
        <w:t>’</w:t>
      </w:r>
      <w:r w:rsidRPr="008C5911">
        <w:rPr>
          <w:lang w:val="fr-FR"/>
        </w:rPr>
        <w:t>exception de ceux qui notifieront par écrit au dépositaire au moment de la signature qu</w:t>
      </w:r>
      <w:r>
        <w:rPr>
          <w:lang w:val="fr-FR"/>
        </w:rPr>
        <w:t>’</w:t>
      </w:r>
      <w:r w:rsidRPr="008C5911">
        <w:rPr>
          <w:lang w:val="fr-FR"/>
        </w:rPr>
        <w:t>ils n</w:t>
      </w:r>
      <w:r>
        <w:rPr>
          <w:lang w:val="fr-FR"/>
        </w:rPr>
        <w:t>’</w:t>
      </w:r>
      <w:r w:rsidRPr="008C5911">
        <w:rPr>
          <w:lang w:val="fr-FR"/>
        </w:rPr>
        <w:t>appliquent pas l</w:t>
      </w:r>
      <w:r>
        <w:rPr>
          <w:lang w:val="fr-FR"/>
        </w:rPr>
        <w:t>’</w:t>
      </w:r>
      <w:r w:rsidRPr="008C5911">
        <w:rPr>
          <w:lang w:val="fr-FR"/>
        </w:rPr>
        <w:t xml:space="preserve">Accord à titre provisoire ; </w:t>
      </w:r>
    </w:p>
    <w:p w14:paraId="330766DC" w14:textId="77777777" w:rsidR="00507F03" w:rsidRPr="008C5911" w:rsidRDefault="00507F03" w:rsidP="00507F03">
      <w:pPr>
        <w:pStyle w:val="SingleTxtG"/>
        <w:ind w:left="1701"/>
        <w:rPr>
          <w:lang w:val="fr-CA"/>
        </w:rPr>
      </w:pPr>
      <w:r w:rsidRPr="008C5911">
        <w:rPr>
          <w:lang w:val="fr-FR"/>
        </w:rPr>
        <w:tab/>
        <w:t>c)</w:t>
      </w:r>
      <w:r w:rsidRPr="008C5911">
        <w:rPr>
          <w:lang w:val="fr-FR"/>
        </w:rPr>
        <w:tab/>
        <w:t xml:space="preserve">Les États et entités qui consentent à son application à titre provisoire en adressant au dépositaire une notification écrite à cet effet ; </w:t>
      </w:r>
    </w:p>
    <w:p w14:paraId="3E01CEC1" w14:textId="77777777" w:rsidR="00507F03" w:rsidRPr="008C5911" w:rsidRDefault="00507F03" w:rsidP="00507F03">
      <w:pPr>
        <w:pStyle w:val="SingleTxtG"/>
        <w:ind w:left="1701"/>
        <w:rPr>
          <w:lang w:val="fr-CA"/>
        </w:rPr>
      </w:pPr>
      <w:r w:rsidRPr="008C5911">
        <w:rPr>
          <w:lang w:val="fr-FR"/>
        </w:rPr>
        <w:tab/>
        <w:t>d)</w:t>
      </w:r>
      <w:r w:rsidRPr="008C5911">
        <w:rPr>
          <w:lang w:val="fr-FR"/>
        </w:rPr>
        <w:tab/>
        <w:t>Les États qui adhèrent au présent Accord</w:t>
      </w:r>
      <w:r w:rsidRPr="00F22925">
        <w:rPr>
          <w:lang w:val="fr-FR"/>
        </w:rPr>
        <w:t>.</w:t>
      </w:r>
    </w:p>
    <w:p w14:paraId="66658ADE" w14:textId="77777777" w:rsidR="00507F03" w:rsidRPr="008C5911" w:rsidRDefault="00507F03" w:rsidP="00507F03">
      <w:pPr>
        <w:pStyle w:val="SingleTxtG"/>
        <w:rPr>
          <w:lang w:val="fr-CA"/>
        </w:rPr>
      </w:pPr>
      <w:r w:rsidRPr="008C5911">
        <w:rPr>
          <w:lang w:val="fr-FR"/>
        </w:rPr>
        <w:t>25</w:t>
      </w:r>
      <w:r w:rsidRPr="00F22925">
        <w:rPr>
          <w:lang w:val="fr-FR"/>
        </w:rPr>
        <w:t>.</w:t>
      </w:r>
      <w:r w:rsidRPr="008C5911">
        <w:rPr>
          <w:lang w:val="fr-FR"/>
        </w:rPr>
        <w:tab/>
        <w:t>Traité sur le commerce des armes (New York, 2 avril 2013)</w:t>
      </w:r>
      <w:r w:rsidRPr="00F22830">
        <w:rPr>
          <w:rStyle w:val="FootnoteReference"/>
        </w:rPr>
        <w:footnoteReference w:id="28"/>
      </w:r>
      <w:r w:rsidRPr="008C5911">
        <w:rPr>
          <w:lang w:val="fr-FR"/>
        </w:rPr>
        <w:t> :</w:t>
      </w:r>
    </w:p>
    <w:p w14:paraId="608D4ECC" w14:textId="77777777" w:rsidR="00507F03" w:rsidRPr="008C5911" w:rsidRDefault="00507F03" w:rsidP="00507F03">
      <w:pPr>
        <w:pStyle w:val="SingleTxtG"/>
        <w:ind w:left="1701"/>
        <w:jc w:val="left"/>
        <w:rPr>
          <w:b/>
          <w:bCs/>
          <w:lang w:val="fr-CA"/>
        </w:rPr>
      </w:pPr>
      <w:r w:rsidRPr="008C5911">
        <w:rPr>
          <w:b/>
          <w:bCs/>
          <w:lang w:val="fr-FR"/>
        </w:rPr>
        <w:t xml:space="preserve">Article 23 </w:t>
      </w:r>
      <w:r w:rsidRPr="008C5911">
        <w:rPr>
          <w:b/>
          <w:bCs/>
          <w:lang w:val="fr-FR"/>
        </w:rPr>
        <w:br/>
        <w:t>Application à titre provisoire</w:t>
      </w:r>
    </w:p>
    <w:p w14:paraId="2814D462" w14:textId="77777777" w:rsidR="00507F03" w:rsidRPr="008C5911" w:rsidRDefault="00507F03" w:rsidP="00507F03">
      <w:pPr>
        <w:pStyle w:val="SingleTxtG"/>
        <w:ind w:left="1701"/>
        <w:rPr>
          <w:lang w:val="fr-CA"/>
        </w:rPr>
      </w:pPr>
      <w:r w:rsidRPr="008C5911">
        <w:rPr>
          <w:lang w:val="fr-FR"/>
        </w:rPr>
        <w:tab/>
        <w:t>Tout État peut, au moment de la signature ou du dépôt de son instrument de ratification, déclarer qu</w:t>
      </w:r>
      <w:r>
        <w:rPr>
          <w:lang w:val="fr-FR"/>
        </w:rPr>
        <w:t>’</w:t>
      </w:r>
      <w:r w:rsidRPr="008C5911">
        <w:rPr>
          <w:lang w:val="fr-FR"/>
        </w:rPr>
        <w:t>il appliquera l</w:t>
      </w:r>
      <w:r>
        <w:rPr>
          <w:lang w:val="fr-FR"/>
        </w:rPr>
        <w:t>’</w:t>
      </w:r>
      <w:r w:rsidRPr="008C5911">
        <w:rPr>
          <w:lang w:val="fr-FR"/>
        </w:rPr>
        <w:t>article 6 et l</w:t>
      </w:r>
      <w:r>
        <w:rPr>
          <w:lang w:val="fr-FR"/>
        </w:rPr>
        <w:t>’</w:t>
      </w:r>
      <w:r w:rsidRPr="008C5911">
        <w:rPr>
          <w:lang w:val="fr-FR"/>
        </w:rPr>
        <w:t>article 7 à titre provisoire en attendant l</w:t>
      </w:r>
      <w:r>
        <w:rPr>
          <w:lang w:val="fr-FR"/>
        </w:rPr>
        <w:t>’</w:t>
      </w:r>
      <w:r w:rsidRPr="008C5911">
        <w:rPr>
          <w:lang w:val="fr-FR"/>
        </w:rPr>
        <w:t>entrée en vigueur du présent Traité à son égard</w:t>
      </w:r>
      <w:r w:rsidRPr="00F22925">
        <w:rPr>
          <w:lang w:val="fr-FR"/>
        </w:rPr>
        <w:t>.</w:t>
      </w:r>
    </w:p>
    <w:p w14:paraId="42247923" w14:textId="77777777" w:rsidR="00507F03" w:rsidRPr="008C5911" w:rsidRDefault="00507F03" w:rsidP="00507F03">
      <w:pPr>
        <w:pStyle w:val="H1G"/>
        <w:rPr>
          <w:lang w:val="fr-CA"/>
        </w:rPr>
      </w:pPr>
      <w:r w:rsidRPr="008C5911">
        <w:rPr>
          <w:lang w:val="fr-CA"/>
        </w:rPr>
        <w:tab/>
        <w:t>D</w:t>
      </w:r>
      <w:r w:rsidRPr="00F22925">
        <w:rPr>
          <w:lang w:val="fr-CA"/>
        </w:rPr>
        <w:t>.</w:t>
      </w:r>
      <w:r w:rsidRPr="008C5911">
        <w:rPr>
          <w:lang w:val="fr-CA"/>
        </w:rPr>
        <w:tab/>
      </w:r>
      <w:r w:rsidRPr="008C5911">
        <w:rPr>
          <w:lang w:val="fr-FR"/>
        </w:rPr>
        <w:t>Limites à l</w:t>
      </w:r>
      <w:r>
        <w:rPr>
          <w:lang w:val="fr-FR"/>
        </w:rPr>
        <w:t>’</w:t>
      </w:r>
      <w:r w:rsidRPr="008C5911">
        <w:rPr>
          <w:lang w:val="fr-FR"/>
        </w:rPr>
        <w:t xml:space="preserve">application à titre provisoire découlant du droit interne </w:t>
      </w:r>
      <w:r w:rsidRPr="008C5911">
        <w:rPr>
          <w:lang w:val="fr-FR"/>
        </w:rPr>
        <w:br/>
        <w:t>des États ou des règles des organisations internationales</w:t>
      </w:r>
    </w:p>
    <w:p w14:paraId="0C47FCC6" w14:textId="77777777" w:rsidR="00507F03" w:rsidRPr="008C5911" w:rsidRDefault="00507F03" w:rsidP="00507F03">
      <w:pPr>
        <w:pStyle w:val="SingleTxtG"/>
        <w:rPr>
          <w:bCs/>
          <w:lang w:val="fr-CA"/>
        </w:rPr>
      </w:pPr>
      <w:r w:rsidRPr="008C5911">
        <w:rPr>
          <w:lang w:val="fr-FR"/>
        </w:rPr>
        <w:tab/>
        <w:t>À titre d</w:t>
      </w:r>
      <w:r>
        <w:rPr>
          <w:lang w:val="fr-FR"/>
        </w:rPr>
        <w:t>’</w:t>
      </w:r>
      <w:r w:rsidRPr="008C5911">
        <w:rPr>
          <w:lang w:val="fr-FR"/>
        </w:rPr>
        <w:t>exemples de dispositions relatives aux limites à l</w:t>
      </w:r>
      <w:r>
        <w:rPr>
          <w:lang w:val="fr-FR"/>
        </w:rPr>
        <w:t>’</w:t>
      </w:r>
      <w:r w:rsidRPr="008C5911">
        <w:rPr>
          <w:lang w:val="fr-FR"/>
        </w:rPr>
        <w:t>application à titre provisoire découlant du droit interne des États ou les règles des organisations internationales, on peut retenir :</w:t>
      </w:r>
    </w:p>
    <w:p w14:paraId="40B8EF3A" w14:textId="77777777" w:rsidR="00507F03" w:rsidRPr="008C5911" w:rsidRDefault="00507F03" w:rsidP="00507F03">
      <w:pPr>
        <w:pStyle w:val="H4G"/>
        <w:rPr>
          <w:bCs/>
          <w:lang w:val="fr-CA"/>
        </w:rPr>
      </w:pPr>
      <w:r w:rsidRPr="008C5911">
        <w:rPr>
          <w:lang w:val="fr-FR"/>
        </w:rPr>
        <w:tab/>
      </w:r>
      <w:r w:rsidRPr="00E44216">
        <w:rPr>
          <w:lang w:val="fr-FR"/>
        </w:rPr>
        <w:t>a)</w:t>
      </w:r>
      <w:r w:rsidRPr="00E44216">
        <w:rPr>
          <w:lang w:val="fr-FR"/>
        </w:rPr>
        <w:tab/>
        <w:t>Traités bilatéraux</w:t>
      </w:r>
    </w:p>
    <w:p w14:paraId="11BE5FDC" w14:textId="77777777" w:rsidR="00507F03" w:rsidRPr="008C5911" w:rsidRDefault="00507F03" w:rsidP="00507F03">
      <w:pPr>
        <w:pStyle w:val="SingleTxtG"/>
        <w:rPr>
          <w:bCs/>
          <w:lang w:val="fr-CA"/>
        </w:rPr>
      </w:pPr>
      <w:r w:rsidRPr="008C5911">
        <w:rPr>
          <w:lang w:val="fr-FR"/>
        </w:rPr>
        <w:t>26</w:t>
      </w:r>
      <w:r w:rsidRPr="00F22925">
        <w:rPr>
          <w:lang w:val="fr-FR"/>
        </w:rPr>
        <w:t>.</w:t>
      </w:r>
      <w:r w:rsidRPr="008C5911">
        <w:rPr>
          <w:lang w:val="fr-FR"/>
        </w:rPr>
        <w:tab/>
        <w:t>Accord entre le Royaume d</w:t>
      </w:r>
      <w:r>
        <w:rPr>
          <w:lang w:val="fr-FR"/>
        </w:rPr>
        <w:t>’</w:t>
      </w:r>
      <w:r w:rsidRPr="008C5911">
        <w:rPr>
          <w:lang w:val="fr-FR"/>
        </w:rPr>
        <w:t>Espagne et la République d</w:t>
      </w:r>
      <w:r>
        <w:rPr>
          <w:lang w:val="fr-FR"/>
        </w:rPr>
        <w:t>’</w:t>
      </w:r>
      <w:r w:rsidRPr="008C5911">
        <w:rPr>
          <w:lang w:val="fr-FR"/>
        </w:rPr>
        <w:t>El Salvador relatif aux transports aériens (Madrid, 10 mars 1997)</w:t>
      </w:r>
      <w:r w:rsidRPr="00F22830">
        <w:rPr>
          <w:rStyle w:val="FootnoteReference"/>
        </w:rPr>
        <w:footnoteReference w:id="29"/>
      </w:r>
      <w:r w:rsidRPr="008C5911">
        <w:rPr>
          <w:lang w:val="fr-FR"/>
        </w:rPr>
        <w:t> :</w:t>
      </w:r>
    </w:p>
    <w:p w14:paraId="4F7041F4" w14:textId="77777777" w:rsidR="00507F03" w:rsidRPr="008C5911" w:rsidRDefault="00507F03" w:rsidP="00507F03">
      <w:pPr>
        <w:pStyle w:val="SingleTxtG"/>
        <w:ind w:left="1701"/>
        <w:jc w:val="left"/>
        <w:rPr>
          <w:b/>
          <w:bCs/>
          <w:lang w:val="fr-CA"/>
        </w:rPr>
      </w:pPr>
      <w:r w:rsidRPr="00564A5D">
        <w:rPr>
          <w:b/>
          <w:bCs/>
          <w:lang w:val="fr-FR"/>
        </w:rPr>
        <w:t>Article XXIV</w:t>
      </w:r>
      <w:r w:rsidRPr="008C5911">
        <w:rPr>
          <w:lang w:val="fr-FR"/>
        </w:rPr>
        <w:t xml:space="preserve"> </w:t>
      </w:r>
      <w:r w:rsidRPr="008C5911">
        <w:rPr>
          <w:lang w:val="fr-FR"/>
        </w:rPr>
        <w:br/>
      </w:r>
      <w:r w:rsidRPr="008C5911">
        <w:rPr>
          <w:b/>
          <w:bCs/>
          <w:lang w:val="fr-FR"/>
        </w:rPr>
        <w:t>Entrée en vigueur et dénonciation</w:t>
      </w:r>
    </w:p>
    <w:p w14:paraId="209F0EFA" w14:textId="77777777" w:rsidR="00507F03" w:rsidRPr="008C5911" w:rsidRDefault="00507F03" w:rsidP="00507F03">
      <w:pPr>
        <w:pStyle w:val="SingleTxtG"/>
        <w:ind w:left="1701"/>
        <w:rPr>
          <w:lang w:val="fr-CA"/>
        </w:rPr>
      </w:pPr>
      <w:r w:rsidRPr="008C5911">
        <w:rPr>
          <w:lang w:val="fr-FR"/>
        </w:rPr>
        <w:lastRenderedPageBreak/>
        <w:t>1</w:t>
      </w:r>
      <w:r w:rsidRPr="00F22925">
        <w:rPr>
          <w:lang w:val="fr-FR"/>
        </w:rPr>
        <w:t>.</w:t>
      </w:r>
      <w:r w:rsidRPr="008C5911">
        <w:rPr>
          <w:lang w:val="fr-FR"/>
        </w:rPr>
        <w:tab/>
        <w:t>Les Parties contractantes appliquent, à titre provisoire, les dispositions du présent Accord, dès sa signature, pour autant qu</w:t>
      </w:r>
      <w:r>
        <w:rPr>
          <w:lang w:val="fr-FR"/>
        </w:rPr>
        <w:t>’</w:t>
      </w:r>
      <w:r w:rsidRPr="008C5911">
        <w:rPr>
          <w:lang w:val="fr-FR"/>
        </w:rPr>
        <w:t>il ne contrevienne pas à la législation de l</w:t>
      </w:r>
      <w:r>
        <w:rPr>
          <w:lang w:val="fr-FR"/>
        </w:rPr>
        <w:t>’</w:t>
      </w:r>
      <w:r w:rsidRPr="008C5911">
        <w:rPr>
          <w:lang w:val="fr-FR"/>
        </w:rPr>
        <w:t>une ou l</w:t>
      </w:r>
      <w:r>
        <w:rPr>
          <w:lang w:val="fr-FR"/>
        </w:rPr>
        <w:t>’</w:t>
      </w:r>
      <w:r w:rsidRPr="008C5911">
        <w:rPr>
          <w:lang w:val="fr-FR"/>
        </w:rPr>
        <w:t>autre des Parties</w:t>
      </w:r>
      <w:r w:rsidRPr="00F22925">
        <w:rPr>
          <w:lang w:val="fr-FR"/>
        </w:rPr>
        <w:t>.</w:t>
      </w:r>
      <w:r w:rsidRPr="008C5911">
        <w:rPr>
          <w:lang w:val="fr-FR"/>
        </w:rPr>
        <w:t xml:space="preserve"> Le présent accord entrera en vigueur à la date à laquelle les deux Parties contractantes se seront notifié mutuellement, par un échange de notes par voie diplomatique, l</w:t>
      </w:r>
      <w:r>
        <w:rPr>
          <w:lang w:val="fr-FR"/>
        </w:rPr>
        <w:t>’</w:t>
      </w:r>
      <w:r w:rsidRPr="008C5911">
        <w:rPr>
          <w:lang w:val="fr-FR"/>
        </w:rPr>
        <w:t>accomplissement de leurs formalités constitutionnelles respectives</w:t>
      </w:r>
      <w:r w:rsidRPr="00F22925">
        <w:rPr>
          <w:lang w:val="fr-FR"/>
        </w:rPr>
        <w:t>.</w:t>
      </w:r>
      <w:r w:rsidRPr="008C5911">
        <w:rPr>
          <w:lang w:val="fr-FR"/>
        </w:rPr>
        <w:t xml:space="preserve"> </w:t>
      </w:r>
    </w:p>
    <w:p w14:paraId="110E3E6D" w14:textId="77777777" w:rsidR="00507F03" w:rsidRPr="008C5911" w:rsidRDefault="00507F03" w:rsidP="00507F03">
      <w:pPr>
        <w:pStyle w:val="SingleTxtG"/>
        <w:rPr>
          <w:bCs/>
          <w:lang w:val="fr-CA"/>
        </w:rPr>
      </w:pPr>
      <w:r w:rsidRPr="008C5911">
        <w:rPr>
          <w:lang w:val="fr-FR"/>
        </w:rPr>
        <w:t>27</w:t>
      </w:r>
      <w:r w:rsidRPr="00F22925">
        <w:rPr>
          <w:lang w:val="fr-FR"/>
        </w:rPr>
        <w:t>.</w:t>
      </w:r>
      <w:r w:rsidRPr="008C5911">
        <w:rPr>
          <w:lang w:val="fr-FR"/>
        </w:rPr>
        <w:tab/>
        <w:t>Accord de coopération technique et financière entre le Gouvernement du Royaume des Pays-Bas et le Cabinet des Ministres de l</w:t>
      </w:r>
      <w:r>
        <w:rPr>
          <w:lang w:val="fr-FR"/>
        </w:rPr>
        <w:t>’</w:t>
      </w:r>
      <w:r w:rsidRPr="008C5911">
        <w:rPr>
          <w:lang w:val="fr-FR"/>
        </w:rPr>
        <w:t>Ukraine (Kiev, 11 mai 1998)</w:t>
      </w:r>
      <w:r w:rsidRPr="00F22830">
        <w:rPr>
          <w:rStyle w:val="FootnoteReference"/>
        </w:rPr>
        <w:footnoteReference w:id="30"/>
      </w:r>
      <w:r w:rsidRPr="008C5911">
        <w:rPr>
          <w:lang w:val="fr-FR"/>
        </w:rPr>
        <w:t> :</w:t>
      </w:r>
    </w:p>
    <w:p w14:paraId="6A7D9883" w14:textId="77777777" w:rsidR="00507F03" w:rsidRPr="008C5911" w:rsidRDefault="00507F03" w:rsidP="00507F03">
      <w:pPr>
        <w:pStyle w:val="SingleTxtG"/>
        <w:ind w:left="1701"/>
        <w:jc w:val="left"/>
        <w:rPr>
          <w:b/>
          <w:bCs/>
          <w:lang w:val="fr-CA"/>
        </w:rPr>
      </w:pPr>
      <w:r w:rsidRPr="008C5911">
        <w:rPr>
          <w:b/>
          <w:bCs/>
          <w:lang w:val="fr-FR"/>
        </w:rPr>
        <w:t xml:space="preserve">Article 7 </w:t>
      </w:r>
      <w:r w:rsidRPr="008C5911">
        <w:rPr>
          <w:b/>
          <w:bCs/>
          <w:lang w:val="fr-FR"/>
        </w:rPr>
        <w:br/>
        <w:t>Clauses finales</w:t>
      </w:r>
    </w:p>
    <w:p w14:paraId="6F50CD47"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09E00805" w14:textId="77777777" w:rsidR="00507F03" w:rsidRPr="008C5911" w:rsidRDefault="00507F03" w:rsidP="00507F03">
      <w:pPr>
        <w:pStyle w:val="SingleTxtG"/>
        <w:ind w:left="1701"/>
        <w:rPr>
          <w:lang w:val="fr-CA"/>
        </w:rPr>
      </w:pPr>
      <w:r w:rsidRPr="008C5911">
        <w:rPr>
          <w:lang w:val="fr-FR"/>
        </w:rPr>
        <w:t>7</w:t>
      </w:r>
      <w:r w:rsidRPr="00F22925">
        <w:rPr>
          <w:lang w:val="fr-FR"/>
        </w:rPr>
        <w:t>.</w:t>
      </w:r>
      <w:r w:rsidRPr="008C5911">
        <w:rPr>
          <w:lang w:val="fr-FR"/>
        </w:rPr>
        <w:t>2</w:t>
      </w:r>
      <w:r w:rsidRPr="00F22925">
        <w:rPr>
          <w:lang w:val="fr-FR"/>
        </w:rPr>
        <w:t>.</w:t>
      </w:r>
      <w:r w:rsidRPr="008C5911">
        <w:rPr>
          <w:lang w:val="fr-FR"/>
        </w:rPr>
        <w:tab/>
        <w:t>Le présent Accord produira provisoirement ses effets à compter de la date de sa signature, pour autant que ses dispositions n</w:t>
      </w:r>
      <w:r>
        <w:rPr>
          <w:lang w:val="fr-FR"/>
        </w:rPr>
        <w:t>’</w:t>
      </w:r>
      <w:r w:rsidRPr="008C5911">
        <w:rPr>
          <w:lang w:val="fr-FR"/>
        </w:rPr>
        <w:t>entrent pas en conflit avec toute législation en vigueur dans les deux Parties</w:t>
      </w:r>
      <w:r w:rsidRPr="00F22925">
        <w:rPr>
          <w:lang w:val="fr-FR"/>
        </w:rPr>
        <w:t>.</w:t>
      </w:r>
    </w:p>
    <w:p w14:paraId="72A05898" w14:textId="77777777" w:rsidR="00507F03" w:rsidRPr="008C5911" w:rsidRDefault="00507F03" w:rsidP="00507F03">
      <w:pPr>
        <w:pStyle w:val="SingleTxtG"/>
        <w:keepNext/>
        <w:keepLines/>
        <w:rPr>
          <w:lang w:val="fr-CA"/>
        </w:rPr>
      </w:pPr>
      <w:r w:rsidRPr="008C5911">
        <w:rPr>
          <w:lang w:val="fr-FR"/>
        </w:rPr>
        <w:t>28</w:t>
      </w:r>
      <w:r w:rsidRPr="00F22925">
        <w:rPr>
          <w:lang w:val="fr-FR"/>
        </w:rPr>
        <w:t>.</w:t>
      </w:r>
      <w:r w:rsidRPr="008C5911">
        <w:rPr>
          <w:lang w:val="fr-FR"/>
        </w:rPr>
        <w:tab/>
        <w:t>Accord entre le Gouvernement des États-Unis d</w:t>
      </w:r>
      <w:r>
        <w:rPr>
          <w:lang w:val="fr-FR"/>
        </w:rPr>
        <w:t>’</w:t>
      </w:r>
      <w:r w:rsidRPr="008C5911">
        <w:rPr>
          <w:lang w:val="fr-FR"/>
        </w:rPr>
        <w:t>Amérique et le Gouvernement de la République des Îles Marshall concernant la coopération en vue de la répression par mer de la prolifération des armes de destruction massive, leurs systèmes de lancement et matériels connexes (Honolulu, 13 août 2004)</w:t>
      </w:r>
      <w:r w:rsidRPr="00F22830">
        <w:rPr>
          <w:rStyle w:val="FootnoteReference"/>
        </w:rPr>
        <w:footnoteReference w:id="31"/>
      </w:r>
      <w:r w:rsidRPr="008C5911">
        <w:rPr>
          <w:lang w:val="fr-FR"/>
        </w:rPr>
        <w:t> :</w:t>
      </w:r>
    </w:p>
    <w:p w14:paraId="0C73A294" w14:textId="77777777" w:rsidR="00507F03" w:rsidRPr="008C5911" w:rsidRDefault="00507F03" w:rsidP="00507F03">
      <w:pPr>
        <w:pStyle w:val="SingleTxtG"/>
        <w:ind w:left="1701"/>
        <w:jc w:val="left"/>
        <w:rPr>
          <w:b/>
          <w:bCs/>
          <w:lang w:val="fr-CA"/>
        </w:rPr>
      </w:pPr>
      <w:r w:rsidRPr="008C5911">
        <w:rPr>
          <w:b/>
          <w:bCs/>
          <w:lang w:val="fr-FR"/>
        </w:rPr>
        <w:t xml:space="preserve">Article 17 </w:t>
      </w:r>
      <w:r w:rsidRPr="008C5911">
        <w:rPr>
          <w:b/>
          <w:bCs/>
          <w:lang w:val="fr-FR"/>
        </w:rPr>
        <w:br/>
        <w:t>Entrée en vigueur et durée</w:t>
      </w:r>
    </w:p>
    <w:p w14:paraId="4B30B5D9" w14:textId="77777777" w:rsidR="00507F03" w:rsidRPr="008C5911" w:rsidRDefault="00507F03" w:rsidP="00507F03">
      <w:pPr>
        <w:pStyle w:val="SingleTxtG"/>
        <w:ind w:left="1701"/>
        <w:jc w:val="left"/>
        <w:rPr>
          <w:lang w:val="fr-FR"/>
        </w:rPr>
      </w:pPr>
      <w:r w:rsidRPr="008C5911">
        <w:rPr>
          <w:lang w:val="fr-FR"/>
        </w:rPr>
        <w:t>[</w:t>
      </w:r>
      <w:r w:rsidRPr="00F22925">
        <w:rPr>
          <w:lang w:val="fr-FR"/>
        </w:rPr>
        <w:t>...</w:t>
      </w:r>
      <w:r w:rsidRPr="008C5911">
        <w:rPr>
          <w:lang w:val="fr-FR"/>
        </w:rPr>
        <w:t xml:space="preserve">] </w:t>
      </w:r>
    </w:p>
    <w:p w14:paraId="26BD1482" w14:textId="77777777" w:rsidR="00507F03" w:rsidRPr="008C5911" w:rsidRDefault="00507F03" w:rsidP="00507F03">
      <w:pPr>
        <w:pStyle w:val="SingleTxtG"/>
        <w:ind w:left="1701"/>
        <w:rPr>
          <w:lang w:val="fr-CA"/>
        </w:rPr>
      </w:pPr>
      <w:r w:rsidRPr="008C5911">
        <w:rPr>
          <w:lang w:val="fr-FR"/>
        </w:rPr>
        <w:t>2</w:t>
      </w:r>
      <w:r w:rsidRPr="00F22925">
        <w:rPr>
          <w:lang w:val="fr-FR"/>
        </w:rPr>
        <w:t>.</w:t>
      </w:r>
      <w:r w:rsidRPr="008C5911">
        <w:rPr>
          <w:lang w:val="fr-FR"/>
        </w:rPr>
        <w:tab/>
        <w:t>Application provisoire</w:t>
      </w:r>
      <w:r w:rsidRPr="00F22925">
        <w:rPr>
          <w:lang w:val="fr-FR"/>
        </w:rPr>
        <w:t>.</w:t>
      </w:r>
      <w:r w:rsidRPr="008C5911">
        <w:rPr>
          <w:lang w:val="fr-FR"/>
        </w:rPr>
        <w:t xml:space="preserve"> Les Parties appliquent provisoirement le présent Accord dès la date de sa signature</w:t>
      </w:r>
      <w:r w:rsidRPr="00F22925">
        <w:rPr>
          <w:lang w:val="fr-FR"/>
        </w:rPr>
        <w:t>.</w:t>
      </w:r>
      <w:r w:rsidRPr="008C5911">
        <w:rPr>
          <w:lang w:val="fr-FR"/>
        </w:rPr>
        <w:t xml:space="preserve"> Chaque Partie peut à tout moment suspendre l</w:t>
      </w:r>
      <w:r>
        <w:rPr>
          <w:lang w:val="fr-FR"/>
        </w:rPr>
        <w:t>’</w:t>
      </w:r>
      <w:r w:rsidRPr="008C5911">
        <w:rPr>
          <w:lang w:val="fr-FR"/>
        </w:rPr>
        <w:t>application provisoire du présent Accord</w:t>
      </w:r>
      <w:r w:rsidRPr="00F22925">
        <w:rPr>
          <w:lang w:val="fr-FR"/>
        </w:rPr>
        <w:t>.</w:t>
      </w:r>
      <w:r w:rsidRPr="008C5911">
        <w:rPr>
          <w:lang w:val="fr-FR"/>
        </w:rPr>
        <w:t xml:space="preserve"> Chaque Partie informe immédiatement l</w:t>
      </w:r>
      <w:r>
        <w:rPr>
          <w:lang w:val="fr-FR"/>
        </w:rPr>
        <w:t>’</w:t>
      </w:r>
      <w:r w:rsidRPr="008C5911">
        <w:rPr>
          <w:lang w:val="fr-FR"/>
        </w:rPr>
        <w:t>autre de toute contrainte ou limitation de l</w:t>
      </w:r>
      <w:r>
        <w:rPr>
          <w:lang w:val="fr-FR"/>
        </w:rPr>
        <w:t>’</w:t>
      </w:r>
      <w:r w:rsidRPr="008C5911">
        <w:rPr>
          <w:lang w:val="fr-FR"/>
        </w:rPr>
        <w:t>application provisoire du présent Accord et de tout changement de ces contraintes ou limitations et ce, dès la suspension de l</w:t>
      </w:r>
      <w:r>
        <w:rPr>
          <w:lang w:val="fr-FR"/>
        </w:rPr>
        <w:t>’</w:t>
      </w:r>
      <w:r w:rsidRPr="008C5911">
        <w:rPr>
          <w:lang w:val="fr-FR"/>
        </w:rPr>
        <w:t>application provisoire</w:t>
      </w:r>
      <w:r w:rsidRPr="00F22925">
        <w:rPr>
          <w:lang w:val="fr-FR"/>
        </w:rPr>
        <w:t>.</w:t>
      </w:r>
      <w:r w:rsidRPr="008C5911">
        <w:rPr>
          <w:lang w:val="fr-FR"/>
        </w:rPr>
        <w:t xml:space="preserve"> </w:t>
      </w:r>
    </w:p>
    <w:p w14:paraId="3EC88E6D" w14:textId="77777777" w:rsidR="00507F03" w:rsidRPr="008C5911" w:rsidRDefault="00507F03" w:rsidP="00507F03">
      <w:pPr>
        <w:pStyle w:val="SingleTxtG"/>
        <w:rPr>
          <w:lang w:val="fr-CA"/>
        </w:rPr>
      </w:pPr>
      <w:r w:rsidRPr="008C5911">
        <w:rPr>
          <w:lang w:val="fr-FR"/>
        </w:rPr>
        <w:t>29</w:t>
      </w:r>
      <w:r w:rsidRPr="00F22925">
        <w:rPr>
          <w:lang w:val="fr-FR"/>
        </w:rPr>
        <w:t>.</w:t>
      </w:r>
      <w:r w:rsidRPr="008C5911">
        <w:rPr>
          <w:lang w:val="fr-FR"/>
        </w:rPr>
        <w:tab/>
        <w:t>Accord entre le Gouvernement de la République fédérale d</w:t>
      </w:r>
      <w:r>
        <w:rPr>
          <w:lang w:val="fr-FR"/>
        </w:rPr>
        <w:t>’</w:t>
      </w:r>
      <w:r w:rsidRPr="008C5911">
        <w:rPr>
          <w:lang w:val="fr-FR"/>
        </w:rPr>
        <w:t>Allemagne et le Conseil des ministres de la Serbie-et-Monténégro relatif à la coopération technique (Belgrade, 13 octobre 2004)</w:t>
      </w:r>
      <w:r w:rsidRPr="00F22830">
        <w:rPr>
          <w:rStyle w:val="FootnoteReference"/>
        </w:rPr>
        <w:footnoteReference w:id="32"/>
      </w:r>
      <w:r w:rsidRPr="008C5911">
        <w:rPr>
          <w:lang w:val="fr-FR"/>
        </w:rPr>
        <w:t> :</w:t>
      </w:r>
    </w:p>
    <w:p w14:paraId="2F0CC537" w14:textId="77777777" w:rsidR="00507F03" w:rsidRPr="008C5911" w:rsidRDefault="00507F03" w:rsidP="00507F03">
      <w:pPr>
        <w:pStyle w:val="SingleTxtG"/>
        <w:ind w:left="1701"/>
        <w:jc w:val="left"/>
        <w:rPr>
          <w:b/>
          <w:bCs/>
          <w:lang w:val="fr-CA"/>
        </w:rPr>
      </w:pPr>
      <w:r w:rsidRPr="008C5911">
        <w:rPr>
          <w:b/>
          <w:bCs/>
          <w:lang w:val="fr-FR"/>
        </w:rPr>
        <w:t>Article 7</w:t>
      </w:r>
    </w:p>
    <w:p w14:paraId="17F68BC0" w14:textId="77777777" w:rsidR="00507F03" w:rsidRPr="008C5911" w:rsidRDefault="00507F03" w:rsidP="00507F03">
      <w:pPr>
        <w:pStyle w:val="SingleTxtG"/>
        <w:ind w:left="1701"/>
        <w:jc w:val="left"/>
        <w:rPr>
          <w:lang w:val="fr-FR"/>
        </w:rPr>
      </w:pPr>
      <w:r w:rsidRPr="008C5911">
        <w:rPr>
          <w:lang w:val="fr-FR"/>
        </w:rPr>
        <w:t>[</w:t>
      </w:r>
      <w:r w:rsidRPr="00F22925">
        <w:rPr>
          <w:lang w:val="fr-FR"/>
        </w:rPr>
        <w:t>...</w:t>
      </w:r>
      <w:r w:rsidRPr="008C5911">
        <w:rPr>
          <w:lang w:val="fr-FR"/>
        </w:rPr>
        <w:t xml:space="preserve">] </w:t>
      </w:r>
    </w:p>
    <w:p w14:paraId="685C0423" w14:textId="77777777" w:rsidR="00507F03" w:rsidRPr="008C5911" w:rsidRDefault="00507F03" w:rsidP="00507F03">
      <w:pPr>
        <w:pStyle w:val="SingleTxtG"/>
        <w:ind w:left="1701"/>
        <w:rPr>
          <w:lang w:val="fr-CA"/>
        </w:rPr>
      </w:pPr>
      <w:r w:rsidRPr="008C5911">
        <w:rPr>
          <w:lang w:val="fr-FR"/>
        </w:rPr>
        <w:t>3)</w:t>
      </w:r>
      <w:r w:rsidRPr="008C5911">
        <w:rPr>
          <w:lang w:val="fr-FR"/>
        </w:rPr>
        <w:tab/>
        <w:t>Après sa signature, l</w:t>
      </w:r>
      <w:r>
        <w:rPr>
          <w:lang w:val="fr-FR"/>
        </w:rPr>
        <w:t>’</w:t>
      </w:r>
      <w:r w:rsidRPr="008C5911">
        <w:rPr>
          <w:lang w:val="fr-FR"/>
        </w:rPr>
        <w:t>accord est appliqué provisoirement dans le respect du droit national concerné</w:t>
      </w:r>
      <w:r w:rsidRPr="00F22925">
        <w:rPr>
          <w:lang w:val="fr-FR"/>
        </w:rPr>
        <w:t>.</w:t>
      </w:r>
    </w:p>
    <w:p w14:paraId="2D17A62E" w14:textId="77777777" w:rsidR="00507F03" w:rsidRPr="008C5911" w:rsidRDefault="00507F03" w:rsidP="00507F03">
      <w:pPr>
        <w:pStyle w:val="SingleTxtG"/>
        <w:rPr>
          <w:lang w:val="fr-CA"/>
        </w:rPr>
      </w:pPr>
      <w:r w:rsidRPr="008C5911">
        <w:rPr>
          <w:lang w:val="fr-FR"/>
        </w:rPr>
        <w:t>30</w:t>
      </w:r>
      <w:r w:rsidRPr="00F22925">
        <w:rPr>
          <w:lang w:val="fr-FR"/>
        </w:rPr>
        <w:t>.</w:t>
      </w:r>
      <w:r w:rsidRPr="008C5911">
        <w:rPr>
          <w:lang w:val="fr-FR"/>
        </w:rPr>
        <w:tab/>
        <w:t>Accord euro-méditerranéen relatif aux services aériens entre la Communauté européenne et ses États membres, d</w:t>
      </w:r>
      <w:r>
        <w:rPr>
          <w:lang w:val="fr-FR"/>
        </w:rPr>
        <w:t>’</w:t>
      </w:r>
      <w:r w:rsidRPr="008C5911">
        <w:rPr>
          <w:lang w:val="fr-FR"/>
        </w:rPr>
        <w:t>une part, et le Royaume du Maroc, d</w:t>
      </w:r>
      <w:r>
        <w:rPr>
          <w:lang w:val="fr-FR"/>
        </w:rPr>
        <w:t>’</w:t>
      </w:r>
      <w:r w:rsidRPr="008C5911">
        <w:rPr>
          <w:lang w:val="fr-FR"/>
        </w:rPr>
        <w:t>autre part (Bruxelles, 12 décembre 2006)</w:t>
      </w:r>
      <w:r w:rsidRPr="00F22830">
        <w:rPr>
          <w:rStyle w:val="FootnoteReference"/>
        </w:rPr>
        <w:footnoteReference w:id="33"/>
      </w:r>
      <w:r w:rsidRPr="008C5911">
        <w:rPr>
          <w:lang w:val="fr-FR"/>
        </w:rPr>
        <w:t> :</w:t>
      </w:r>
    </w:p>
    <w:p w14:paraId="7F4F0906" w14:textId="77777777" w:rsidR="00507F03" w:rsidRPr="008C5911" w:rsidRDefault="00507F03" w:rsidP="00507F03">
      <w:pPr>
        <w:pStyle w:val="SingleTxtG"/>
        <w:ind w:left="1701"/>
        <w:jc w:val="left"/>
        <w:rPr>
          <w:b/>
          <w:lang w:val="fr-CA"/>
        </w:rPr>
      </w:pPr>
      <w:r w:rsidRPr="008C5911">
        <w:rPr>
          <w:b/>
          <w:bCs/>
          <w:lang w:val="fr-FR"/>
        </w:rPr>
        <w:t>Article 30</w:t>
      </w:r>
      <w:r w:rsidRPr="008C5911">
        <w:rPr>
          <w:lang w:val="fr-FR"/>
        </w:rPr>
        <w:t xml:space="preserve"> </w:t>
      </w:r>
      <w:r w:rsidRPr="008C5911">
        <w:rPr>
          <w:lang w:val="fr-FR"/>
        </w:rPr>
        <w:br/>
      </w:r>
      <w:r w:rsidRPr="008C5911">
        <w:rPr>
          <w:b/>
          <w:bCs/>
          <w:lang w:val="fr-FR"/>
        </w:rPr>
        <w:t>Entrée en vigueur</w:t>
      </w:r>
      <w:r w:rsidRPr="008C5911">
        <w:rPr>
          <w:lang w:val="fr-FR"/>
        </w:rPr>
        <w:t xml:space="preserve"> </w:t>
      </w:r>
    </w:p>
    <w:p w14:paraId="161A34FA" w14:textId="77777777" w:rsidR="00507F03" w:rsidRPr="008C5911" w:rsidRDefault="00507F03" w:rsidP="00507F03">
      <w:pPr>
        <w:pStyle w:val="SingleTxtG"/>
        <w:ind w:left="1701"/>
        <w:rPr>
          <w:lang w:val="fr-CA"/>
        </w:rPr>
      </w:pPr>
      <w:r w:rsidRPr="008C5911">
        <w:rPr>
          <w:lang w:val="fr-FR"/>
        </w:rPr>
        <w:t>1</w:t>
      </w:r>
      <w:r w:rsidRPr="00F22925">
        <w:rPr>
          <w:lang w:val="fr-FR"/>
        </w:rPr>
        <w:t>.</w:t>
      </w:r>
      <w:r w:rsidRPr="008C5911">
        <w:rPr>
          <w:lang w:val="fr-FR"/>
        </w:rPr>
        <w:tab/>
        <w:t>Le présent accord sera appliqué, à titre provisoire, conformément au droit interne des parties contractantes, à la date de sa signature</w:t>
      </w:r>
      <w:r w:rsidRPr="00F22925">
        <w:rPr>
          <w:lang w:val="fr-FR"/>
        </w:rPr>
        <w:t>.</w:t>
      </w:r>
    </w:p>
    <w:p w14:paraId="066F0FCC" w14:textId="77777777" w:rsidR="00507F03" w:rsidRPr="008C5911" w:rsidRDefault="00507F03" w:rsidP="00507F03">
      <w:pPr>
        <w:pStyle w:val="SingleTxtG"/>
        <w:rPr>
          <w:bCs/>
          <w:lang w:val="fr-CA"/>
        </w:rPr>
      </w:pPr>
      <w:r w:rsidRPr="008C5911">
        <w:rPr>
          <w:lang w:val="fr-FR"/>
        </w:rPr>
        <w:lastRenderedPageBreak/>
        <w:t>31</w:t>
      </w:r>
      <w:r w:rsidRPr="00F22925">
        <w:rPr>
          <w:lang w:val="fr-FR"/>
        </w:rPr>
        <w:t>.</w:t>
      </w:r>
      <w:r w:rsidRPr="008C5911">
        <w:rPr>
          <w:lang w:val="fr-FR"/>
        </w:rPr>
        <w:tab/>
        <w:t>Accord entre les États-Unis d</w:t>
      </w:r>
      <w:r>
        <w:rPr>
          <w:lang w:val="fr-FR"/>
        </w:rPr>
        <w:t>’</w:t>
      </w:r>
      <w:r w:rsidRPr="008C5911">
        <w:rPr>
          <w:lang w:val="fr-FR"/>
        </w:rPr>
        <w:t>Amérique et le Royaume d</w:t>
      </w:r>
      <w:r>
        <w:rPr>
          <w:lang w:val="fr-FR"/>
        </w:rPr>
        <w:t>’</w:t>
      </w:r>
      <w:r w:rsidRPr="008C5911">
        <w:rPr>
          <w:lang w:val="fr-FR"/>
        </w:rPr>
        <w:t>Espagne relatif à la coopération scientifique et technologique en matière de sécurité intérieure (Madrid, 30 juin 2011)</w:t>
      </w:r>
      <w:r w:rsidRPr="00F22830">
        <w:rPr>
          <w:rStyle w:val="FootnoteReference"/>
        </w:rPr>
        <w:footnoteReference w:id="34"/>
      </w:r>
      <w:r w:rsidRPr="008C5911">
        <w:rPr>
          <w:lang w:val="fr-FR"/>
        </w:rPr>
        <w:t> :</w:t>
      </w:r>
    </w:p>
    <w:p w14:paraId="6DBDC8B1" w14:textId="77777777" w:rsidR="00507F03" w:rsidRPr="008C5911" w:rsidRDefault="00507F03" w:rsidP="00507F03">
      <w:pPr>
        <w:pStyle w:val="SingleTxtG"/>
        <w:ind w:left="1701"/>
        <w:jc w:val="left"/>
        <w:rPr>
          <w:b/>
          <w:bCs/>
          <w:lang w:val="fr-CA"/>
        </w:rPr>
      </w:pPr>
      <w:r w:rsidRPr="008C5911">
        <w:rPr>
          <w:b/>
          <w:bCs/>
          <w:lang w:val="fr-FR"/>
        </w:rPr>
        <w:t>Article 21</w:t>
      </w:r>
      <w:r w:rsidRPr="008C5911">
        <w:rPr>
          <w:lang w:val="fr-FR"/>
        </w:rPr>
        <w:t xml:space="preserve"> </w:t>
      </w:r>
      <w:r w:rsidRPr="008C5911">
        <w:rPr>
          <w:lang w:val="fr-FR"/>
        </w:rPr>
        <w:br/>
      </w:r>
      <w:r w:rsidRPr="008C5911">
        <w:rPr>
          <w:b/>
          <w:bCs/>
          <w:lang w:val="fr-FR"/>
        </w:rPr>
        <w:t>Entrée en vigueur, modification, durée et dénonciation</w:t>
      </w:r>
    </w:p>
    <w:p w14:paraId="24C9285C" w14:textId="77777777" w:rsidR="00507F03" w:rsidRPr="008C5911" w:rsidRDefault="00507F03" w:rsidP="00507F03">
      <w:pPr>
        <w:pStyle w:val="SingleTxtG"/>
        <w:ind w:left="1701"/>
        <w:rPr>
          <w:lang w:val="fr-CA"/>
        </w:rPr>
      </w:pPr>
      <w:r w:rsidRPr="008C5911">
        <w:rPr>
          <w:lang w:val="fr-FR"/>
        </w:rPr>
        <w:t>1</w:t>
      </w:r>
      <w:r w:rsidRPr="00F22925">
        <w:rPr>
          <w:lang w:val="fr-FR"/>
        </w:rPr>
        <w:t>.</w:t>
      </w:r>
      <w:r w:rsidRPr="008C5911">
        <w:rPr>
          <w:lang w:val="fr-FR"/>
        </w:rPr>
        <w:tab/>
        <w:t>Le présent Accord s</w:t>
      </w:r>
      <w:r>
        <w:rPr>
          <w:lang w:val="fr-FR"/>
        </w:rPr>
        <w:t>’</w:t>
      </w:r>
      <w:r w:rsidRPr="008C5911">
        <w:rPr>
          <w:lang w:val="fr-FR"/>
        </w:rPr>
        <w:t>applique à titre provisoire dès sa signature par les deux Parties, conformément à leur législation nationale</w:t>
      </w:r>
      <w:r w:rsidRPr="00F22925">
        <w:rPr>
          <w:lang w:val="fr-FR"/>
        </w:rPr>
        <w:t>.</w:t>
      </w:r>
      <w:r w:rsidRPr="008C5911">
        <w:rPr>
          <w:lang w:val="fr-FR"/>
        </w:rPr>
        <w:t xml:space="preserve"> [</w:t>
      </w:r>
      <w:r w:rsidRPr="00F22925">
        <w:rPr>
          <w:lang w:val="fr-FR"/>
        </w:rPr>
        <w:t>...</w:t>
      </w:r>
      <w:r w:rsidRPr="008C5911">
        <w:rPr>
          <w:lang w:val="fr-FR"/>
        </w:rPr>
        <w:t>]</w:t>
      </w:r>
    </w:p>
    <w:p w14:paraId="541E2737" w14:textId="77777777" w:rsidR="00507F03" w:rsidRPr="008C5911" w:rsidRDefault="00507F03" w:rsidP="00507F03">
      <w:pPr>
        <w:pStyle w:val="H4G"/>
        <w:rPr>
          <w:bCs/>
          <w:lang w:val="fr-CA"/>
        </w:rPr>
      </w:pPr>
      <w:r w:rsidRPr="008C5911">
        <w:rPr>
          <w:lang w:val="fr-CA"/>
        </w:rPr>
        <w:tab/>
      </w:r>
      <w:r w:rsidRPr="00E82D1B">
        <w:rPr>
          <w:lang w:val="fr-CA"/>
        </w:rPr>
        <w:t>b)</w:t>
      </w:r>
      <w:r w:rsidRPr="00E82D1B">
        <w:rPr>
          <w:lang w:val="fr-CA"/>
        </w:rPr>
        <w:tab/>
      </w:r>
      <w:r w:rsidRPr="00E82D1B">
        <w:rPr>
          <w:lang w:val="fr-FR"/>
        </w:rPr>
        <w:t>Traités multilatéraux</w:t>
      </w:r>
      <w:r w:rsidRPr="008C5911">
        <w:rPr>
          <w:lang w:val="fr-FR"/>
        </w:rPr>
        <w:t xml:space="preserve"> </w:t>
      </w:r>
    </w:p>
    <w:p w14:paraId="23D341FF" w14:textId="77777777" w:rsidR="00507F03" w:rsidRPr="008C5911" w:rsidRDefault="00507F03" w:rsidP="00507F03">
      <w:pPr>
        <w:pStyle w:val="SingleTxtG"/>
        <w:rPr>
          <w:lang w:val="fr-CA"/>
        </w:rPr>
      </w:pPr>
      <w:r w:rsidRPr="008C5911">
        <w:rPr>
          <w:lang w:val="fr-FR"/>
        </w:rPr>
        <w:t>32</w:t>
      </w:r>
      <w:r w:rsidRPr="00F22925">
        <w:rPr>
          <w:lang w:val="fr-FR"/>
        </w:rPr>
        <w:t>.</w:t>
      </w:r>
      <w:r w:rsidRPr="008C5911">
        <w:rPr>
          <w:lang w:val="fr-FR"/>
        </w:rPr>
        <w:tab/>
        <w:t>Accord relatif à l</w:t>
      </w:r>
      <w:r>
        <w:rPr>
          <w:lang w:val="fr-FR"/>
        </w:rPr>
        <w:t>’</w:t>
      </w:r>
      <w:r w:rsidRPr="008C5911">
        <w:rPr>
          <w:lang w:val="fr-FR"/>
        </w:rPr>
        <w:t>application de la Partie XI de la Convention des Nations Unies sur le droit de la mer du 10 décembre 1982 (New York, 28 juillet 1994)</w:t>
      </w:r>
      <w:r w:rsidRPr="00F22830">
        <w:rPr>
          <w:rStyle w:val="FootnoteReference"/>
        </w:rPr>
        <w:footnoteReference w:id="35"/>
      </w:r>
      <w:r w:rsidRPr="008C5911">
        <w:rPr>
          <w:lang w:val="fr-FR"/>
        </w:rPr>
        <w:t> :</w:t>
      </w:r>
    </w:p>
    <w:p w14:paraId="7A97A561" w14:textId="77777777" w:rsidR="00507F03" w:rsidRPr="008C5911" w:rsidRDefault="00507F03" w:rsidP="00507F03">
      <w:pPr>
        <w:pStyle w:val="SingleTxtG"/>
        <w:ind w:left="1701"/>
        <w:jc w:val="left"/>
        <w:rPr>
          <w:b/>
          <w:bCs/>
          <w:lang w:val="fr-CA"/>
        </w:rPr>
      </w:pPr>
      <w:r w:rsidRPr="008C5911">
        <w:rPr>
          <w:b/>
          <w:bCs/>
          <w:lang w:val="fr-FR"/>
        </w:rPr>
        <w:t xml:space="preserve">Article 7 </w:t>
      </w:r>
      <w:r w:rsidRPr="008C5911">
        <w:rPr>
          <w:b/>
          <w:bCs/>
          <w:lang w:val="fr-FR"/>
        </w:rPr>
        <w:br/>
        <w:t>Application à titre provisoire</w:t>
      </w:r>
    </w:p>
    <w:p w14:paraId="26B080F6" w14:textId="77777777" w:rsidR="00507F03" w:rsidRPr="008C5911" w:rsidRDefault="00507F03" w:rsidP="00507F03">
      <w:pPr>
        <w:pStyle w:val="SingleTxtG"/>
        <w:ind w:left="1701"/>
        <w:jc w:val="left"/>
        <w:rPr>
          <w:bCs/>
          <w:lang w:val="fr-CA"/>
        </w:rPr>
      </w:pPr>
      <w:r w:rsidRPr="008C5911">
        <w:rPr>
          <w:lang w:val="fr-FR"/>
        </w:rPr>
        <w:t>[</w:t>
      </w:r>
      <w:r w:rsidRPr="00F22925">
        <w:rPr>
          <w:lang w:val="fr-FR"/>
        </w:rPr>
        <w:t>...</w:t>
      </w:r>
      <w:r w:rsidRPr="008C5911">
        <w:rPr>
          <w:lang w:val="fr-FR"/>
        </w:rPr>
        <w:t>]</w:t>
      </w:r>
    </w:p>
    <w:p w14:paraId="5C50279F" w14:textId="77777777" w:rsidR="00507F03" w:rsidRPr="008C5911" w:rsidRDefault="00507F03" w:rsidP="00507F03">
      <w:pPr>
        <w:pStyle w:val="SingleTxtG"/>
        <w:ind w:left="1701"/>
        <w:rPr>
          <w:lang w:val="fr-CA"/>
        </w:rPr>
      </w:pPr>
      <w:r w:rsidRPr="008C5911">
        <w:rPr>
          <w:lang w:val="fr-FR"/>
        </w:rPr>
        <w:t>2</w:t>
      </w:r>
      <w:r w:rsidRPr="00F22925">
        <w:rPr>
          <w:lang w:val="fr-FR"/>
        </w:rPr>
        <w:t>.</w:t>
      </w:r>
      <w:r w:rsidRPr="008C5911">
        <w:rPr>
          <w:lang w:val="fr-FR"/>
        </w:rPr>
        <w:tab/>
        <w:t>Tous ces États et entités appliquent l</w:t>
      </w:r>
      <w:r>
        <w:rPr>
          <w:lang w:val="fr-FR"/>
        </w:rPr>
        <w:t>’</w:t>
      </w:r>
      <w:r w:rsidRPr="008C5911">
        <w:rPr>
          <w:lang w:val="fr-FR"/>
        </w:rPr>
        <w:t>Accord à titre provisoire conformément à leurs lois et règlements nationaux ou internes à compter du 16 novembre 1994 ou de la date, si celle-ci est postérieure, de la signature, de la notification, du consentement ou de l</w:t>
      </w:r>
      <w:r>
        <w:rPr>
          <w:lang w:val="fr-FR"/>
        </w:rPr>
        <w:t>’</w:t>
      </w:r>
      <w:r w:rsidRPr="008C5911">
        <w:rPr>
          <w:lang w:val="fr-FR"/>
        </w:rPr>
        <w:t>adhésion</w:t>
      </w:r>
      <w:r w:rsidRPr="00F22925">
        <w:rPr>
          <w:lang w:val="fr-FR"/>
        </w:rPr>
        <w:t>.</w:t>
      </w:r>
    </w:p>
    <w:p w14:paraId="0A0CD8D4" w14:textId="77777777" w:rsidR="00507F03" w:rsidRPr="008C5911" w:rsidRDefault="00507F03" w:rsidP="00507F03">
      <w:pPr>
        <w:pStyle w:val="SingleTxtG"/>
        <w:rPr>
          <w:lang w:val="fr-CA"/>
        </w:rPr>
      </w:pPr>
      <w:r w:rsidRPr="008C5911">
        <w:rPr>
          <w:lang w:val="fr-FR"/>
        </w:rPr>
        <w:t>33</w:t>
      </w:r>
      <w:r w:rsidRPr="00F22925">
        <w:rPr>
          <w:lang w:val="fr-FR"/>
        </w:rPr>
        <w:t>.</w:t>
      </w:r>
      <w:r w:rsidRPr="008C5911">
        <w:rPr>
          <w:lang w:val="fr-FR"/>
        </w:rPr>
        <w:tab/>
        <w:t>Convention sur le commerce des céréales de 1995 (Londres, 7 décembre 1994)</w:t>
      </w:r>
      <w:r w:rsidRPr="00F22830">
        <w:rPr>
          <w:rStyle w:val="FootnoteReference"/>
        </w:rPr>
        <w:footnoteReference w:id="36"/>
      </w:r>
      <w:r w:rsidRPr="008C5911">
        <w:rPr>
          <w:lang w:val="fr-FR"/>
        </w:rPr>
        <w:t> :</w:t>
      </w:r>
    </w:p>
    <w:p w14:paraId="29E6FD3B" w14:textId="77777777" w:rsidR="00507F03" w:rsidRPr="008C5911" w:rsidRDefault="00507F03" w:rsidP="00507F03">
      <w:pPr>
        <w:pStyle w:val="SingleTxtG"/>
        <w:ind w:left="1701"/>
        <w:jc w:val="left"/>
        <w:rPr>
          <w:b/>
          <w:bCs/>
          <w:lang w:val="fr-CA"/>
        </w:rPr>
      </w:pPr>
      <w:r w:rsidRPr="008C5911">
        <w:rPr>
          <w:b/>
          <w:bCs/>
          <w:lang w:val="fr-FR"/>
        </w:rPr>
        <w:t xml:space="preserve">Article 26 </w:t>
      </w:r>
      <w:r w:rsidRPr="008C5911">
        <w:rPr>
          <w:b/>
          <w:bCs/>
          <w:lang w:val="fr-FR"/>
        </w:rPr>
        <w:br/>
        <w:t>Application à titre provisoire</w:t>
      </w:r>
    </w:p>
    <w:p w14:paraId="1D8D8D76" w14:textId="77777777" w:rsidR="00507F03" w:rsidRPr="008C5911" w:rsidRDefault="00507F03" w:rsidP="00507F03">
      <w:pPr>
        <w:pStyle w:val="SingleTxtG"/>
        <w:ind w:left="1701"/>
        <w:rPr>
          <w:lang w:val="fr-CA"/>
        </w:rPr>
      </w:pPr>
      <w:r w:rsidRPr="008C5911">
        <w:rPr>
          <w:lang w:val="fr-FR"/>
        </w:rPr>
        <w:tab/>
        <w:t>Tout gouvernement signataire et tout autre gouvernement remplissant les conditions nécessaires pour signer la présente Convention ou dont la demande d</w:t>
      </w:r>
      <w:r>
        <w:rPr>
          <w:lang w:val="fr-FR"/>
        </w:rPr>
        <w:t>’</w:t>
      </w:r>
      <w:r w:rsidRPr="008C5911">
        <w:rPr>
          <w:lang w:val="fr-FR"/>
        </w:rPr>
        <w:t>adhésion est approuvée par le Conseil peut déposer auprès du dépositaire une déclaration d</w:t>
      </w:r>
      <w:r>
        <w:rPr>
          <w:lang w:val="fr-FR"/>
        </w:rPr>
        <w:t>’</w:t>
      </w:r>
      <w:r w:rsidRPr="008C5911">
        <w:rPr>
          <w:lang w:val="fr-FR"/>
        </w:rPr>
        <w:t>application à titre provisoire</w:t>
      </w:r>
      <w:r w:rsidRPr="00F22925">
        <w:rPr>
          <w:lang w:val="fr-FR"/>
        </w:rPr>
        <w:t>.</w:t>
      </w:r>
      <w:r w:rsidRPr="008C5911">
        <w:rPr>
          <w:lang w:val="fr-FR"/>
        </w:rPr>
        <w:t xml:space="preserve"> Tout gouvernement déposant une telle déclaration applique provisoirement cette Convention en accord avec ses lois et règlements et il est considéré provisoirement comme y étant partie</w:t>
      </w:r>
      <w:r w:rsidRPr="00F22925">
        <w:rPr>
          <w:lang w:val="fr-FR"/>
        </w:rPr>
        <w:t>.</w:t>
      </w:r>
    </w:p>
    <w:p w14:paraId="5A78B737" w14:textId="77777777" w:rsidR="00507F03" w:rsidRPr="008C5911" w:rsidRDefault="00507F03" w:rsidP="00507F03">
      <w:pPr>
        <w:pStyle w:val="SingleTxtG"/>
        <w:rPr>
          <w:lang w:val="fr-CA"/>
        </w:rPr>
      </w:pPr>
      <w:r w:rsidRPr="008C5911">
        <w:rPr>
          <w:lang w:val="fr-FR"/>
        </w:rPr>
        <w:t>34</w:t>
      </w:r>
      <w:r w:rsidRPr="00F22925">
        <w:rPr>
          <w:lang w:val="fr-FR"/>
        </w:rPr>
        <w:t>.</w:t>
      </w:r>
      <w:r w:rsidRPr="008C5911">
        <w:rPr>
          <w:lang w:val="fr-FR"/>
        </w:rPr>
        <w:tab/>
        <w:t>Protocole sur l</w:t>
      </w:r>
      <w:r>
        <w:rPr>
          <w:lang w:val="fr-FR"/>
        </w:rPr>
        <w:t>’</w:t>
      </w:r>
      <w:r w:rsidRPr="008C5911">
        <w:rPr>
          <w:lang w:val="fr-FR"/>
        </w:rPr>
        <w:t>énergie adopté par la Communauté économique des États de l</w:t>
      </w:r>
      <w:r>
        <w:rPr>
          <w:lang w:val="fr-FR"/>
        </w:rPr>
        <w:t>’</w:t>
      </w:r>
      <w:r w:rsidRPr="008C5911">
        <w:rPr>
          <w:lang w:val="fr-FR"/>
        </w:rPr>
        <w:t>Afrique de l</w:t>
      </w:r>
      <w:r>
        <w:rPr>
          <w:lang w:val="fr-FR"/>
        </w:rPr>
        <w:t>’</w:t>
      </w:r>
      <w:r w:rsidRPr="008C5911">
        <w:rPr>
          <w:lang w:val="fr-FR"/>
        </w:rPr>
        <w:t>Ouest (Dakar, 31 janvier 2003)</w:t>
      </w:r>
      <w:bookmarkStart w:id="4" w:name="_Ref82001003"/>
      <w:r w:rsidRPr="00F22830">
        <w:rPr>
          <w:rStyle w:val="FootnoteReference"/>
        </w:rPr>
        <w:footnoteReference w:id="37"/>
      </w:r>
      <w:bookmarkEnd w:id="4"/>
      <w:r w:rsidRPr="008C5911">
        <w:rPr>
          <w:lang w:val="fr-FR"/>
        </w:rPr>
        <w:t> :</w:t>
      </w:r>
    </w:p>
    <w:p w14:paraId="6419A088" w14:textId="77777777" w:rsidR="00507F03" w:rsidRPr="00E44216" w:rsidRDefault="00507F03" w:rsidP="00507F03">
      <w:pPr>
        <w:pStyle w:val="SingleTxtG"/>
        <w:ind w:left="1701"/>
        <w:jc w:val="left"/>
        <w:rPr>
          <w:b/>
          <w:bCs/>
          <w:lang w:val="fr-CA"/>
        </w:rPr>
      </w:pPr>
      <w:r w:rsidRPr="008C5911">
        <w:rPr>
          <w:b/>
          <w:bCs/>
          <w:lang w:val="fr-FR"/>
        </w:rPr>
        <w:t xml:space="preserve">Article 40 </w:t>
      </w:r>
      <w:r w:rsidRPr="008C5911">
        <w:rPr>
          <w:b/>
          <w:bCs/>
          <w:lang w:val="fr-FR"/>
        </w:rPr>
        <w:br/>
      </w:r>
      <w:r w:rsidRPr="00E44216">
        <w:rPr>
          <w:b/>
          <w:bCs/>
          <w:lang w:val="fr-FR"/>
        </w:rPr>
        <w:t>Application provisoire</w:t>
      </w:r>
    </w:p>
    <w:p w14:paraId="46305C4B" w14:textId="77777777" w:rsidR="00507F03" w:rsidRPr="00E44216" w:rsidRDefault="00507F03" w:rsidP="00507F03">
      <w:pPr>
        <w:pStyle w:val="SingleTxtG"/>
        <w:ind w:left="1701"/>
        <w:rPr>
          <w:bCs/>
          <w:lang w:val="fr-CA"/>
        </w:rPr>
      </w:pPr>
      <w:r w:rsidRPr="00E44216">
        <w:rPr>
          <w:lang w:val="fr-FR"/>
        </w:rPr>
        <w:t>1.</w:t>
      </w:r>
      <w:r w:rsidRPr="00E44216">
        <w:rPr>
          <w:lang w:val="fr-FR"/>
        </w:rPr>
        <w:tab/>
        <w:t>Les signataires conviennent d</w:t>
      </w:r>
      <w:r>
        <w:rPr>
          <w:lang w:val="fr-FR"/>
        </w:rPr>
        <w:t>’</w:t>
      </w:r>
      <w:r w:rsidRPr="00E44216">
        <w:rPr>
          <w:lang w:val="fr-FR"/>
        </w:rPr>
        <w:t>appliquer le présent Protocole à titre provisoire, en attendant son entrée en vigueur pour ces signataires conformément à l</w:t>
      </w:r>
      <w:r>
        <w:rPr>
          <w:lang w:val="fr-FR"/>
        </w:rPr>
        <w:t>’</w:t>
      </w:r>
      <w:r w:rsidRPr="00E44216">
        <w:rPr>
          <w:lang w:val="fr-FR"/>
        </w:rPr>
        <w:t>article 39, dans la mesure où cette application provisoire n</w:t>
      </w:r>
      <w:r>
        <w:rPr>
          <w:lang w:val="fr-FR"/>
        </w:rPr>
        <w:t>’</w:t>
      </w:r>
      <w:r w:rsidRPr="00E44216">
        <w:rPr>
          <w:lang w:val="fr-FR"/>
        </w:rPr>
        <w:t xml:space="preserve">est pas incompatible avec leur Constitution ou leurs lois et règlements. </w:t>
      </w:r>
    </w:p>
    <w:p w14:paraId="48518FBF" w14:textId="77777777" w:rsidR="00507F03" w:rsidRPr="00E44216" w:rsidRDefault="00507F03" w:rsidP="00507F03">
      <w:pPr>
        <w:pStyle w:val="H1G"/>
        <w:rPr>
          <w:lang w:val="fr-CA"/>
        </w:rPr>
      </w:pPr>
      <w:r w:rsidRPr="00E44216">
        <w:rPr>
          <w:lang w:val="fr-CA"/>
        </w:rPr>
        <w:tab/>
        <w:t>E.</w:t>
      </w:r>
      <w:r w:rsidRPr="00E44216">
        <w:rPr>
          <w:lang w:val="fr-CA"/>
        </w:rPr>
        <w:tab/>
      </w:r>
      <w:r w:rsidRPr="00E44216">
        <w:rPr>
          <w:lang w:val="fr-FR"/>
        </w:rPr>
        <w:t>Cessation de l</w:t>
      </w:r>
      <w:r>
        <w:rPr>
          <w:lang w:val="fr-FR"/>
        </w:rPr>
        <w:t>’</w:t>
      </w:r>
      <w:r w:rsidRPr="00E44216">
        <w:rPr>
          <w:lang w:val="fr-FR"/>
        </w:rPr>
        <w:t xml:space="preserve">application à titre provisoire </w:t>
      </w:r>
    </w:p>
    <w:p w14:paraId="7C047ECE" w14:textId="77777777" w:rsidR="00507F03" w:rsidRPr="00E44216" w:rsidRDefault="00507F03" w:rsidP="00507F03">
      <w:pPr>
        <w:pStyle w:val="SingleTxtG"/>
        <w:rPr>
          <w:bCs/>
          <w:lang w:val="fr-CA"/>
        </w:rPr>
      </w:pPr>
      <w:r w:rsidRPr="00E44216">
        <w:rPr>
          <w:lang w:val="fr-FR"/>
        </w:rPr>
        <w:tab/>
        <w:t>À titre d</w:t>
      </w:r>
      <w:r>
        <w:rPr>
          <w:lang w:val="fr-FR"/>
        </w:rPr>
        <w:t>’</w:t>
      </w:r>
      <w:r w:rsidRPr="00E44216">
        <w:rPr>
          <w:lang w:val="fr-FR"/>
        </w:rPr>
        <w:t>exemples de dispositions concernant la cessation de l</w:t>
      </w:r>
      <w:r>
        <w:rPr>
          <w:lang w:val="fr-FR"/>
        </w:rPr>
        <w:t>’</w:t>
      </w:r>
      <w:r w:rsidRPr="00E44216">
        <w:rPr>
          <w:lang w:val="fr-FR"/>
        </w:rPr>
        <w:t>application provisoire, on peut retenir :</w:t>
      </w:r>
    </w:p>
    <w:p w14:paraId="53819EAB" w14:textId="77777777" w:rsidR="00507F03" w:rsidRPr="00E44216" w:rsidRDefault="00507F03" w:rsidP="00507F03">
      <w:pPr>
        <w:pStyle w:val="H23G"/>
        <w:rPr>
          <w:lang w:val="fr-CA"/>
        </w:rPr>
      </w:pPr>
      <w:r w:rsidRPr="00E44216">
        <w:rPr>
          <w:sz w:val="24"/>
          <w:lang w:val="fr-CA"/>
        </w:rPr>
        <w:lastRenderedPageBreak/>
        <w:tab/>
      </w:r>
      <w:r w:rsidRPr="00E44216">
        <w:rPr>
          <w:lang w:val="fr-CA"/>
        </w:rPr>
        <w:t>1)</w:t>
      </w:r>
      <w:r w:rsidRPr="00E44216">
        <w:rPr>
          <w:lang w:val="fr-CA"/>
        </w:rPr>
        <w:tab/>
      </w:r>
      <w:r w:rsidRPr="00E44216">
        <w:rPr>
          <w:lang w:val="fr-FR"/>
        </w:rPr>
        <w:t>À compter de la date de l</w:t>
      </w:r>
      <w:r>
        <w:rPr>
          <w:lang w:val="fr-FR"/>
        </w:rPr>
        <w:t>’</w:t>
      </w:r>
      <w:r w:rsidRPr="00E44216">
        <w:rPr>
          <w:lang w:val="fr-FR"/>
        </w:rPr>
        <w:t xml:space="preserve">entrée en vigueur </w:t>
      </w:r>
    </w:p>
    <w:p w14:paraId="2EB0ED73" w14:textId="77777777" w:rsidR="00507F03" w:rsidRPr="00E44216" w:rsidRDefault="00507F03" w:rsidP="00507F03">
      <w:pPr>
        <w:pStyle w:val="H4G"/>
        <w:rPr>
          <w:lang w:val="fr-CA"/>
        </w:rPr>
      </w:pPr>
      <w:r w:rsidRPr="00E44216">
        <w:rPr>
          <w:lang w:val="fr-CA"/>
        </w:rPr>
        <w:tab/>
        <w:t>a)</w:t>
      </w:r>
      <w:r w:rsidRPr="00E44216">
        <w:rPr>
          <w:lang w:val="fr-CA"/>
        </w:rPr>
        <w:tab/>
      </w:r>
      <w:r w:rsidRPr="00E44216">
        <w:rPr>
          <w:lang w:val="fr-FR"/>
        </w:rPr>
        <w:t>Traités bilatéraux</w:t>
      </w:r>
    </w:p>
    <w:p w14:paraId="54921AC2" w14:textId="77777777" w:rsidR="00507F03" w:rsidRPr="00E44216" w:rsidRDefault="00507F03" w:rsidP="00507F03">
      <w:pPr>
        <w:pStyle w:val="SingleTxtG"/>
        <w:rPr>
          <w:bCs/>
          <w:lang w:val="fr-CA"/>
        </w:rPr>
      </w:pPr>
      <w:r w:rsidRPr="00E44216">
        <w:rPr>
          <w:lang w:val="fr-FR"/>
        </w:rPr>
        <w:t>35.</w:t>
      </w:r>
      <w:r w:rsidRPr="00E44216">
        <w:rPr>
          <w:lang w:val="fr-FR"/>
        </w:rPr>
        <w:tab/>
        <w:t>Accord de libre-échange entre le Gouvernement de la République de Lettonie et le Gouvernement de la République tchèque (Riga, 15 avril 1996)</w:t>
      </w:r>
      <w:r w:rsidRPr="00E44216">
        <w:rPr>
          <w:rStyle w:val="FootnoteReference"/>
        </w:rPr>
        <w:footnoteReference w:id="38"/>
      </w:r>
      <w:r w:rsidRPr="00E44216">
        <w:rPr>
          <w:lang w:val="fr-FR"/>
        </w:rPr>
        <w:t> :</w:t>
      </w:r>
    </w:p>
    <w:p w14:paraId="04197758" w14:textId="77777777" w:rsidR="00507F03" w:rsidRPr="00E44216" w:rsidRDefault="00507F03" w:rsidP="00507F03">
      <w:pPr>
        <w:pStyle w:val="SingleTxtG"/>
        <w:ind w:left="1701"/>
        <w:jc w:val="left"/>
        <w:rPr>
          <w:b/>
          <w:bCs/>
          <w:lang w:val="fr-CA"/>
        </w:rPr>
      </w:pPr>
      <w:r w:rsidRPr="00E44216">
        <w:rPr>
          <w:b/>
          <w:bCs/>
          <w:lang w:val="fr-FR"/>
        </w:rPr>
        <w:t xml:space="preserve">Article 41 </w:t>
      </w:r>
      <w:r w:rsidRPr="00E44216">
        <w:rPr>
          <w:b/>
          <w:bCs/>
          <w:lang w:val="fr-FR"/>
        </w:rPr>
        <w:br/>
        <w:t>Application temporaire</w:t>
      </w:r>
    </w:p>
    <w:p w14:paraId="60042FE7" w14:textId="77777777" w:rsidR="00507F03" w:rsidRPr="00E44216" w:rsidRDefault="00507F03" w:rsidP="00507F03">
      <w:pPr>
        <w:pStyle w:val="SingleTxtG"/>
        <w:ind w:left="1701"/>
        <w:rPr>
          <w:lang w:val="fr-CA"/>
        </w:rPr>
      </w:pPr>
      <w:r w:rsidRPr="00E44216">
        <w:rPr>
          <w:lang w:val="fr-FR"/>
        </w:rPr>
        <w:tab/>
        <w:t>Avant l</w:t>
      </w:r>
      <w:r>
        <w:rPr>
          <w:lang w:val="fr-FR"/>
        </w:rPr>
        <w:t>’</w:t>
      </w:r>
      <w:r w:rsidRPr="00E44216">
        <w:rPr>
          <w:lang w:val="fr-FR"/>
        </w:rPr>
        <w:t>entrée en vigueur du présent Accord conformément à l</w:t>
      </w:r>
      <w:r>
        <w:rPr>
          <w:lang w:val="fr-FR"/>
        </w:rPr>
        <w:t>’</w:t>
      </w:r>
      <w:r w:rsidRPr="00E44216">
        <w:rPr>
          <w:lang w:val="fr-FR"/>
        </w:rPr>
        <w:t>Article 40, la République tchèque appliquera le présent Accord temporairement à partir du 1</w:t>
      </w:r>
      <w:r w:rsidRPr="00E44216">
        <w:rPr>
          <w:vertAlign w:val="superscript"/>
          <w:lang w:val="fr-FR"/>
        </w:rPr>
        <w:t>er</w:t>
      </w:r>
      <w:r w:rsidRPr="00E44216">
        <w:rPr>
          <w:lang w:val="fr-FR"/>
        </w:rPr>
        <w:t xml:space="preserve"> juillet 1996, à condition que la République de Lettonie notifie avant le 15 juin 1996 que ses formalités juridiques et internes requises pour l</w:t>
      </w:r>
      <w:r>
        <w:rPr>
          <w:lang w:val="fr-FR"/>
        </w:rPr>
        <w:t>’</w:t>
      </w:r>
      <w:r w:rsidRPr="00E44216">
        <w:rPr>
          <w:lang w:val="fr-FR"/>
        </w:rPr>
        <w:t>entrée en vigueur ont été accomplies et que la République de Lettonie appliquera le présent Accord à partir du 1</w:t>
      </w:r>
      <w:r w:rsidRPr="00E44216">
        <w:rPr>
          <w:vertAlign w:val="superscript"/>
          <w:lang w:val="fr-FR"/>
        </w:rPr>
        <w:t>er</w:t>
      </w:r>
      <w:r w:rsidRPr="00E44216">
        <w:rPr>
          <w:lang w:val="fr-FR"/>
        </w:rPr>
        <w:t xml:space="preserve"> juillet 1996. </w:t>
      </w:r>
    </w:p>
    <w:p w14:paraId="1BAE8EF5" w14:textId="77777777" w:rsidR="00507F03" w:rsidRPr="00E44216" w:rsidRDefault="00507F03" w:rsidP="00507F03">
      <w:pPr>
        <w:pStyle w:val="SingleTxtG"/>
        <w:rPr>
          <w:lang w:val="fr-CA"/>
        </w:rPr>
      </w:pPr>
      <w:r w:rsidRPr="00E44216">
        <w:rPr>
          <w:lang w:val="fr-FR"/>
        </w:rPr>
        <w:t>36.</w:t>
      </w:r>
      <w:r w:rsidRPr="00E44216">
        <w:rPr>
          <w:lang w:val="fr-FR"/>
        </w:rPr>
        <w:tab/>
        <w:t>Accord entre le Gouvernement de la République fédérale d</w:t>
      </w:r>
      <w:r>
        <w:rPr>
          <w:lang w:val="fr-FR"/>
        </w:rPr>
        <w:t>’</w:t>
      </w:r>
      <w:r w:rsidRPr="00E44216">
        <w:rPr>
          <w:lang w:val="fr-FR"/>
        </w:rPr>
        <w:t>Allemagne et le Gouvernement de la République de Slovénie concernant l</w:t>
      </w:r>
      <w:r>
        <w:rPr>
          <w:lang w:val="fr-FR"/>
        </w:rPr>
        <w:t>’</w:t>
      </w:r>
      <w:r w:rsidRPr="00E44216">
        <w:rPr>
          <w:lang w:val="fr-FR"/>
        </w:rPr>
        <w:t>inclusion dans les réserves de l</w:t>
      </w:r>
      <w:r>
        <w:rPr>
          <w:lang w:val="fr-FR"/>
        </w:rPr>
        <w:t>’</w:t>
      </w:r>
      <w:r w:rsidRPr="00E44216">
        <w:rPr>
          <w:lang w:val="fr-FR"/>
        </w:rPr>
        <w:t>Office slovène des réserves minimum en pétrole et dérivés de pétrole slovène des provisions du pétrole et des dérivés de pétrole stocké en Allemagne pour la Slovénie (Ljubljana, 18 décembre 2000)</w:t>
      </w:r>
      <w:r w:rsidRPr="00E44216">
        <w:rPr>
          <w:rStyle w:val="FootnoteReference"/>
        </w:rPr>
        <w:footnoteReference w:id="39"/>
      </w:r>
      <w:r w:rsidRPr="00E44216">
        <w:rPr>
          <w:lang w:val="fr-FR"/>
        </w:rPr>
        <w:t xml:space="preserve"> : </w:t>
      </w:r>
    </w:p>
    <w:p w14:paraId="12AEFEE9" w14:textId="77777777" w:rsidR="00507F03" w:rsidRPr="00E44216" w:rsidRDefault="00507F03" w:rsidP="00507F03">
      <w:pPr>
        <w:pStyle w:val="SingleTxtG"/>
        <w:ind w:left="1701"/>
        <w:jc w:val="left"/>
        <w:rPr>
          <w:b/>
          <w:bCs/>
          <w:lang w:val="fr-FR"/>
        </w:rPr>
      </w:pPr>
      <w:r w:rsidRPr="00E44216">
        <w:rPr>
          <w:b/>
          <w:bCs/>
          <w:lang w:val="fr-FR"/>
        </w:rPr>
        <w:t>Article 8</w:t>
      </w:r>
    </w:p>
    <w:p w14:paraId="5E75E312" w14:textId="77777777" w:rsidR="00507F03" w:rsidRPr="00E44216" w:rsidRDefault="00507F03" w:rsidP="00507F03">
      <w:pPr>
        <w:pStyle w:val="SingleTxtG"/>
        <w:ind w:left="1701"/>
        <w:jc w:val="left"/>
        <w:rPr>
          <w:lang w:val="fr-CA"/>
        </w:rPr>
      </w:pPr>
      <w:r w:rsidRPr="00E44216">
        <w:rPr>
          <w:lang w:val="fr-FR"/>
        </w:rPr>
        <w:t>…</w:t>
      </w:r>
    </w:p>
    <w:p w14:paraId="6B950CBE" w14:textId="77777777" w:rsidR="00507F03" w:rsidRPr="00E44216" w:rsidRDefault="00507F03" w:rsidP="00507F03">
      <w:pPr>
        <w:pStyle w:val="SingleTxtG"/>
        <w:ind w:left="1701"/>
        <w:rPr>
          <w:lang w:val="fr-CA"/>
        </w:rPr>
      </w:pPr>
      <w:r w:rsidRPr="00E44216">
        <w:rPr>
          <w:lang w:val="fr-FR"/>
        </w:rPr>
        <w:t>2.</w:t>
      </w:r>
      <w:r w:rsidRPr="00E44216">
        <w:rPr>
          <w:lang w:val="fr-FR"/>
        </w:rPr>
        <w:tab/>
        <w:t>L</w:t>
      </w:r>
      <w:r>
        <w:rPr>
          <w:lang w:val="fr-FR"/>
        </w:rPr>
        <w:t>’</w:t>
      </w:r>
      <w:r w:rsidRPr="00E44216">
        <w:rPr>
          <w:lang w:val="fr-FR"/>
        </w:rPr>
        <w:t>Accord s</w:t>
      </w:r>
      <w:r>
        <w:rPr>
          <w:lang w:val="fr-FR"/>
        </w:rPr>
        <w:t>’</w:t>
      </w:r>
      <w:r w:rsidRPr="00E44216">
        <w:rPr>
          <w:lang w:val="fr-FR"/>
        </w:rPr>
        <w:t>applique provisoirement à partir de la date de signature jusqu</w:t>
      </w:r>
      <w:r>
        <w:rPr>
          <w:lang w:val="fr-FR"/>
        </w:rPr>
        <w:t>’</w:t>
      </w:r>
      <w:r w:rsidRPr="00E44216">
        <w:rPr>
          <w:lang w:val="fr-FR"/>
        </w:rPr>
        <w:t>à son entrée en vigueur.</w:t>
      </w:r>
    </w:p>
    <w:p w14:paraId="5016C1BE" w14:textId="77777777" w:rsidR="00507F03" w:rsidRPr="008C5911" w:rsidRDefault="00507F03" w:rsidP="00507F03">
      <w:pPr>
        <w:pStyle w:val="SingleTxtG"/>
        <w:rPr>
          <w:bCs/>
          <w:lang w:val="fr-CA"/>
        </w:rPr>
      </w:pPr>
      <w:r w:rsidRPr="00E44216">
        <w:rPr>
          <w:lang w:val="fr-FR"/>
        </w:rPr>
        <w:t>37.</w:t>
      </w:r>
      <w:r w:rsidRPr="00E44216">
        <w:rPr>
          <w:lang w:val="fr-FR"/>
        </w:rPr>
        <w:tab/>
        <w:t>Accord relatif au transport aérien entre</w:t>
      </w:r>
      <w:r w:rsidRPr="008C5911">
        <w:rPr>
          <w:lang w:val="fr-FR"/>
        </w:rPr>
        <w:t xml:space="preserve"> le Gouvernement de la République du Paraguay et le Gouvernement des États-Unis d</w:t>
      </w:r>
      <w:r>
        <w:rPr>
          <w:lang w:val="fr-FR"/>
        </w:rPr>
        <w:t>’</w:t>
      </w:r>
      <w:r w:rsidRPr="008C5911">
        <w:rPr>
          <w:lang w:val="fr-FR"/>
        </w:rPr>
        <w:t>Amérique (Asunción, 2 mai 2005)</w:t>
      </w:r>
      <w:r w:rsidRPr="00F22830">
        <w:rPr>
          <w:rStyle w:val="FootnoteReference"/>
        </w:rPr>
        <w:footnoteReference w:id="40"/>
      </w:r>
      <w:r w:rsidRPr="008C5911">
        <w:rPr>
          <w:lang w:val="fr-FR"/>
        </w:rPr>
        <w:t> :</w:t>
      </w:r>
    </w:p>
    <w:p w14:paraId="14138572" w14:textId="77777777" w:rsidR="00507F03" w:rsidRPr="008C5911" w:rsidRDefault="00507F03" w:rsidP="00507F03">
      <w:pPr>
        <w:pStyle w:val="SingleTxtG"/>
        <w:ind w:left="1701"/>
        <w:jc w:val="left"/>
        <w:rPr>
          <w:b/>
          <w:bCs/>
          <w:lang w:val="fr-CA"/>
        </w:rPr>
      </w:pPr>
      <w:r w:rsidRPr="008C5911">
        <w:rPr>
          <w:b/>
          <w:bCs/>
          <w:lang w:val="fr-FR"/>
        </w:rPr>
        <w:t xml:space="preserve">Article 17 </w:t>
      </w:r>
      <w:r w:rsidRPr="008C5911">
        <w:rPr>
          <w:b/>
          <w:bCs/>
          <w:lang w:val="fr-FR"/>
        </w:rPr>
        <w:br/>
        <w:t>Entrée en vigueur</w:t>
      </w:r>
    </w:p>
    <w:p w14:paraId="4BF31DB6" w14:textId="77777777" w:rsidR="00507F03" w:rsidRPr="008C5911" w:rsidRDefault="00507F03" w:rsidP="00507F03">
      <w:pPr>
        <w:pStyle w:val="SingleTxtG"/>
        <w:ind w:left="1701"/>
        <w:rPr>
          <w:lang w:val="fr-CA"/>
        </w:rPr>
      </w:pPr>
      <w:r w:rsidRPr="008C5911">
        <w:rPr>
          <w:lang w:val="fr-FR"/>
        </w:rPr>
        <w:tab/>
        <w:t>Le présent Accord et ses annexes s</w:t>
      </w:r>
      <w:r>
        <w:rPr>
          <w:lang w:val="fr-FR"/>
        </w:rPr>
        <w:t>’</w:t>
      </w:r>
      <w:r w:rsidRPr="008C5911">
        <w:rPr>
          <w:lang w:val="fr-FR"/>
        </w:rPr>
        <w:t>appliqueront provisoirement dès sa signature et il entrera en vigueur à la date de la note clôturant l</w:t>
      </w:r>
      <w:r>
        <w:rPr>
          <w:lang w:val="fr-FR"/>
        </w:rPr>
        <w:t>’</w:t>
      </w:r>
      <w:r w:rsidRPr="008C5911">
        <w:rPr>
          <w:lang w:val="fr-FR"/>
        </w:rPr>
        <w:t>échange de notes entre les parties et confirmant l</w:t>
      </w:r>
      <w:r>
        <w:rPr>
          <w:lang w:val="fr-FR"/>
        </w:rPr>
        <w:t>’</w:t>
      </w:r>
      <w:r w:rsidRPr="008C5911">
        <w:rPr>
          <w:lang w:val="fr-FR"/>
        </w:rPr>
        <w:t>accomplissement par chacune des Parties de toutes les procédures internes nécessaires à cet effet</w:t>
      </w:r>
      <w:r w:rsidRPr="00F22925">
        <w:rPr>
          <w:lang w:val="fr-FR"/>
        </w:rPr>
        <w:t>.</w:t>
      </w:r>
      <w:r w:rsidRPr="008C5911">
        <w:rPr>
          <w:lang w:val="fr-FR"/>
        </w:rPr>
        <w:t xml:space="preserve"> [</w:t>
      </w:r>
      <w:r w:rsidRPr="00F22925">
        <w:rPr>
          <w:lang w:val="fr-FR"/>
        </w:rPr>
        <w:t>...</w:t>
      </w:r>
      <w:r w:rsidRPr="008C5911">
        <w:rPr>
          <w:lang w:val="fr-FR"/>
        </w:rPr>
        <w:t>]</w:t>
      </w:r>
    </w:p>
    <w:p w14:paraId="48C7AAE7" w14:textId="77777777" w:rsidR="00507F03" w:rsidRPr="008C5911" w:rsidRDefault="00507F03" w:rsidP="00507F03">
      <w:pPr>
        <w:pStyle w:val="SingleTxtG"/>
        <w:rPr>
          <w:u w:val="single"/>
          <w:lang w:val="fr-CA"/>
        </w:rPr>
      </w:pPr>
      <w:r w:rsidRPr="008C5911">
        <w:rPr>
          <w:lang w:val="fr-FR"/>
        </w:rPr>
        <w:t>38</w:t>
      </w:r>
      <w:r w:rsidRPr="00F22925">
        <w:rPr>
          <w:lang w:val="fr-FR"/>
        </w:rPr>
        <w:t>.</w:t>
      </w:r>
      <w:r w:rsidRPr="008C5911">
        <w:rPr>
          <w:lang w:val="fr-FR"/>
        </w:rPr>
        <w:tab/>
        <w:t>Accord entre le Royaume d</w:t>
      </w:r>
      <w:r>
        <w:rPr>
          <w:lang w:val="fr-FR"/>
        </w:rPr>
        <w:t>’</w:t>
      </w:r>
      <w:r w:rsidRPr="008C5911">
        <w:rPr>
          <w:lang w:val="fr-FR"/>
        </w:rPr>
        <w:t>Espagne et l</w:t>
      </w:r>
      <w:r>
        <w:rPr>
          <w:lang w:val="fr-FR"/>
        </w:rPr>
        <w:t>’</w:t>
      </w:r>
      <w:r w:rsidRPr="008C5911">
        <w:rPr>
          <w:lang w:val="fr-FR"/>
        </w:rPr>
        <w:t>Association internationale du transport aérien (IATA) relatif au statut de l</w:t>
      </w:r>
      <w:r>
        <w:rPr>
          <w:lang w:val="fr-FR"/>
        </w:rPr>
        <w:t>’</w:t>
      </w:r>
      <w:r w:rsidRPr="008C5911">
        <w:rPr>
          <w:lang w:val="fr-FR"/>
        </w:rPr>
        <w:t>IATA en Espagne (Madrid, 5 mai 2009)</w:t>
      </w:r>
      <w:r w:rsidRPr="00F22830">
        <w:rPr>
          <w:rStyle w:val="FootnoteReference"/>
        </w:rPr>
        <w:footnoteReference w:id="41"/>
      </w:r>
      <w:r w:rsidRPr="008C5911">
        <w:rPr>
          <w:lang w:val="fr-FR"/>
        </w:rPr>
        <w:t> :</w:t>
      </w:r>
    </w:p>
    <w:p w14:paraId="2EF44D51" w14:textId="77777777" w:rsidR="00507F03" w:rsidRPr="008C5911" w:rsidRDefault="00507F03" w:rsidP="00507F03">
      <w:pPr>
        <w:pStyle w:val="SingleTxtG"/>
        <w:ind w:left="1701"/>
        <w:jc w:val="left"/>
        <w:rPr>
          <w:b/>
          <w:bCs/>
          <w:lang w:val="fr-CA"/>
        </w:rPr>
      </w:pPr>
      <w:r w:rsidRPr="008C5911">
        <w:rPr>
          <w:b/>
          <w:bCs/>
          <w:lang w:val="fr-FR"/>
        </w:rPr>
        <w:t xml:space="preserve">Article 12 </w:t>
      </w:r>
      <w:r w:rsidRPr="008C5911">
        <w:rPr>
          <w:b/>
          <w:bCs/>
          <w:lang w:val="fr-FR"/>
        </w:rPr>
        <w:br/>
        <w:t>Entrée en vigueur</w:t>
      </w:r>
      <w:r w:rsidRPr="008C5911">
        <w:rPr>
          <w:lang w:val="fr-FR"/>
        </w:rPr>
        <w:t xml:space="preserve"> </w:t>
      </w:r>
    </w:p>
    <w:p w14:paraId="6D46D764" w14:textId="77777777" w:rsidR="00507F03" w:rsidRPr="008C5911" w:rsidRDefault="00507F03" w:rsidP="00507F03">
      <w:pPr>
        <w:pStyle w:val="SingleTxtG"/>
        <w:ind w:left="1701"/>
        <w:rPr>
          <w:b/>
          <w:bCs/>
          <w:lang w:val="fr-CA"/>
        </w:rPr>
      </w:pPr>
      <w:r w:rsidRPr="008C5911">
        <w:rPr>
          <w:lang w:val="fr-FR"/>
        </w:rPr>
        <w:t>1</w:t>
      </w:r>
      <w:r w:rsidRPr="00F22925">
        <w:rPr>
          <w:lang w:val="fr-FR"/>
        </w:rPr>
        <w:t>.</w:t>
      </w:r>
      <w:r w:rsidRPr="008C5911">
        <w:rPr>
          <w:lang w:val="fr-FR"/>
        </w:rPr>
        <w:tab/>
        <w:t>Le présent Accord s</w:t>
      </w:r>
      <w:r>
        <w:rPr>
          <w:lang w:val="fr-FR"/>
        </w:rPr>
        <w:t>’</w:t>
      </w:r>
      <w:r w:rsidRPr="008C5911">
        <w:rPr>
          <w:lang w:val="fr-FR"/>
        </w:rPr>
        <w:t>applique à titre provisoire dès sa signature, dans l</w:t>
      </w:r>
      <w:r>
        <w:rPr>
          <w:lang w:val="fr-FR"/>
        </w:rPr>
        <w:t>’</w:t>
      </w:r>
      <w:r w:rsidRPr="008C5911">
        <w:rPr>
          <w:lang w:val="fr-FR"/>
        </w:rPr>
        <w:t>attente de sa ratification de la part de l</w:t>
      </w:r>
      <w:r>
        <w:rPr>
          <w:lang w:val="fr-FR"/>
        </w:rPr>
        <w:t>’</w:t>
      </w:r>
      <w:r w:rsidRPr="008C5911">
        <w:rPr>
          <w:lang w:val="fr-FR"/>
        </w:rPr>
        <w:t>Espagne et de son approbation de la part de l</w:t>
      </w:r>
      <w:r>
        <w:rPr>
          <w:lang w:val="fr-FR"/>
        </w:rPr>
        <w:t>’</w:t>
      </w:r>
      <w:r w:rsidRPr="008C5911">
        <w:rPr>
          <w:lang w:val="fr-FR"/>
        </w:rPr>
        <w:t>IATA</w:t>
      </w:r>
      <w:r w:rsidRPr="00F22925">
        <w:rPr>
          <w:lang w:val="fr-FR"/>
        </w:rPr>
        <w:t>.</w:t>
      </w:r>
      <w:r w:rsidRPr="008C5911">
        <w:rPr>
          <w:lang w:val="fr-FR"/>
        </w:rPr>
        <w:t xml:space="preserve"> </w:t>
      </w:r>
    </w:p>
    <w:p w14:paraId="51C215A8" w14:textId="77777777" w:rsidR="00507F03" w:rsidRPr="008C5911" w:rsidRDefault="00507F03" w:rsidP="00507F03">
      <w:pPr>
        <w:pStyle w:val="SingleTxtG"/>
        <w:rPr>
          <w:lang w:val="fr-CA"/>
        </w:rPr>
      </w:pPr>
      <w:r w:rsidRPr="008C5911">
        <w:rPr>
          <w:lang w:val="fr-FR"/>
        </w:rPr>
        <w:t>39</w:t>
      </w:r>
      <w:r w:rsidRPr="00F22925">
        <w:rPr>
          <w:lang w:val="fr-FR"/>
        </w:rPr>
        <w:t>.</w:t>
      </w:r>
      <w:r w:rsidRPr="008C5911">
        <w:rPr>
          <w:lang w:val="fr-FR"/>
        </w:rPr>
        <w:tab/>
        <w:t>Accord entre l</w:t>
      </w:r>
      <w:r>
        <w:rPr>
          <w:lang w:val="fr-FR"/>
        </w:rPr>
        <w:t>’</w:t>
      </w:r>
      <w:r w:rsidRPr="008C5911">
        <w:rPr>
          <w:lang w:val="fr-FR"/>
        </w:rPr>
        <w:t xml:space="preserve">Organisation des Nations Unies et le Gouvernement du Soudan relatif au statut de la Force intérimaire de sécurité des Nations Unies pour </w:t>
      </w:r>
      <w:proofErr w:type="spellStart"/>
      <w:r w:rsidRPr="008C5911">
        <w:rPr>
          <w:lang w:val="fr-FR"/>
        </w:rPr>
        <w:t>Abyei</w:t>
      </w:r>
      <w:proofErr w:type="spellEnd"/>
      <w:r w:rsidRPr="008C5911">
        <w:rPr>
          <w:lang w:val="fr-FR"/>
        </w:rPr>
        <w:t xml:space="preserve"> (New York, 1</w:t>
      </w:r>
      <w:r w:rsidRPr="008C5911">
        <w:rPr>
          <w:vertAlign w:val="superscript"/>
          <w:lang w:val="fr-FR"/>
        </w:rPr>
        <w:t>er</w:t>
      </w:r>
      <w:r w:rsidRPr="008C5911">
        <w:rPr>
          <w:lang w:val="fr-FR"/>
        </w:rPr>
        <w:t> octobre 2012)</w:t>
      </w:r>
      <w:r w:rsidRPr="00F22830">
        <w:rPr>
          <w:rStyle w:val="FootnoteReference"/>
        </w:rPr>
        <w:footnoteReference w:id="42"/>
      </w:r>
      <w:r w:rsidRPr="008C5911">
        <w:rPr>
          <w:lang w:val="fr-FR"/>
        </w:rPr>
        <w:t> :</w:t>
      </w:r>
    </w:p>
    <w:p w14:paraId="1DC5B177" w14:textId="77777777" w:rsidR="00507F03" w:rsidRPr="008C5911" w:rsidRDefault="00507F03" w:rsidP="00507F03">
      <w:pPr>
        <w:pStyle w:val="SingleTxtG"/>
        <w:ind w:left="1701"/>
        <w:jc w:val="left"/>
        <w:rPr>
          <w:b/>
          <w:bCs/>
          <w:lang w:val="fr-CA"/>
        </w:rPr>
      </w:pPr>
      <w:r w:rsidRPr="008C5911">
        <w:rPr>
          <w:b/>
          <w:bCs/>
          <w:lang w:val="fr-FR"/>
        </w:rPr>
        <w:lastRenderedPageBreak/>
        <w:t xml:space="preserve">Article XI </w:t>
      </w:r>
      <w:r w:rsidRPr="008C5911">
        <w:rPr>
          <w:b/>
          <w:bCs/>
          <w:lang w:val="fr-FR"/>
        </w:rPr>
        <w:br/>
        <w:t>Dispositions diverses</w:t>
      </w:r>
    </w:p>
    <w:p w14:paraId="4435D721" w14:textId="77777777" w:rsidR="00507F03" w:rsidRPr="008C5911" w:rsidRDefault="00507F03" w:rsidP="00507F03">
      <w:pPr>
        <w:pStyle w:val="SingleTxtG"/>
        <w:ind w:left="1701"/>
        <w:rPr>
          <w:b/>
          <w:bCs/>
          <w:lang w:val="fr-CA"/>
        </w:rPr>
      </w:pPr>
      <w:r w:rsidRPr="008C5911">
        <w:rPr>
          <w:lang w:val="fr-FR"/>
        </w:rPr>
        <w:t>62</w:t>
      </w:r>
      <w:r w:rsidRPr="00F22925">
        <w:rPr>
          <w:lang w:val="fr-FR"/>
        </w:rPr>
        <w:t>.</w:t>
      </w:r>
      <w:r w:rsidRPr="008C5911">
        <w:rPr>
          <w:lang w:val="fr-FR"/>
        </w:rPr>
        <w:tab/>
        <w:t>Le présent Accord entre en vigueur et est appliqué à titre provisoire par le Gouvernement lors de la signature, en attendant sa notification indiquant qu</w:t>
      </w:r>
      <w:r>
        <w:rPr>
          <w:lang w:val="fr-FR"/>
        </w:rPr>
        <w:t>’</w:t>
      </w:r>
      <w:r w:rsidRPr="008C5911">
        <w:rPr>
          <w:lang w:val="fr-FR"/>
        </w:rPr>
        <w:t>il a accompli les procédures internes de ratification en vertu de la Constitution du Soudan</w:t>
      </w:r>
      <w:r w:rsidRPr="00F22925">
        <w:rPr>
          <w:lang w:val="fr-FR"/>
        </w:rPr>
        <w:t>.</w:t>
      </w:r>
    </w:p>
    <w:p w14:paraId="608AEFF8" w14:textId="77777777" w:rsidR="00507F03" w:rsidRPr="00E44216" w:rsidRDefault="00507F03" w:rsidP="00507F03">
      <w:pPr>
        <w:pStyle w:val="H4G"/>
        <w:rPr>
          <w:bCs/>
          <w:lang w:val="fr-CA"/>
        </w:rPr>
      </w:pPr>
      <w:r w:rsidRPr="008C5911">
        <w:rPr>
          <w:lang w:val="fr-FR"/>
        </w:rPr>
        <w:tab/>
      </w:r>
      <w:r w:rsidRPr="00E44216">
        <w:rPr>
          <w:lang w:val="fr-FR"/>
        </w:rPr>
        <w:t>b)</w:t>
      </w:r>
      <w:r w:rsidRPr="00E44216">
        <w:rPr>
          <w:lang w:val="fr-FR"/>
        </w:rPr>
        <w:tab/>
        <w:t>Traités multilatéraux</w:t>
      </w:r>
    </w:p>
    <w:p w14:paraId="4D24D4E9" w14:textId="77777777" w:rsidR="00507F03" w:rsidRPr="00E44216" w:rsidRDefault="00507F03" w:rsidP="00507F03">
      <w:pPr>
        <w:pStyle w:val="SingleTxtG"/>
        <w:rPr>
          <w:lang w:val="fr-CA"/>
        </w:rPr>
      </w:pPr>
      <w:r w:rsidRPr="00E44216">
        <w:rPr>
          <w:lang w:val="fr-FR"/>
        </w:rPr>
        <w:t>40.</w:t>
      </w:r>
      <w:r w:rsidRPr="00E44216">
        <w:rPr>
          <w:lang w:val="fr-FR"/>
        </w:rPr>
        <w:tab/>
        <w:t>Accord relatif à l</w:t>
      </w:r>
      <w:r>
        <w:rPr>
          <w:lang w:val="fr-FR"/>
        </w:rPr>
        <w:t>’</w:t>
      </w:r>
      <w:r w:rsidRPr="00E44216">
        <w:rPr>
          <w:lang w:val="fr-FR"/>
        </w:rPr>
        <w:t>application de la Partie XI de la Convention des Nations Unies sur le droit de la mer du 10 décembre 1982 (New York, 28 juillet 1994)</w:t>
      </w:r>
      <w:r w:rsidRPr="00E44216">
        <w:rPr>
          <w:rStyle w:val="FootnoteReference"/>
        </w:rPr>
        <w:footnoteReference w:id="43"/>
      </w:r>
      <w:r w:rsidRPr="00E44216">
        <w:rPr>
          <w:lang w:val="fr-FR"/>
        </w:rPr>
        <w:t> :</w:t>
      </w:r>
    </w:p>
    <w:p w14:paraId="1908C3FE" w14:textId="77777777" w:rsidR="00507F03" w:rsidRPr="00E44216" w:rsidRDefault="00507F03" w:rsidP="00507F03">
      <w:pPr>
        <w:pStyle w:val="SingleTxtG"/>
        <w:ind w:left="1701"/>
        <w:jc w:val="left"/>
        <w:rPr>
          <w:b/>
          <w:lang w:val="fr-CA"/>
        </w:rPr>
      </w:pPr>
      <w:r w:rsidRPr="00E44216">
        <w:rPr>
          <w:b/>
          <w:bCs/>
          <w:lang w:val="fr-FR"/>
        </w:rPr>
        <w:t xml:space="preserve">Article 7 </w:t>
      </w:r>
      <w:r w:rsidRPr="00E44216">
        <w:rPr>
          <w:b/>
          <w:bCs/>
          <w:lang w:val="fr-FR"/>
        </w:rPr>
        <w:br/>
        <w:t>Application à titre provisoire</w:t>
      </w:r>
    </w:p>
    <w:p w14:paraId="0053967C" w14:textId="77777777" w:rsidR="00507F03" w:rsidRPr="00E44216" w:rsidRDefault="00507F03" w:rsidP="00507F03">
      <w:pPr>
        <w:pStyle w:val="SingleTxtG"/>
        <w:ind w:left="1701"/>
        <w:jc w:val="left"/>
        <w:rPr>
          <w:bCs/>
          <w:lang w:val="fr-CA"/>
        </w:rPr>
      </w:pPr>
      <w:r w:rsidRPr="00E44216">
        <w:rPr>
          <w:lang w:val="fr-FR"/>
        </w:rPr>
        <w:t>[...]</w:t>
      </w:r>
    </w:p>
    <w:p w14:paraId="21C0B0CC" w14:textId="77777777" w:rsidR="00507F03" w:rsidRPr="00E44216" w:rsidRDefault="00507F03" w:rsidP="00507F03">
      <w:pPr>
        <w:pStyle w:val="SingleTxtG"/>
        <w:ind w:left="1701"/>
        <w:rPr>
          <w:bCs/>
          <w:lang w:val="fr-CA"/>
        </w:rPr>
      </w:pPr>
      <w:r w:rsidRPr="00E44216">
        <w:rPr>
          <w:lang w:val="fr-FR"/>
        </w:rPr>
        <w:t>3.</w:t>
      </w:r>
      <w:r w:rsidRPr="00E44216">
        <w:rPr>
          <w:lang w:val="fr-FR"/>
        </w:rPr>
        <w:tab/>
        <w:t>L</w:t>
      </w:r>
      <w:r>
        <w:rPr>
          <w:lang w:val="fr-FR"/>
        </w:rPr>
        <w:t>’</w:t>
      </w:r>
      <w:r w:rsidRPr="00E44216">
        <w:rPr>
          <w:lang w:val="fr-FR"/>
        </w:rPr>
        <w:t>application à titre provisoire du présent Accord cessera le jour où celui-ci entrera en vigueur. Dans tous les cas, l</w:t>
      </w:r>
      <w:r>
        <w:rPr>
          <w:lang w:val="fr-FR"/>
        </w:rPr>
        <w:t>’</w:t>
      </w:r>
      <w:r w:rsidRPr="00E44216">
        <w:rPr>
          <w:lang w:val="fr-FR"/>
        </w:rPr>
        <w:t>application à titre provisoire prendra fin le 16 novembre 1998 si à cette date la condition énoncée à l</w:t>
      </w:r>
      <w:r>
        <w:rPr>
          <w:lang w:val="fr-FR"/>
        </w:rPr>
        <w:t>’</w:t>
      </w:r>
      <w:r w:rsidRPr="00E44216">
        <w:rPr>
          <w:lang w:val="fr-FR"/>
        </w:rPr>
        <w:t>article 6, paragraphe 1, selon laquelle au moins sept des États visés au paragraphe 1, lettre a) de la résolution II (dont au moins cinq doivent être des États développés) doivent avoir établi leur consentement à être liés par le présent Accord, n</w:t>
      </w:r>
      <w:r>
        <w:rPr>
          <w:lang w:val="fr-FR"/>
        </w:rPr>
        <w:t>’</w:t>
      </w:r>
      <w:r w:rsidRPr="00E44216">
        <w:rPr>
          <w:lang w:val="fr-FR"/>
        </w:rPr>
        <w:t>est pas satisfaite.</w:t>
      </w:r>
    </w:p>
    <w:p w14:paraId="784B39DB" w14:textId="77777777" w:rsidR="00507F03" w:rsidRPr="00E44216" w:rsidRDefault="00507F03" w:rsidP="00507F03">
      <w:pPr>
        <w:pStyle w:val="SingleTxtG"/>
        <w:rPr>
          <w:lang w:val="fr-CA"/>
        </w:rPr>
      </w:pPr>
      <w:r w:rsidRPr="00E44216">
        <w:rPr>
          <w:lang w:val="fr-FR"/>
        </w:rPr>
        <w:t>41.</w:t>
      </w:r>
      <w:r w:rsidRPr="00E44216">
        <w:rPr>
          <w:lang w:val="fr-FR"/>
        </w:rPr>
        <w:tab/>
        <w:t>Convention sur l</w:t>
      </w:r>
      <w:r>
        <w:rPr>
          <w:lang w:val="fr-FR"/>
        </w:rPr>
        <w:t>’</w:t>
      </w:r>
      <w:r w:rsidRPr="00E44216">
        <w:rPr>
          <w:lang w:val="fr-FR"/>
        </w:rPr>
        <w:t>interdiction de l</w:t>
      </w:r>
      <w:r>
        <w:rPr>
          <w:lang w:val="fr-FR"/>
        </w:rPr>
        <w:t>’</w:t>
      </w:r>
      <w:r w:rsidRPr="00E44216">
        <w:rPr>
          <w:lang w:val="fr-FR"/>
        </w:rPr>
        <w:t>emploi, du stockage, de la production et du transfert des mines antipersonnel et sur leur destruction (Oslo, 13 septembre 1997)</w:t>
      </w:r>
      <w:r w:rsidRPr="00E44216">
        <w:rPr>
          <w:rStyle w:val="FootnoteReference"/>
        </w:rPr>
        <w:footnoteReference w:id="44"/>
      </w:r>
      <w:r w:rsidRPr="00E44216">
        <w:rPr>
          <w:lang w:val="fr-FR"/>
        </w:rPr>
        <w:t> :</w:t>
      </w:r>
    </w:p>
    <w:p w14:paraId="78F7742D" w14:textId="77777777" w:rsidR="00507F03" w:rsidRPr="00E44216" w:rsidRDefault="00507F03" w:rsidP="00507F03">
      <w:pPr>
        <w:pStyle w:val="SingleTxtG"/>
        <w:ind w:left="1701"/>
        <w:jc w:val="left"/>
        <w:rPr>
          <w:b/>
          <w:bCs/>
          <w:lang w:val="fr-CA"/>
        </w:rPr>
      </w:pPr>
      <w:r w:rsidRPr="00E44216">
        <w:rPr>
          <w:b/>
          <w:bCs/>
          <w:lang w:val="fr-FR"/>
        </w:rPr>
        <w:t>Article 18</w:t>
      </w:r>
      <w:r w:rsidRPr="00E44216">
        <w:rPr>
          <w:lang w:val="fr-FR"/>
        </w:rPr>
        <w:t xml:space="preserve"> </w:t>
      </w:r>
      <w:r w:rsidRPr="00E44216">
        <w:rPr>
          <w:lang w:val="fr-FR"/>
        </w:rPr>
        <w:br/>
      </w:r>
      <w:r w:rsidRPr="00E44216">
        <w:rPr>
          <w:b/>
          <w:bCs/>
          <w:lang w:val="fr-FR"/>
        </w:rPr>
        <w:t>Application à titre provisoire</w:t>
      </w:r>
    </w:p>
    <w:p w14:paraId="4830D8A9" w14:textId="77777777" w:rsidR="00507F03" w:rsidRPr="00E44216" w:rsidRDefault="00507F03" w:rsidP="00507F03">
      <w:pPr>
        <w:pStyle w:val="SingleTxtG"/>
        <w:ind w:left="1701"/>
        <w:rPr>
          <w:lang w:val="fr-CA"/>
        </w:rPr>
      </w:pPr>
      <w:r w:rsidRPr="00E44216">
        <w:rPr>
          <w:lang w:val="fr-FR"/>
        </w:rPr>
        <w:tab/>
        <w:t>Un État peut, au moment de la ratification, de l</w:t>
      </w:r>
      <w:r>
        <w:rPr>
          <w:lang w:val="fr-FR"/>
        </w:rPr>
        <w:t>’</w:t>
      </w:r>
      <w:r w:rsidRPr="00E44216">
        <w:rPr>
          <w:lang w:val="fr-FR"/>
        </w:rPr>
        <w:t>acceptation, de l</w:t>
      </w:r>
      <w:r>
        <w:rPr>
          <w:lang w:val="fr-FR"/>
        </w:rPr>
        <w:t>’</w:t>
      </w:r>
      <w:r w:rsidRPr="00E44216">
        <w:rPr>
          <w:lang w:val="fr-FR"/>
        </w:rPr>
        <w:t>approbation de la présente Convention, ou de l</w:t>
      </w:r>
      <w:r>
        <w:rPr>
          <w:lang w:val="fr-FR"/>
        </w:rPr>
        <w:t>’</w:t>
      </w:r>
      <w:r w:rsidRPr="00E44216">
        <w:rPr>
          <w:lang w:val="fr-FR"/>
        </w:rPr>
        <w:t>adhésion à celle-ci, déclarer qu</w:t>
      </w:r>
      <w:r>
        <w:rPr>
          <w:lang w:val="fr-FR"/>
        </w:rPr>
        <w:t>’</w:t>
      </w:r>
      <w:r w:rsidRPr="00E44216">
        <w:rPr>
          <w:lang w:val="fr-FR"/>
        </w:rPr>
        <w:t>il en appliquera, à titre provisoire, le paragraphe 1 de l</w:t>
      </w:r>
      <w:r>
        <w:rPr>
          <w:lang w:val="fr-FR"/>
        </w:rPr>
        <w:t>’</w:t>
      </w:r>
      <w:r w:rsidRPr="00E44216">
        <w:rPr>
          <w:lang w:val="fr-FR"/>
        </w:rPr>
        <w:t>article 1, en attendant l</w:t>
      </w:r>
      <w:r>
        <w:rPr>
          <w:lang w:val="fr-FR"/>
        </w:rPr>
        <w:t>’</w:t>
      </w:r>
      <w:r w:rsidRPr="00E44216">
        <w:rPr>
          <w:lang w:val="fr-FR"/>
        </w:rPr>
        <w:t>entrée en vigueur de la présente Convention.</w:t>
      </w:r>
    </w:p>
    <w:p w14:paraId="14F49E0B" w14:textId="77777777" w:rsidR="00507F03" w:rsidRPr="00E44216" w:rsidRDefault="00507F03" w:rsidP="00507F03">
      <w:pPr>
        <w:pStyle w:val="H23G"/>
        <w:rPr>
          <w:lang w:val="fr-CA"/>
        </w:rPr>
      </w:pPr>
      <w:r w:rsidRPr="00E44216">
        <w:rPr>
          <w:lang w:val="fr-CA"/>
        </w:rPr>
        <w:tab/>
        <w:t>2)</w:t>
      </w:r>
      <w:r w:rsidRPr="00E44216">
        <w:rPr>
          <w:lang w:val="fr-CA"/>
        </w:rPr>
        <w:tab/>
      </w:r>
      <w:r w:rsidRPr="00E44216">
        <w:rPr>
          <w:lang w:val="fr-FR"/>
        </w:rPr>
        <w:t>À compter de la date de la notification de l</w:t>
      </w:r>
      <w:r>
        <w:rPr>
          <w:lang w:val="fr-FR"/>
        </w:rPr>
        <w:t>’</w:t>
      </w:r>
      <w:r w:rsidRPr="00E44216">
        <w:rPr>
          <w:lang w:val="fr-FR"/>
        </w:rPr>
        <w:t>intention de ne pas devenir partie au traité</w:t>
      </w:r>
    </w:p>
    <w:p w14:paraId="075FCCE3" w14:textId="77777777" w:rsidR="00507F03" w:rsidRPr="00E44216" w:rsidRDefault="00507F03" w:rsidP="00507F03">
      <w:pPr>
        <w:pStyle w:val="H4G"/>
        <w:rPr>
          <w:bCs/>
          <w:lang w:val="fr-CA"/>
        </w:rPr>
      </w:pPr>
      <w:r w:rsidRPr="00E44216">
        <w:rPr>
          <w:lang w:val="fr-FR"/>
        </w:rPr>
        <w:tab/>
        <w:t>a)</w:t>
      </w:r>
      <w:r w:rsidRPr="00E44216">
        <w:rPr>
          <w:lang w:val="fr-FR"/>
        </w:rPr>
        <w:tab/>
        <w:t xml:space="preserve">Traités bilatéraux </w:t>
      </w:r>
    </w:p>
    <w:p w14:paraId="0143DF7C" w14:textId="77777777" w:rsidR="00507F03" w:rsidRPr="00E44216" w:rsidRDefault="00507F03" w:rsidP="00507F03">
      <w:pPr>
        <w:pStyle w:val="SingleTxtG"/>
        <w:rPr>
          <w:bCs/>
          <w:lang w:val="fr-CA"/>
        </w:rPr>
      </w:pPr>
      <w:r w:rsidRPr="00E44216">
        <w:rPr>
          <w:lang w:val="fr-FR"/>
        </w:rPr>
        <w:t>42.</w:t>
      </w:r>
      <w:r w:rsidRPr="00E44216">
        <w:rPr>
          <w:lang w:val="fr-FR"/>
        </w:rPr>
        <w:tab/>
        <w:t>Accord entre l</w:t>
      </w:r>
      <w:r>
        <w:rPr>
          <w:lang w:val="fr-FR"/>
        </w:rPr>
        <w:t>’</w:t>
      </w:r>
      <w:r w:rsidRPr="00E44216">
        <w:rPr>
          <w:lang w:val="fr-FR"/>
        </w:rPr>
        <w:t>Espagne et le Fonds international d</w:t>
      </w:r>
      <w:r>
        <w:rPr>
          <w:lang w:val="fr-FR"/>
        </w:rPr>
        <w:t>’</w:t>
      </w:r>
      <w:r w:rsidRPr="00E44216">
        <w:rPr>
          <w:lang w:val="fr-FR"/>
        </w:rPr>
        <w:t>indemnisation pour les dommages dus à la pollution par les hydrocarbures (Londres, 2 juin 2000)</w:t>
      </w:r>
      <w:r w:rsidRPr="00E44216">
        <w:rPr>
          <w:rStyle w:val="FootnoteReference"/>
        </w:rPr>
        <w:footnoteReference w:id="45"/>
      </w:r>
      <w:r w:rsidRPr="00E44216">
        <w:rPr>
          <w:lang w:val="fr-FR"/>
        </w:rPr>
        <w:t> :</w:t>
      </w:r>
    </w:p>
    <w:p w14:paraId="23E1424F" w14:textId="77777777" w:rsidR="00507F03" w:rsidRPr="00E44216" w:rsidRDefault="00507F03" w:rsidP="00507F03">
      <w:pPr>
        <w:pStyle w:val="SingleTxtG"/>
        <w:ind w:left="1701"/>
        <w:jc w:val="left"/>
        <w:rPr>
          <w:b/>
          <w:bCs/>
          <w:lang w:val="fr-CA"/>
        </w:rPr>
      </w:pPr>
      <w:r w:rsidRPr="00E44216">
        <w:rPr>
          <w:b/>
          <w:bCs/>
          <w:lang w:val="fr-FR"/>
        </w:rPr>
        <w:t>Note de l</w:t>
      </w:r>
      <w:r>
        <w:rPr>
          <w:b/>
          <w:bCs/>
          <w:lang w:val="fr-FR"/>
        </w:rPr>
        <w:t>’</w:t>
      </w:r>
      <w:r w:rsidRPr="00E44216">
        <w:rPr>
          <w:b/>
          <w:bCs/>
          <w:lang w:val="fr-FR"/>
        </w:rPr>
        <w:t>Espagne</w:t>
      </w:r>
    </w:p>
    <w:p w14:paraId="13B99543" w14:textId="77777777" w:rsidR="00507F03" w:rsidRPr="00E44216" w:rsidRDefault="00507F03" w:rsidP="00507F03">
      <w:pPr>
        <w:pStyle w:val="SingleTxtG"/>
        <w:ind w:left="1701"/>
        <w:jc w:val="left"/>
        <w:rPr>
          <w:lang w:val="fr-CA"/>
        </w:rPr>
      </w:pPr>
      <w:r w:rsidRPr="00E44216">
        <w:rPr>
          <w:lang w:val="fr-FR"/>
        </w:rPr>
        <w:t>[...]</w:t>
      </w:r>
    </w:p>
    <w:p w14:paraId="519FF209" w14:textId="77777777" w:rsidR="00507F03" w:rsidRPr="00E44216" w:rsidRDefault="00507F03" w:rsidP="00507F03">
      <w:pPr>
        <w:pStyle w:val="SingleTxtG"/>
        <w:ind w:left="1701"/>
        <w:rPr>
          <w:lang w:val="fr-CA"/>
        </w:rPr>
      </w:pPr>
      <w:r w:rsidRPr="00E44216">
        <w:rPr>
          <w:lang w:val="fr-FR"/>
        </w:rPr>
        <w:tab/>
        <w:t>L</w:t>
      </w:r>
      <w:r>
        <w:rPr>
          <w:lang w:val="fr-FR"/>
        </w:rPr>
        <w:t>’</w:t>
      </w:r>
      <w:r w:rsidRPr="00E44216">
        <w:rPr>
          <w:lang w:val="fr-FR"/>
        </w:rPr>
        <w:t>application provisoire du présent Accord prendra fin si l</w:t>
      </w:r>
      <w:r>
        <w:rPr>
          <w:lang w:val="fr-FR"/>
        </w:rPr>
        <w:t>’</w:t>
      </w:r>
      <w:r w:rsidRPr="00E44216">
        <w:rPr>
          <w:lang w:val="fr-FR"/>
        </w:rPr>
        <w:t>Espagne, par l</w:t>
      </w:r>
      <w:r>
        <w:rPr>
          <w:lang w:val="fr-FR"/>
        </w:rPr>
        <w:t>’</w:t>
      </w:r>
      <w:r w:rsidRPr="00E44216">
        <w:rPr>
          <w:lang w:val="fr-FR"/>
        </w:rPr>
        <w:t>entremise de son Ambassadeur à Londres, notifie au Fonds, avant le 11 mai 2001, que toutes les formalités susmentionnées ont été accomplies ou l</w:t>
      </w:r>
      <w:r>
        <w:rPr>
          <w:lang w:val="fr-FR"/>
        </w:rPr>
        <w:t>’</w:t>
      </w:r>
      <w:r w:rsidRPr="00E44216">
        <w:rPr>
          <w:lang w:val="fr-FR"/>
        </w:rPr>
        <w:t>informe avant cette date, par l</w:t>
      </w:r>
      <w:r>
        <w:rPr>
          <w:lang w:val="fr-FR"/>
        </w:rPr>
        <w:t>’</w:t>
      </w:r>
      <w:r w:rsidRPr="00E44216">
        <w:rPr>
          <w:lang w:val="fr-FR"/>
        </w:rPr>
        <w:t xml:space="preserve">entremise de son Ambassadeur à Londres, que lesdites formalités ne seront pas accomplies. </w:t>
      </w:r>
    </w:p>
    <w:p w14:paraId="0015186E" w14:textId="77777777" w:rsidR="00507F03" w:rsidRPr="00E44216" w:rsidRDefault="00507F03" w:rsidP="00507F03">
      <w:pPr>
        <w:pStyle w:val="SingleTxtG"/>
        <w:ind w:left="1701"/>
        <w:jc w:val="left"/>
        <w:rPr>
          <w:lang w:val="fr-CA"/>
        </w:rPr>
      </w:pPr>
      <w:r w:rsidRPr="00E44216">
        <w:rPr>
          <w:lang w:val="fr-FR"/>
        </w:rPr>
        <w:t>[...]</w:t>
      </w:r>
    </w:p>
    <w:p w14:paraId="4456E4F7" w14:textId="77777777" w:rsidR="00507F03" w:rsidRPr="00E44216" w:rsidRDefault="00507F03" w:rsidP="00507F03">
      <w:pPr>
        <w:pStyle w:val="SingleTxtG"/>
        <w:ind w:left="1701"/>
        <w:jc w:val="left"/>
        <w:rPr>
          <w:b/>
          <w:bCs/>
          <w:lang w:val="fr-CA"/>
        </w:rPr>
      </w:pPr>
      <w:r w:rsidRPr="00E44216">
        <w:rPr>
          <w:b/>
          <w:bCs/>
          <w:lang w:val="fr-FR"/>
        </w:rPr>
        <w:lastRenderedPageBreak/>
        <w:t>Note du Fonds international d</w:t>
      </w:r>
      <w:r>
        <w:rPr>
          <w:b/>
          <w:bCs/>
          <w:lang w:val="fr-FR"/>
        </w:rPr>
        <w:t>’</w:t>
      </w:r>
      <w:r w:rsidRPr="00E44216">
        <w:rPr>
          <w:b/>
          <w:bCs/>
          <w:lang w:val="fr-FR"/>
        </w:rPr>
        <w:t xml:space="preserve">indemnisation de 1992 pour les dommages </w:t>
      </w:r>
      <w:r w:rsidRPr="00E44216">
        <w:rPr>
          <w:b/>
          <w:bCs/>
          <w:lang w:val="fr-FR"/>
        </w:rPr>
        <w:br/>
        <w:t>dus à la pollution par les hydrocarbures</w:t>
      </w:r>
    </w:p>
    <w:p w14:paraId="549AA9A1" w14:textId="77777777" w:rsidR="00507F03" w:rsidRPr="00E44216" w:rsidRDefault="00507F03" w:rsidP="00507F03">
      <w:pPr>
        <w:pStyle w:val="SingleTxtG"/>
        <w:ind w:left="1701"/>
        <w:jc w:val="left"/>
        <w:rPr>
          <w:lang w:val="fr-CA"/>
        </w:rPr>
      </w:pPr>
      <w:r w:rsidRPr="00E44216">
        <w:rPr>
          <w:lang w:val="fr-FR"/>
        </w:rPr>
        <w:t>[...]</w:t>
      </w:r>
    </w:p>
    <w:p w14:paraId="4C6A5B0E" w14:textId="77777777" w:rsidR="00507F03" w:rsidRPr="00E44216" w:rsidRDefault="00507F03" w:rsidP="00507F03">
      <w:pPr>
        <w:pStyle w:val="SingleTxtG"/>
        <w:ind w:left="1701"/>
        <w:rPr>
          <w:lang w:val="fr-CA"/>
        </w:rPr>
      </w:pPr>
      <w:r w:rsidRPr="00E44216">
        <w:rPr>
          <w:lang w:val="fr-FR"/>
        </w:rPr>
        <w:tab/>
        <w:t>Je me réfère à l</w:t>
      </w:r>
      <w:r>
        <w:rPr>
          <w:lang w:val="fr-FR"/>
        </w:rPr>
        <w:t>’</w:t>
      </w:r>
      <w:r w:rsidRPr="00E44216">
        <w:rPr>
          <w:lang w:val="fr-FR"/>
        </w:rPr>
        <w:t>Accord conclu entre l</w:t>
      </w:r>
      <w:r>
        <w:rPr>
          <w:lang w:val="fr-FR"/>
        </w:rPr>
        <w:t>’</w:t>
      </w:r>
      <w:r w:rsidRPr="00E44216">
        <w:rPr>
          <w:lang w:val="fr-FR"/>
        </w:rPr>
        <w:t>Espagne et le Fonds et à votre lettre de ce jour et j</w:t>
      </w:r>
      <w:r>
        <w:rPr>
          <w:lang w:val="fr-FR"/>
        </w:rPr>
        <w:t>’</w:t>
      </w:r>
      <w:r w:rsidRPr="00E44216">
        <w:rPr>
          <w:lang w:val="fr-FR"/>
        </w:rPr>
        <w:t>ai l</w:t>
      </w:r>
      <w:r>
        <w:rPr>
          <w:lang w:val="fr-FR"/>
        </w:rPr>
        <w:t>’</w:t>
      </w:r>
      <w:r w:rsidRPr="00E44216">
        <w:rPr>
          <w:lang w:val="fr-FR"/>
        </w:rPr>
        <w:t>honneur de vous informer que le Fonds approuve le contenu de votre lettre, qui devra être considéré comme un instrument établi par les deux Parties reflétant l</w:t>
      </w:r>
      <w:r>
        <w:rPr>
          <w:lang w:val="fr-FR"/>
        </w:rPr>
        <w:t>’</w:t>
      </w:r>
      <w:r w:rsidRPr="00E44216">
        <w:rPr>
          <w:lang w:val="fr-FR"/>
        </w:rPr>
        <w:t>unique interprétation possible de l</w:t>
      </w:r>
      <w:r>
        <w:rPr>
          <w:lang w:val="fr-FR"/>
        </w:rPr>
        <w:t>’</w:t>
      </w:r>
      <w:r w:rsidRPr="00E44216">
        <w:rPr>
          <w:lang w:val="fr-FR"/>
        </w:rPr>
        <w:t>Accord.</w:t>
      </w:r>
    </w:p>
    <w:p w14:paraId="27341290" w14:textId="77777777" w:rsidR="00507F03" w:rsidRPr="00E44216" w:rsidRDefault="00507F03" w:rsidP="00507F03">
      <w:pPr>
        <w:pStyle w:val="SingleTxtG"/>
        <w:ind w:left="1701"/>
        <w:jc w:val="left"/>
        <w:rPr>
          <w:lang w:val="fr-CA"/>
        </w:rPr>
      </w:pPr>
      <w:r w:rsidRPr="00E44216">
        <w:rPr>
          <w:lang w:val="fr-FR"/>
        </w:rPr>
        <w:t>[...]</w:t>
      </w:r>
    </w:p>
    <w:p w14:paraId="13B8D610" w14:textId="77777777" w:rsidR="00507F03" w:rsidRPr="00E44216" w:rsidRDefault="00507F03" w:rsidP="00507F03">
      <w:pPr>
        <w:pStyle w:val="SingleTxtG"/>
        <w:rPr>
          <w:bCs/>
          <w:lang w:val="fr-CA"/>
        </w:rPr>
      </w:pPr>
      <w:r w:rsidRPr="00E44216">
        <w:rPr>
          <w:lang w:val="fr-FR"/>
        </w:rPr>
        <w:t>43.</w:t>
      </w:r>
      <w:r w:rsidRPr="00E44216">
        <w:rPr>
          <w:lang w:val="fr-FR"/>
        </w:rPr>
        <w:tab/>
        <w:t>Traité entre la République fédérale d</w:t>
      </w:r>
      <w:r>
        <w:rPr>
          <w:lang w:val="fr-FR"/>
        </w:rPr>
        <w:t>’</w:t>
      </w:r>
      <w:r w:rsidRPr="00E44216">
        <w:rPr>
          <w:lang w:val="fr-FR"/>
        </w:rPr>
        <w:t>Allemagne et le Royaume des Pays-Bas relatif à la mise en œuvre de contrôles de la circulation aérienne par la République fédérale d</w:t>
      </w:r>
      <w:r>
        <w:rPr>
          <w:lang w:val="fr-FR"/>
        </w:rPr>
        <w:t>’</w:t>
      </w:r>
      <w:r w:rsidRPr="00E44216">
        <w:rPr>
          <w:lang w:val="fr-FR"/>
        </w:rPr>
        <w:t>Allemagne au-dessus du territoire néerlandais et relatif à l</w:t>
      </w:r>
      <w:r>
        <w:rPr>
          <w:lang w:val="fr-FR"/>
        </w:rPr>
        <w:t>’</w:t>
      </w:r>
      <w:r w:rsidRPr="00E44216">
        <w:rPr>
          <w:lang w:val="fr-FR"/>
        </w:rPr>
        <w:t>impact des opérations civiles de l</w:t>
      </w:r>
      <w:r>
        <w:rPr>
          <w:lang w:val="fr-FR"/>
        </w:rPr>
        <w:t>’</w:t>
      </w:r>
      <w:r w:rsidRPr="00E44216">
        <w:rPr>
          <w:lang w:val="fr-FR"/>
        </w:rPr>
        <w:t xml:space="preserve">aéroport </w:t>
      </w:r>
      <w:proofErr w:type="spellStart"/>
      <w:r w:rsidRPr="00E44216">
        <w:rPr>
          <w:lang w:val="fr-FR"/>
        </w:rPr>
        <w:t>Niederrhein</w:t>
      </w:r>
      <w:proofErr w:type="spellEnd"/>
      <w:r w:rsidRPr="00E44216">
        <w:rPr>
          <w:lang w:val="fr-FR"/>
        </w:rPr>
        <w:t xml:space="preserve"> sur le territoire du Royaume des Pays-Bas (Berlin, 29 avril 2003)</w:t>
      </w:r>
      <w:r w:rsidRPr="00E44216">
        <w:rPr>
          <w:rStyle w:val="FootnoteReference"/>
        </w:rPr>
        <w:footnoteReference w:id="46"/>
      </w:r>
      <w:r w:rsidRPr="00E44216">
        <w:rPr>
          <w:lang w:val="fr-FR"/>
        </w:rPr>
        <w:t> :</w:t>
      </w:r>
    </w:p>
    <w:p w14:paraId="34F8DCAF" w14:textId="77777777" w:rsidR="00507F03" w:rsidRPr="00E44216" w:rsidRDefault="00507F03" w:rsidP="00507F03">
      <w:pPr>
        <w:pStyle w:val="SingleTxtG"/>
        <w:ind w:left="1701"/>
        <w:jc w:val="left"/>
        <w:rPr>
          <w:b/>
          <w:lang w:val="fr-CA"/>
        </w:rPr>
      </w:pPr>
      <w:r w:rsidRPr="00E44216">
        <w:rPr>
          <w:b/>
          <w:bCs/>
          <w:lang w:val="fr-FR"/>
        </w:rPr>
        <w:t xml:space="preserve">Article 16 </w:t>
      </w:r>
      <w:r w:rsidRPr="00E44216">
        <w:rPr>
          <w:b/>
          <w:bCs/>
          <w:lang w:val="fr-FR"/>
        </w:rPr>
        <w:br/>
        <w:t>Ratification, entrée en vigueur, application provisoire</w:t>
      </w:r>
    </w:p>
    <w:p w14:paraId="4A36FA3E" w14:textId="77777777" w:rsidR="00507F03" w:rsidRPr="00E44216" w:rsidRDefault="00507F03" w:rsidP="00507F03">
      <w:pPr>
        <w:pStyle w:val="SingleTxtG"/>
        <w:ind w:left="1701"/>
        <w:jc w:val="left"/>
        <w:rPr>
          <w:lang w:val="fr-FR"/>
        </w:rPr>
      </w:pPr>
      <w:r w:rsidRPr="00E44216">
        <w:rPr>
          <w:lang w:val="fr-FR"/>
        </w:rPr>
        <w:t>[...]</w:t>
      </w:r>
    </w:p>
    <w:p w14:paraId="3A2B001B" w14:textId="77777777" w:rsidR="00507F03" w:rsidRPr="00E44216" w:rsidRDefault="00507F03" w:rsidP="00507F03">
      <w:pPr>
        <w:pStyle w:val="SingleTxtG"/>
        <w:ind w:left="1701"/>
        <w:rPr>
          <w:bCs/>
          <w:lang w:val="fr-CA"/>
        </w:rPr>
      </w:pPr>
      <w:r w:rsidRPr="00E44216">
        <w:rPr>
          <w:lang w:val="fr-FR"/>
        </w:rPr>
        <w:t>3.</w:t>
      </w:r>
      <w:r w:rsidRPr="00E44216">
        <w:rPr>
          <w:lang w:val="fr-FR"/>
        </w:rPr>
        <w:tab/>
        <w:t>Le présent Traité sera appliqué à titre provisoire avec effet au 1</w:t>
      </w:r>
      <w:r w:rsidRPr="00E44216">
        <w:rPr>
          <w:vertAlign w:val="superscript"/>
          <w:lang w:val="fr-FR"/>
        </w:rPr>
        <w:t>er</w:t>
      </w:r>
      <w:r w:rsidRPr="00E44216">
        <w:rPr>
          <w:lang w:val="fr-FR"/>
        </w:rPr>
        <w:t xml:space="preserve"> mai 2003. Il sera mis fin à son application provisoire si l</w:t>
      </w:r>
      <w:r>
        <w:rPr>
          <w:lang w:val="fr-FR"/>
        </w:rPr>
        <w:t>’</w:t>
      </w:r>
      <w:r w:rsidRPr="00E44216">
        <w:rPr>
          <w:lang w:val="fr-FR"/>
        </w:rPr>
        <w:t>une des Parties contractantes déclare son intention de ne pas devenir une Partie contractante.</w:t>
      </w:r>
    </w:p>
    <w:p w14:paraId="1EAFCEA6" w14:textId="77777777" w:rsidR="00507F03" w:rsidRPr="00E44216" w:rsidRDefault="00507F03" w:rsidP="00507F03">
      <w:pPr>
        <w:pStyle w:val="SingleTxtG"/>
        <w:rPr>
          <w:bCs/>
          <w:lang w:val="fr-CA"/>
        </w:rPr>
      </w:pPr>
      <w:r w:rsidRPr="00E44216">
        <w:rPr>
          <w:lang w:val="fr-FR"/>
        </w:rPr>
        <w:t>44.</w:t>
      </w:r>
      <w:r w:rsidRPr="00E44216">
        <w:rPr>
          <w:lang w:val="fr-FR"/>
        </w:rPr>
        <w:tab/>
        <w:t>Accord de coopération scientifique et technologique entre la Communauté européenne et le Royaume hachémite de Jordanie (Bruxelles, 30 novembre 2009)</w:t>
      </w:r>
      <w:r w:rsidRPr="00E44216">
        <w:rPr>
          <w:rStyle w:val="FootnoteReference"/>
        </w:rPr>
        <w:footnoteReference w:id="47"/>
      </w:r>
      <w:r w:rsidRPr="00E44216">
        <w:rPr>
          <w:lang w:val="fr-FR"/>
        </w:rPr>
        <w:t> :</w:t>
      </w:r>
    </w:p>
    <w:p w14:paraId="59976AAE" w14:textId="77777777" w:rsidR="00507F03" w:rsidRPr="00E44216" w:rsidRDefault="00507F03" w:rsidP="00507F03">
      <w:pPr>
        <w:pStyle w:val="SingleTxtG"/>
        <w:ind w:left="1701"/>
        <w:jc w:val="left"/>
        <w:rPr>
          <w:b/>
          <w:lang w:val="fr-CA"/>
        </w:rPr>
      </w:pPr>
      <w:r w:rsidRPr="00E44216">
        <w:rPr>
          <w:b/>
          <w:bCs/>
          <w:lang w:val="fr-FR"/>
        </w:rPr>
        <w:t xml:space="preserve">Article 7 </w:t>
      </w:r>
      <w:r w:rsidRPr="00E44216">
        <w:rPr>
          <w:b/>
          <w:bCs/>
          <w:lang w:val="fr-FR"/>
        </w:rPr>
        <w:br/>
        <w:t>Dispositions finales</w:t>
      </w:r>
    </w:p>
    <w:p w14:paraId="20E46DC7" w14:textId="77777777" w:rsidR="00507F03" w:rsidRPr="00E44216" w:rsidRDefault="00507F03" w:rsidP="00507F03">
      <w:pPr>
        <w:pStyle w:val="SingleTxtG"/>
        <w:ind w:left="1701"/>
        <w:jc w:val="left"/>
        <w:rPr>
          <w:bCs/>
          <w:lang w:val="fr-CA"/>
        </w:rPr>
      </w:pPr>
      <w:r w:rsidRPr="00E44216">
        <w:rPr>
          <w:lang w:val="fr-FR"/>
        </w:rPr>
        <w:t>[...]</w:t>
      </w:r>
    </w:p>
    <w:p w14:paraId="76543997" w14:textId="77777777" w:rsidR="00507F03" w:rsidRPr="00E44216" w:rsidRDefault="00507F03" w:rsidP="00507F03">
      <w:pPr>
        <w:pStyle w:val="SingleTxtG"/>
        <w:ind w:left="1701"/>
        <w:rPr>
          <w:bCs/>
          <w:lang w:val="fr-CA"/>
        </w:rPr>
      </w:pPr>
      <w:r w:rsidRPr="00E44216">
        <w:rPr>
          <w:lang w:val="fr-FR"/>
        </w:rPr>
        <w:t>2.</w:t>
      </w:r>
      <w:r w:rsidRPr="00E44216">
        <w:rPr>
          <w:lang w:val="fr-FR"/>
        </w:rPr>
        <w:tab/>
        <w:t>Le présent accord entre en vigueur lorsque les parties se seront notifié l</w:t>
      </w:r>
      <w:r>
        <w:rPr>
          <w:lang w:val="fr-FR"/>
        </w:rPr>
        <w:t>’</w:t>
      </w:r>
      <w:r w:rsidRPr="00E44216">
        <w:rPr>
          <w:lang w:val="fr-FR"/>
        </w:rPr>
        <w:t>aboutissement des procédures internes nécessaires à sa conclusion. En attendant qu</w:t>
      </w:r>
      <w:r>
        <w:rPr>
          <w:lang w:val="fr-FR"/>
        </w:rPr>
        <w:t>’</w:t>
      </w:r>
      <w:r w:rsidRPr="00E44216">
        <w:rPr>
          <w:lang w:val="fr-FR"/>
        </w:rPr>
        <w:t>elles aient mené à terme lesdites procédures, les parties appliquent le présent accord à titre provisoire dès sa signature. Il est mutuellement convenu qu</w:t>
      </w:r>
      <w:r>
        <w:rPr>
          <w:lang w:val="fr-FR"/>
        </w:rPr>
        <w:t>’</w:t>
      </w:r>
      <w:r w:rsidRPr="00E44216">
        <w:rPr>
          <w:lang w:val="fr-FR"/>
        </w:rPr>
        <w:t>au cas où une autre partie notifierait à l</w:t>
      </w:r>
      <w:r>
        <w:rPr>
          <w:lang w:val="fr-FR"/>
        </w:rPr>
        <w:t>’</w:t>
      </w:r>
      <w:r w:rsidRPr="00E44216">
        <w:rPr>
          <w:lang w:val="fr-FR"/>
        </w:rPr>
        <w:t>autre partie qu</w:t>
      </w:r>
      <w:r>
        <w:rPr>
          <w:lang w:val="fr-FR"/>
        </w:rPr>
        <w:t>’</w:t>
      </w:r>
      <w:r w:rsidRPr="00E44216">
        <w:rPr>
          <w:lang w:val="fr-FR"/>
        </w:rPr>
        <w:t>elle n</w:t>
      </w:r>
      <w:r>
        <w:rPr>
          <w:lang w:val="fr-FR"/>
        </w:rPr>
        <w:t>’</w:t>
      </w:r>
      <w:r w:rsidRPr="00E44216">
        <w:rPr>
          <w:lang w:val="fr-FR"/>
        </w:rPr>
        <w:t>entend pas conclure l</w:t>
      </w:r>
      <w:r>
        <w:rPr>
          <w:lang w:val="fr-FR"/>
        </w:rPr>
        <w:t>’</w:t>
      </w:r>
      <w:r w:rsidRPr="00E44216">
        <w:rPr>
          <w:lang w:val="fr-FR"/>
        </w:rPr>
        <w:t>accord, les projets et activités lancés pendant cette durée d</w:t>
      </w:r>
      <w:r>
        <w:rPr>
          <w:lang w:val="fr-FR"/>
        </w:rPr>
        <w:t>’</w:t>
      </w:r>
      <w:r w:rsidRPr="00E44216">
        <w:rPr>
          <w:lang w:val="fr-FR"/>
        </w:rPr>
        <w:t>application provisoire et toujours en cours au moment de la notification susvisée sont poursuivis jusqu</w:t>
      </w:r>
      <w:r>
        <w:rPr>
          <w:lang w:val="fr-FR"/>
        </w:rPr>
        <w:t>’</w:t>
      </w:r>
      <w:r w:rsidRPr="00E44216">
        <w:rPr>
          <w:lang w:val="fr-FR"/>
        </w:rPr>
        <w:t xml:space="preserve">à leur achèvement dans les conditions énoncées dans le présent accord. </w:t>
      </w:r>
    </w:p>
    <w:p w14:paraId="18324EF1" w14:textId="77777777" w:rsidR="00507F03" w:rsidRPr="008C5911" w:rsidRDefault="00507F03" w:rsidP="00507F03">
      <w:pPr>
        <w:pStyle w:val="H4G"/>
        <w:rPr>
          <w:bCs/>
          <w:u w:val="single"/>
          <w:lang w:val="fr-CA"/>
        </w:rPr>
      </w:pPr>
      <w:r w:rsidRPr="00E44216">
        <w:rPr>
          <w:lang w:val="fr-CA"/>
        </w:rPr>
        <w:tab/>
        <w:t>b)</w:t>
      </w:r>
      <w:r w:rsidRPr="00E44216">
        <w:rPr>
          <w:lang w:val="fr-CA"/>
        </w:rPr>
        <w:tab/>
      </w:r>
      <w:r w:rsidRPr="00E44216">
        <w:rPr>
          <w:lang w:val="fr-FR"/>
        </w:rPr>
        <w:t>Traités multilatéraux</w:t>
      </w:r>
      <w:r w:rsidRPr="008C5911">
        <w:rPr>
          <w:lang w:val="fr-FR"/>
        </w:rPr>
        <w:t xml:space="preserve"> </w:t>
      </w:r>
    </w:p>
    <w:p w14:paraId="5D0B3B68" w14:textId="77777777" w:rsidR="00507F03" w:rsidRPr="008C5911" w:rsidRDefault="00507F03" w:rsidP="00507F03">
      <w:pPr>
        <w:pStyle w:val="SingleTxtG"/>
        <w:rPr>
          <w:lang w:val="fr-CA"/>
        </w:rPr>
      </w:pPr>
      <w:r w:rsidRPr="008C5911">
        <w:rPr>
          <w:lang w:val="fr-FR"/>
        </w:rPr>
        <w:t>45</w:t>
      </w:r>
      <w:r w:rsidRPr="00F22925">
        <w:rPr>
          <w:lang w:val="fr-FR"/>
        </w:rPr>
        <w:t>.</w:t>
      </w:r>
      <w:r w:rsidRPr="008C5911">
        <w:rPr>
          <w:lang w:val="fr-FR"/>
        </w:rPr>
        <w:tab/>
        <w:t>Protocole sur l</w:t>
      </w:r>
      <w:r>
        <w:rPr>
          <w:lang w:val="fr-FR"/>
        </w:rPr>
        <w:t>’</w:t>
      </w:r>
      <w:r w:rsidRPr="008C5911">
        <w:rPr>
          <w:lang w:val="fr-FR"/>
        </w:rPr>
        <w:t>énergie adopté par la Communauté économique des États de l</w:t>
      </w:r>
      <w:r>
        <w:rPr>
          <w:lang w:val="fr-FR"/>
        </w:rPr>
        <w:t>’</w:t>
      </w:r>
      <w:r w:rsidRPr="008C5911">
        <w:rPr>
          <w:lang w:val="fr-FR"/>
        </w:rPr>
        <w:t>Afrique de l</w:t>
      </w:r>
      <w:r>
        <w:rPr>
          <w:lang w:val="fr-FR"/>
        </w:rPr>
        <w:t>’</w:t>
      </w:r>
      <w:r w:rsidRPr="008C5911">
        <w:rPr>
          <w:lang w:val="fr-FR"/>
        </w:rPr>
        <w:t>Ouest (Dakar, 31 janvier 2003)</w:t>
      </w:r>
      <w:r w:rsidRPr="00F22830">
        <w:rPr>
          <w:rStyle w:val="FootnoteReference"/>
        </w:rPr>
        <w:footnoteReference w:id="48"/>
      </w:r>
      <w:r w:rsidRPr="008C5911">
        <w:rPr>
          <w:lang w:val="fr-FR"/>
        </w:rPr>
        <w:t> :</w:t>
      </w:r>
    </w:p>
    <w:p w14:paraId="12F2E60B" w14:textId="77777777" w:rsidR="00507F03" w:rsidRPr="008C5911" w:rsidRDefault="00507F03" w:rsidP="00507F03">
      <w:pPr>
        <w:pStyle w:val="SingleTxtG"/>
        <w:ind w:left="1701"/>
        <w:jc w:val="left"/>
        <w:rPr>
          <w:b/>
          <w:bCs/>
          <w:lang w:val="fr-CA"/>
        </w:rPr>
      </w:pPr>
      <w:r w:rsidRPr="008C5911">
        <w:rPr>
          <w:b/>
          <w:bCs/>
          <w:lang w:val="fr-FR"/>
        </w:rPr>
        <w:t xml:space="preserve">Article 40 </w:t>
      </w:r>
      <w:r w:rsidRPr="008C5911">
        <w:rPr>
          <w:b/>
          <w:bCs/>
          <w:lang w:val="fr-FR"/>
        </w:rPr>
        <w:br/>
        <w:t>Application à titre provisoire</w:t>
      </w:r>
    </w:p>
    <w:p w14:paraId="0B6FDEA2" w14:textId="77777777" w:rsidR="00507F03" w:rsidRPr="008C5911" w:rsidRDefault="00507F03" w:rsidP="00507F03">
      <w:pPr>
        <w:pStyle w:val="SingleTxtG"/>
        <w:ind w:left="1701"/>
        <w:rPr>
          <w:lang w:val="fr-CA"/>
        </w:rPr>
      </w:pPr>
      <w:r w:rsidRPr="008C5911">
        <w:rPr>
          <w:lang w:val="fr-FR"/>
        </w:rPr>
        <w:t>3</w:t>
      </w:r>
      <w:r w:rsidRPr="00F22925">
        <w:rPr>
          <w:lang w:val="fr-FR"/>
        </w:rPr>
        <w:t>.</w:t>
      </w:r>
      <w:r>
        <w:rPr>
          <w:lang w:val="fr-FR"/>
        </w:rPr>
        <w:tab/>
      </w:r>
      <w:r w:rsidRPr="008C5911">
        <w:rPr>
          <w:lang w:val="fr-FR"/>
        </w:rPr>
        <w:t>a)</w:t>
      </w:r>
      <w:r w:rsidRPr="008C5911">
        <w:rPr>
          <w:lang w:val="fr-FR"/>
        </w:rPr>
        <w:tab/>
        <w:t>Tout signataire peut mettre un terme à son application provisoire du présent Protocole en notifiant par écrit au dépositaire son intention de ne pas devenir partie contractante au présent Protocole</w:t>
      </w:r>
      <w:r w:rsidRPr="00F22925">
        <w:rPr>
          <w:lang w:val="fr-FR"/>
        </w:rPr>
        <w:t>.</w:t>
      </w:r>
      <w:r w:rsidRPr="008C5911">
        <w:rPr>
          <w:lang w:val="fr-FR"/>
        </w:rPr>
        <w:t xml:space="preserve"> La fin de l</w:t>
      </w:r>
      <w:r>
        <w:rPr>
          <w:lang w:val="fr-FR"/>
        </w:rPr>
        <w:t>’</w:t>
      </w:r>
      <w:r w:rsidRPr="008C5911">
        <w:rPr>
          <w:lang w:val="fr-FR"/>
        </w:rPr>
        <w:t xml:space="preserve">application provisoire </w:t>
      </w:r>
      <w:r w:rsidRPr="008C5911">
        <w:rPr>
          <w:lang w:val="fr-FR"/>
        </w:rPr>
        <w:lastRenderedPageBreak/>
        <w:t>prend effet, pour tout signataire, à l</w:t>
      </w:r>
      <w:r>
        <w:rPr>
          <w:lang w:val="fr-FR"/>
        </w:rPr>
        <w:t>’</w:t>
      </w:r>
      <w:r w:rsidRPr="008C5911">
        <w:rPr>
          <w:lang w:val="fr-FR"/>
        </w:rPr>
        <w:t>expiration d</w:t>
      </w:r>
      <w:r>
        <w:rPr>
          <w:lang w:val="fr-FR"/>
        </w:rPr>
        <w:t>’</w:t>
      </w:r>
      <w:r w:rsidRPr="008C5911">
        <w:rPr>
          <w:lang w:val="fr-FR"/>
        </w:rPr>
        <w:t xml:space="preserve">un délai de </w:t>
      </w:r>
      <w:r>
        <w:rPr>
          <w:lang w:val="fr-FR"/>
        </w:rPr>
        <w:t>soixante</w:t>
      </w:r>
      <w:r w:rsidRPr="008C5911">
        <w:rPr>
          <w:lang w:val="fr-FR"/>
        </w:rPr>
        <w:t xml:space="preserve"> jours à compter du jour où le dépositaire reçoit la notification écrite du signataire</w:t>
      </w:r>
      <w:r w:rsidRPr="00F22925">
        <w:rPr>
          <w:lang w:val="fr-FR"/>
        </w:rPr>
        <w:t>.</w:t>
      </w:r>
      <w:r w:rsidRPr="008C5911">
        <w:rPr>
          <w:lang w:val="fr-FR"/>
        </w:rPr>
        <w:t xml:space="preserve"> </w:t>
      </w:r>
    </w:p>
    <w:p w14:paraId="5DBCADE3" w14:textId="77777777" w:rsidR="00507F03" w:rsidRPr="00BF3057" w:rsidRDefault="00507F03" w:rsidP="00507F03">
      <w:pPr>
        <w:pStyle w:val="H23G"/>
        <w:rPr>
          <w:lang w:val="fr-CA"/>
        </w:rPr>
      </w:pPr>
      <w:r w:rsidRPr="00BF3057">
        <w:rPr>
          <w:lang w:val="fr-CA"/>
        </w:rPr>
        <w:tab/>
        <w:t>3)</w:t>
      </w:r>
      <w:r w:rsidRPr="00BF3057">
        <w:rPr>
          <w:lang w:val="fr-CA"/>
        </w:rPr>
        <w:tab/>
      </w:r>
      <w:r w:rsidRPr="008C5911">
        <w:rPr>
          <w:lang w:val="fr-FR"/>
        </w:rPr>
        <w:t>Autres motifs</w:t>
      </w:r>
    </w:p>
    <w:p w14:paraId="2A67D0C8" w14:textId="77777777" w:rsidR="00507F03" w:rsidRPr="008C5911" w:rsidRDefault="00507F03" w:rsidP="00507F03">
      <w:pPr>
        <w:pStyle w:val="H4G"/>
        <w:rPr>
          <w:bCs/>
        </w:rPr>
      </w:pPr>
      <w:r w:rsidRPr="008C5911">
        <w:rPr>
          <w:lang w:val="fr-FR"/>
        </w:rPr>
        <w:tab/>
      </w:r>
      <w:r w:rsidRPr="00E44216">
        <w:rPr>
          <w:lang w:val="fr-FR"/>
        </w:rPr>
        <w:t>a)</w:t>
      </w:r>
      <w:r w:rsidRPr="00E44216">
        <w:rPr>
          <w:lang w:val="fr-FR"/>
        </w:rPr>
        <w:tab/>
        <w:t>Traités bilatéraux</w:t>
      </w:r>
    </w:p>
    <w:p w14:paraId="6BC15109" w14:textId="77777777" w:rsidR="00507F03" w:rsidRPr="008C5911" w:rsidRDefault="00507F03" w:rsidP="00507F03">
      <w:pPr>
        <w:pStyle w:val="SingleTxtG"/>
        <w:rPr>
          <w:bCs/>
          <w:lang w:val="fr-CA"/>
        </w:rPr>
      </w:pPr>
      <w:r w:rsidRPr="008C5911">
        <w:rPr>
          <w:lang w:val="fr-FR"/>
        </w:rPr>
        <w:t>46</w:t>
      </w:r>
      <w:r w:rsidRPr="00F22925">
        <w:rPr>
          <w:lang w:val="fr-FR"/>
        </w:rPr>
        <w:t>.</w:t>
      </w:r>
      <w:r w:rsidRPr="008C5911">
        <w:rPr>
          <w:lang w:val="fr-FR"/>
        </w:rPr>
        <w:tab/>
        <w:t>Accord de coopération entre le Gouvernement des États-Unis d</w:t>
      </w:r>
      <w:r>
        <w:rPr>
          <w:lang w:val="fr-FR"/>
        </w:rPr>
        <w:t>’</w:t>
      </w:r>
      <w:r w:rsidRPr="008C5911">
        <w:rPr>
          <w:lang w:val="fr-FR"/>
        </w:rPr>
        <w:t>Amérique et le Gouvernement de la République du Libéria relatif à la répression de la prolifération par mer des armes de destruction massive, de leurs vecteurs et des matériels connexes (Washington, 11 février 2004)</w:t>
      </w:r>
      <w:r w:rsidRPr="00F22830">
        <w:rPr>
          <w:rStyle w:val="FootnoteReference"/>
        </w:rPr>
        <w:footnoteReference w:id="49"/>
      </w:r>
      <w:r w:rsidRPr="008C5911">
        <w:rPr>
          <w:lang w:val="fr-FR"/>
        </w:rPr>
        <w:t> :</w:t>
      </w:r>
    </w:p>
    <w:p w14:paraId="724EB1F0" w14:textId="77777777" w:rsidR="00507F03" w:rsidRPr="008C5911" w:rsidRDefault="00507F03" w:rsidP="00507F03">
      <w:pPr>
        <w:pStyle w:val="SingleTxtG"/>
        <w:ind w:left="1701"/>
        <w:jc w:val="left"/>
        <w:rPr>
          <w:b/>
          <w:bCs/>
          <w:lang w:val="fr-CA"/>
        </w:rPr>
      </w:pPr>
      <w:r w:rsidRPr="008C5911">
        <w:rPr>
          <w:b/>
          <w:bCs/>
          <w:lang w:val="fr-FR"/>
        </w:rPr>
        <w:t>Article 17</w:t>
      </w:r>
      <w:r w:rsidRPr="008C5911">
        <w:rPr>
          <w:lang w:val="fr-FR"/>
        </w:rPr>
        <w:t xml:space="preserve"> </w:t>
      </w:r>
      <w:r w:rsidRPr="008C5911">
        <w:rPr>
          <w:lang w:val="fr-FR"/>
        </w:rPr>
        <w:br/>
      </w:r>
      <w:r w:rsidRPr="008C5911">
        <w:rPr>
          <w:b/>
          <w:bCs/>
          <w:lang w:val="fr-FR"/>
        </w:rPr>
        <w:t>Entrée en vigueur et durée</w:t>
      </w:r>
      <w:r w:rsidRPr="008C5911">
        <w:rPr>
          <w:lang w:val="fr-FR"/>
        </w:rPr>
        <w:t xml:space="preserve"> </w:t>
      </w:r>
    </w:p>
    <w:p w14:paraId="500D4523"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282240C9" w14:textId="77777777" w:rsidR="00507F03" w:rsidRPr="008C5911" w:rsidRDefault="00507F03" w:rsidP="00507F03">
      <w:pPr>
        <w:pStyle w:val="SingleTxtG"/>
        <w:keepNext/>
        <w:keepLines/>
        <w:ind w:left="1701"/>
        <w:rPr>
          <w:lang w:val="fr-CA"/>
        </w:rPr>
      </w:pPr>
      <w:r w:rsidRPr="008C5911">
        <w:rPr>
          <w:lang w:val="fr-FR"/>
        </w:rPr>
        <w:t>2</w:t>
      </w:r>
      <w:r w:rsidRPr="00F22925">
        <w:rPr>
          <w:lang w:val="fr-FR"/>
        </w:rPr>
        <w:t>.</w:t>
      </w:r>
      <w:r w:rsidRPr="008C5911">
        <w:rPr>
          <w:lang w:val="fr-FR"/>
        </w:rPr>
        <w:tab/>
        <w:t>Application provisoire</w:t>
      </w:r>
      <w:r w:rsidRPr="00F22925">
        <w:rPr>
          <w:lang w:val="fr-FR"/>
        </w:rPr>
        <w:t>.</w:t>
      </w:r>
      <w:r w:rsidRPr="008C5911">
        <w:rPr>
          <w:lang w:val="fr-FR"/>
        </w:rPr>
        <w:t xml:space="preserve"> Les Parties appliquent à titre provisoire le présent Accord à compter de sa signature, dans la mesure permise par leurs dispositions législatives et réglementaires nationales respectives</w:t>
      </w:r>
      <w:r w:rsidRPr="00F22925">
        <w:rPr>
          <w:lang w:val="fr-FR"/>
        </w:rPr>
        <w:t>.</w:t>
      </w:r>
      <w:r w:rsidRPr="008C5911">
        <w:rPr>
          <w:lang w:val="fr-FR"/>
        </w:rPr>
        <w:t xml:space="preserve"> Chaque Partie peut à tout moment suspendre l</w:t>
      </w:r>
      <w:r>
        <w:rPr>
          <w:lang w:val="fr-FR"/>
        </w:rPr>
        <w:t>’</w:t>
      </w:r>
      <w:r w:rsidRPr="008C5911">
        <w:rPr>
          <w:lang w:val="fr-FR"/>
        </w:rPr>
        <w:t>application provisoire du présent Accord</w:t>
      </w:r>
      <w:r w:rsidRPr="00F22925">
        <w:rPr>
          <w:lang w:val="fr-FR"/>
        </w:rPr>
        <w:t>.</w:t>
      </w:r>
      <w:r w:rsidRPr="008C5911">
        <w:rPr>
          <w:lang w:val="fr-FR"/>
        </w:rPr>
        <w:t xml:space="preserve"> Chaque Partie notifie immédiatement à l</w:t>
      </w:r>
      <w:r>
        <w:rPr>
          <w:lang w:val="fr-FR"/>
        </w:rPr>
        <w:t>’</w:t>
      </w:r>
      <w:r w:rsidRPr="008C5911">
        <w:rPr>
          <w:lang w:val="fr-FR"/>
        </w:rPr>
        <w:t>autre Partie toute contrainte ou limitation de l</w:t>
      </w:r>
      <w:r>
        <w:rPr>
          <w:lang w:val="fr-FR"/>
        </w:rPr>
        <w:t>’</w:t>
      </w:r>
      <w:r w:rsidRPr="008C5911">
        <w:rPr>
          <w:lang w:val="fr-FR"/>
        </w:rPr>
        <w:t>application provisoire du présent Accord et de tout changement de ces contraintes ou limitations et ce, dès la suspension de l</w:t>
      </w:r>
      <w:r>
        <w:rPr>
          <w:lang w:val="fr-FR"/>
        </w:rPr>
        <w:t>’</w:t>
      </w:r>
      <w:r w:rsidRPr="008C5911">
        <w:rPr>
          <w:lang w:val="fr-FR"/>
        </w:rPr>
        <w:t>application provisoire</w:t>
      </w:r>
      <w:r w:rsidRPr="00F22925">
        <w:rPr>
          <w:lang w:val="fr-FR"/>
        </w:rPr>
        <w:t>.</w:t>
      </w:r>
    </w:p>
    <w:p w14:paraId="451C162B" w14:textId="77777777" w:rsidR="00507F03" w:rsidRPr="008C5911" w:rsidRDefault="00507F03" w:rsidP="00507F03">
      <w:pPr>
        <w:pStyle w:val="SingleTxtG"/>
        <w:rPr>
          <w:lang w:val="fr-CA"/>
        </w:rPr>
      </w:pPr>
      <w:r w:rsidRPr="008C5911">
        <w:rPr>
          <w:lang w:val="fr-FR"/>
        </w:rPr>
        <w:t>47</w:t>
      </w:r>
      <w:r w:rsidRPr="00F22925">
        <w:rPr>
          <w:lang w:val="fr-FR"/>
        </w:rPr>
        <w:t>.</w:t>
      </w:r>
      <w:r w:rsidRPr="008C5911">
        <w:rPr>
          <w:lang w:val="fr-FR"/>
        </w:rPr>
        <w:tab/>
        <w:t>Accord de libre-échange entre l</w:t>
      </w:r>
      <w:r>
        <w:rPr>
          <w:lang w:val="fr-FR"/>
        </w:rPr>
        <w:t>’</w:t>
      </w:r>
      <w:r w:rsidRPr="008C5911">
        <w:rPr>
          <w:lang w:val="fr-FR"/>
        </w:rPr>
        <w:t>Union européenne et ses États membres, d</w:t>
      </w:r>
      <w:r>
        <w:rPr>
          <w:lang w:val="fr-FR"/>
        </w:rPr>
        <w:t>’</w:t>
      </w:r>
      <w:r w:rsidRPr="008C5911">
        <w:rPr>
          <w:lang w:val="fr-FR"/>
        </w:rPr>
        <w:t>une part, et la République de Corée, d</w:t>
      </w:r>
      <w:r>
        <w:rPr>
          <w:lang w:val="fr-FR"/>
        </w:rPr>
        <w:t>’</w:t>
      </w:r>
      <w:r w:rsidRPr="008C5911">
        <w:rPr>
          <w:lang w:val="fr-FR"/>
        </w:rPr>
        <w:t>autre part (Bruxelles, 6 octobre 2010)</w:t>
      </w:r>
      <w:r w:rsidRPr="00F22830">
        <w:rPr>
          <w:rStyle w:val="FootnoteReference"/>
        </w:rPr>
        <w:footnoteReference w:id="50"/>
      </w:r>
      <w:r w:rsidRPr="008C5911">
        <w:rPr>
          <w:lang w:val="fr-FR"/>
        </w:rPr>
        <w:t> :</w:t>
      </w:r>
    </w:p>
    <w:p w14:paraId="618B3D78" w14:textId="77777777" w:rsidR="00507F03" w:rsidRPr="008C5911" w:rsidRDefault="00507F03" w:rsidP="00507F03">
      <w:pPr>
        <w:pStyle w:val="SingleTxtG"/>
        <w:ind w:left="1701"/>
        <w:jc w:val="left"/>
        <w:rPr>
          <w:b/>
          <w:bCs/>
          <w:lang w:val="fr-CA"/>
        </w:rPr>
      </w:pPr>
      <w:r w:rsidRPr="008C5911">
        <w:rPr>
          <w:b/>
          <w:bCs/>
          <w:lang w:val="fr-FR"/>
        </w:rPr>
        <w:t>Article 15</w:t>
      </w:r>
      <w:r w:rsidRPr="00F22925">
        <w:rPr>
          <w:b/>
          <w:bCs/>
          <w:lang w:val="fr-FR"/>
        </w:rPr>
        <w:t>.</w:t>
      </w:r>
      <w:r w:rsidRPr="008C5911">
        <w:rPr>
          <w:b/>
          <w:bCs/>
          <w:lang w:val="fr-FR"/>
        </w:rPr>
        <w:t xml:space="preserve">10 </w:t>
      </w:r>
      <w:r w:rsidRPr="008C5911">
        <w:rPr>
          <w:b/>
          <w:bCs/>
          <w:lang w:val="fr-FR"/>
        </w:rPr>
        <w:br/>
        <w:t>Entrée en vigueur</w:t>
      </w:r>
    </w:p>
    <w:p w14:paraId="35C21A3B" w14:textId="77777777" w:rsidR="00507F03" w:rsidRPr="008C5911" w:rsidRDefault="00507F03" w:rsidP="00507F03">
      <w:pPr>
        <w:pStyle w:val="SingleTxtG"/>
        <w:ind w:left="1701"/>
        <w:jc w:val="left"/>
        <w:rPr>
          <w:lang w:val="fr-CA"/>
        </w:rPr>
      </w:pPr>
      <w:r w:rsidRPr="008C5911">
        <w:rPr>
          <w:lang w:val="fr-FR"/>
        </w:rPr>
        <w:t>5</w:t>
      </w:r>
      <w:r w:rsidRPr="00F22925">
        <w:rPr>
          <w:lang w:val="fr-FR"/>
        </w:rPr>
        <w:t>.</w:t>
      </w:r>
      <w:r w:rsidRPr="008C5911">
        <w:rPr>
          <w:lang w:val="fr-FR"/>
        </w:rPr>
        <w:tab/>
        <w:t>[</w:t>
      </w:r>
      <w:r w:rsidRPr="00F22925">
        <w:rPr>
          <w:lang w:val="fr-FR"/>
        </w:rPr>
        <w:t>...</w:t>
      </w:r>
      <w:r w:rsidRPr="008C5911">
        <w:rPr>
          <w:lang w:val="fr-FR"/>
        </w:rPr>
        <w:t>]</w:t>
      </w:r>
    </w:p>
    <w:p w14:paraId="72752A03" w14:textId="77777777" w:rsidR="00507F03" w:rsidRPr="008C5911" w:rsidRDefault="00507F03" w:rsidP="00507F03">
      <w:pPr>
        <w:pStyle w:val="SingleTxtG"/>
        <w:ind w:left="1701"/>
        <w:rPr>
          <w:lang w:val="fr-CA"/>
        </w:rPr>
      </w:pPr>
      <w:r w:rsidRPr="008C5911">
        <w:rPr>
          <w:lang w:val="fr-FR"/>
        </w:rPr>
        <w:tab/>
        <w:t>c)</w:t>
      </w:r>
      <w:r w:rsidRPr="008C5911">
        <w:rPr>
          <w:lang w:val="fr-FR"/>
        </w:rPr>
        <w:tab/>
        <w:t>Une partie peut mettre fin à l</w:t>
      </w:r>
      <w:r>
        <w:rPr>
          <w:lang w:val="fr-FR"/>
        </w:rPr>
        <w:t>’</w:t>
      </w:r>
      <w:r w:rsidRPr="008C5911">
        <w:rPr>
          <w:lang w:val="fr-FR"/>
        </w:rPr>
        <w:t>application provisoire par avis écrit adressé à l</w:t>
      </w:r>
      <w:r>
        <w:rPr>
          <w:lang w:val="fr-FR"/>
        </w:rPr>
        <w:t>’</w:t>
      </w:r>
      <w:r w:rsidRPr="008C5911">
        <w:rPr>
          <w:lang w:val="fr-FR"/>
        </w:rPr>
        <w:t>autre partie</w:t>
      </w:r>
      <w:r w:rsidRPr="00F22925">
        <w:rPr>
          <w:lang w:val="fr-FR"/>
        </w:rPr>
        <w:t>.</w:t>
      </w:r>
      <w:r w:rsidRPr="008C5911">
        <w:rPr>
          <w:lang w:val="fr-FR"/>
        </w:rPr>
        <w:t xml:space="preserve"> Cette cessation prend effet le premier jour du mois suivant la notification</w:t>
      </w:r>
      <w:r w:rsidRPr="00F22925">
        <w:rPr>
          <w:lang w:val="fr-FR"/>
        </w:rPr>
        <w:t>.</w:t>
      </w:r>
    </w:p>
    <w:p w14:paraId="13D9BA77" w14:textId="77777777" w:rsidR="00507F03" w:rsidRPr="008C5911" w:rsidRDefault="00507F03" w:rsidP="00507F03">
      <w:pPr>
        <w:pStyle w:val="SingleTxtG"/>
        <w:rPr>
          <w:lang w:val="fr-CA"/>
        </w:rPr>
      </w:pPr>
      <w:r w:rsidRPr="008C5911">
        <w:rPr>
          <w:lang w:val="fr-FR"/>
        </w:rPr>
        <w:t>48</w:t>
      </w:r>
      <w:r w:rsidRPr="00F22925">
        <w:rPr>
          <w:lang w:val="fr-FR"/>
        </w:rPr>
        <w:t>.</w:t>
      </w:r>
      <w:r w:rsidRPr="008C5911">
        <w:rPr>
          <w:lang w:val="fr-FR"/>
        </w:rPr>
        <w:tab/>
        <w:t>Accord d</w:t>
      </w:r>
      <w:r>
        <w:rPr>
          <w:lang w:val="fr-FR"/>
        </w:rPr>
        <w:t>’</w:t>
      </w:r>
      <w:r w:rsidRPr="008C5911">
        <w:rPr>
          <w:lang w:val="fr-FR"/>
        </w:rPr>
        <w:t>association entre l</w:t>
      </w:r>
      <w:r>
        <w:rPr>
          <w:lang w:val="fr-FR"/>
        </w:rPr>
        <w:t>’</w:t>
      </w:r>
      <w:r w:rsidRPr="008C5911">
        <w:rPr>
          <w:lang w:val="fr-FR"/>
        </w:rPr>
        <w:t>Union européenne et ses États membres, d</w:t>
      </w:r>
      <w:r>
        <w:rPr>
          <w:lang w:val="fr-FR"/>
        </w:rPr>
        <w:t>’</w:t>
      </w:r>
      <w:r w:rsidRPr="008C5911">
        <w:rPr>
          <w:lang w:val="fr-FR"/>
        </w:rPr>
        <w:t>une part, et l</w:t>
      </w:r>
      <w:r>
        <w:rPr>
          <w:lang w:val="fr-FR"/>
        </w:rPr>
        <w:t>’</w:t>
      </w:r>
      <w:r w:rsidRPr="008C5911">
        <w:rPr>
          <w:lang w:val="fr-FR"/>
        </w:rPr>
        <w:t>Ukraine, d</w:t>
      </w:r>
      <w:r>
        <w:rPr>
          <w:lang w:val="fr-FR"/>
        </w:rPr>
        <w:t>’</w:t>
      </w:r>
      <w:r w:rsidRPr="008C5911">
        <w:rPr>
          <w:lang w:val="fr-FR"/>
        </w:rPr>
        <w:t>autre part (Bruxelles, 21 mars 2014)</w:t>
      </w:r>
      <w:r w:rsidRPr="00F22830">
        <w:rPr>
          <w:rStyle w:val="FootnoteReference"/>
        </w:rPr>
        <w:footnoteReference w:id="51"/>
      </w:r>
      <w:r w:rsidRPr="008C5911">
        <w:rPr>
          <w:lang w:val="fr-FR"/>
        </w:rPr>
        <w:t xml:space="preserve"> : </w:t>
      </w:r>
    </w:p>
    <w:p w14:paraId="22D326FF" w14:textId="77777777" w:rsidR="00507F03" w:rsidRPr="008C5911" w:rsidRDefault="00507F03" w:rsidP="00507F03">
      <w:pPr>
        <w:pStyle w:val="SingleTxtG"/>
        <w:ind w:left="1701"/>
        <w:jc w:val="left"/>
        <w:rPr>
          <w:b/>
          <w:bCs/>
          <w:lang w:val="fr-CA"/>
        </w:rPr>
      </w:pPr>
      <w:r w:rsidRPr="008C5911">
        <w:rPr>
          <w:b/>
          <w:bCs/>
          <w:lang w:val="fr-FR"/>
        </w:rPr>
        <w:t xml:space="preserve">Article 486 </w:t>
      </w:r>
      <w:r w:rsidRPr="008C5911">
        <w:rPr>
          <w:b/>
          <w:bCs/>
          <w:lang w:val="fr-FR"/>
        </w:rPr>
        <w:br/>
        <w:t>Entrée en vigueur et application provisoire</w:t>
      </w:r>
    </w:p>
    <w:p w14:paraId="198BCE38" w14:textId="77777777" w:rsidR="00507F03" w:rsidRPr="008C5911" w:rsidRDefault="00507F03" w:rsidP="00507F03">
      <w:pPr>
        <w:pStyle w:val="SingleTxtG"/>
        <w:ind w:left="1701"/>
        <w:jc w:val="left"/>
        <w:rPr>
          <w:lang w:val="fr-CA"/>
        </w:rPr>
      </w:pPr>
      <w:r w:rsidRPr="008C5911">
        <w:rPr>
          <w:lang w:val="fr-FR"/>
        </w:rPr>
        <w:t>[</w:t>
      </w:r>
      <w:r w:rsidRPr="00F22925">
        <w:rPr>
          <w:lang w:val="fr-FR"/>
        </w:rPr>
        <w:t>...</w:t>
      </w:r>
      <w:r w:rsidRPr="008C5911">
        <w:rPr>
          <w:lang w:val="fr-FR"/>
        </w:rPr>
        <w:t>]</w:t>
      </w:r>
    </w:p>
    <w:p w14:paraId="2372FC0F" w14:textId="77777777" w:rsidR="00507F03" w:rsidRPr="008C5911" w:rsidRDefault="00507F03" w:rsidP="00507F03">
      <w:pPr>
        <w:pStyle w:val="SingleTxtG"/>
        <w:ind w:left="1701"/>
        <w:rPr>
          <w:lang w:val="fr-CA"/>
        </w:rPr>
      </w:pPr>
      <w:r w:rsidRPr="008C5911">
        <w:rPr>
          <w:lang w:val="fr-FR"/>
        </w:rPr>
        <w:t>7</w:t>
      </w:r>
      <w:r w:rsidRPr="00F22925">
        <w:rPr>
          <w:lang w:val="fr-FR"/>
        </w:rPr>
        <w:t>.</w:t>
      </w:r>
      <w:r w:rsidRPr="008C5911">
        <w:rPr>
          <w:lang w:val="fr-FR"/>
        </w:rPr>
        <w:tab/>
        <w:t>Chacune des parties peut notifier, par écrit, au dépositaire son intention de mettre fin à l</w:t>
      </w:r>
      <w:r>
        <w:rPr>
          <w:lang w:val="fr-FR"/>
        </w:rPr>
        <w:t>’</w:t>
      </w:r>
      <w:r w:rsidRPr="008C5911">
        <w:rPr>
          <w:lang w:val="fr-FR"/>
        </w:rPr>
        <w:t>application provisoire du présent accord</w:t>
      </w:r>
      <w:r w:rsidRPr="00F22925">
        <w:rPr>
          <w:lang w:val="fr-FR"/>
        </w:rPr>
        <w:t>.</w:t>
      </w:r>
      <w:r w:rsidRPr="008C5911">
        <w:rPr>
          <w:lang w:val="fr-FR"/>
        </w:rPr>
        <w:t xml:space="preserve"> [</w:t>
      </w:r>
      <w:r w:rsidRPr="00F22925">
        <w:rPr>
          <w:lang w:val="fr-FR"/>
        </w:rPr>
        <w:t>...</w:t>
      </w:r>
      <w:r w:rsidRPr="008C5911">
        <w:rPr>
          <w:lang w:val="fr-FR"/>
        </w:rPr>
        <w:t>]</w:t>
      </w:r>
    </w:p>
    <w:p w14:paraId="0D3C8A64" w14:textId="77777777" w:rsidR="00507F03" w:rsidRPr="008C5911" w:rsidRDefault="00507F03" w:rsidP="00507F03">
      <w:pPr>
        <w:pStyle w:val="H4G"/>
        <w:rPr>
          <w:bCs/>
          <w:lang w:val="fr-CA"/>
        </w:rPr>
      </w:pPr>
      <w:r w:rsidRPr="008C5911">
        <w:rPr>
          <w:lang w:val="fr-FR"/>
        </w:rPr>
        <w:tab/>
      </w:r>
      <w:r w:rsidRPr="00E44216">
        <w:rPr>
          <w:lang w:val="fr-FR"/>
        </w:rPr>
        <w:t>b)</w:t>
      </w:r>
      <w:r w:rsidRPr="00E44216">
        <w:rPr>
          <w:lang w:val="fr-FR"/>
        </w:rPr>
        <w:tab/>
        <w:t>Traités multilatéraux</w:t>
      </w:r>
    </w:p>
    <w:p w14:paraId="6695E7FB" w14:textId="77777777" w:rsidR="00507F03" w:rsidRPr="008C5911" w:rsidRDefault="00507F03" w:rsidP="00507F03">
      <w:pPr>
        <w:pStyle w:val="SingleTxtG"/>
        <w:rPr>
          <w:lang w:val="fr-CA"/>
        </w:rPr>
      </w:pPr>
      <w:r w:rsidRPr="008C5911">
        <w:rPr>
          <w:lang w:val="fr-FR"/>
        </w:rPr>
        <w:t>49</w:t>
      </w:r>
      <w:r w:rsidRPr="00F22925">
        <w:rPr>
          <w:lang w:val="fr-FR"/>
        </w:rPr>
        <w:t>.</w:t>
      </w:r>
      <w:r w:rsidRPr="008C5911">
        <w:rPr>
          <w:lang w:val="fr-FR"/>
        </w:rPr>
        <w:tab/>
        <w:t>Accord aux fins de l</w:t>
      </w:r>
      <w:r>
        <w:rPr>
          <w:lang w:val="fr-FR"/>
        </w:rPr>
        <w:t>’</w:t>
      </w:r>
      <w:r w:rsidRPr="008C5911">
        <w:rPr>
          <w:lang w:val="fr-FR"/>
        </w:rPr>
        <w:t>application des dispositions de la Convention des Nations Unies sur le droit de la mer du 10 décembre 1982 relatives à la conservation et à la gestion des stocks de poissons dont les déplacements s</w:t>
      </w:r>
      <w:r>
        <w:rPr>
          <w:lang w:val="fr-FR"/>
        </w:rPr>
        <w:t>’</w:t>
      </w:r>
      <w:r w:rsidRPr="008C5911">
        <w:rPr>
          <w:lang w:val="fr-FR"/>
        </w:rPr>
        <w:t>effectuent tant à l</w:t>
      </w:r>
      <w:r>
        <w:rPr>
          <w:lang w:val="fr-FR"/>
        </w:rPr>
        <w:t>’</w:t>
      </w:r>
      <w:r w:rsidRPr="008C5911">
        <w:rPr>
          <w:lang w:val="fr-FR"/>
        </w:rPr>
        <w:t>intérieur qu</w:t>
      </w:r>
      <w:r>
        <w:rPr>
          <w:lang w:val="fr-FR"/>
        </w:rPr>
        <w:t>’</w:t>
      </w:r>
      <w:r w:rsidRPr="008C5911">
        <w:rPr>
          <w:lang w:val="fr-FR"/>
        </w:rPr>
        <w:t>au-delà de zones économiques exclusives (stocks chevauchants) et des stocks de poissons grands migrateurs (New York, 4 août 1995)</w:t>
      </w:r>
      <w:r w:rsidRPr="00F22830">
        <w:rPr>
          <w:rStyle w:val="FootnoteReference"/>
        </w:rPr>
        <w:footnoteReference w:id="52"/>
      </w:r>
      <w:r w:rsidRPr="008C5911">
        <w:rPr>
          <w:lang w:val="fr-FR"/>
        </w:rPr>
        <w:t> :</w:t>
      </w:r>
    </w:p>
    <w:p w14:paraId="1FF1773B" w14:textId="77777777" w:rsidR="00507F03" w:rsidRPr="008C5911" w:rsidRDefault="00507F03" w:rsidP="00507F03">
      <w:pPr>
        <w:pStyle w:val="SingleTxtG"/>
        <w:ind w:left="1701"/>
        <w:jc w:val="left"/>
        <w:rPr>
          <w:b/>
          <w:lang w:val="fr-CA"/>
        </w:rPr>
      </w:pPr>
      <w:r w:rsidRPr="008C5911">
        <w:rPr>
          <w:b/>
          <w:bCs/>
          <w:lang w:val="fr-FR"/>
        </w:rPr>
        <w:lastRenderedPageBreak/>
        <w:t xml:space="preserve">Article 41 </w:t>
      </w:r>
      <w:r w:rsidRPr="008C5911">
        <w:rPr>
          <w:b/>
          <w:bCs/>
          <w:lang w:val="fr-FR"/>
        </w:rPr>
        <w:br/>
        <w:t>Application provisoire</w:t>
      </w:r>
    </w:p>
    <w:p w14:paraId="0D77CD41" w14:textId="77777777" w:rsidR="00507F03" w:rsidRPr="008C5911" w:rsidRDefault="00507F03" w:rsidP="00507F03">
      <w:pPr>
        <w:pStyle w:val="SingleTxtG"/>
        <w:ind w:left="1701"/>
        <w:jc w:val="left"/>
        <w:rPr>
          <w:bCs/>
          <w:lang w:val="fr-CA"/>
        </w:rPr>
      </w:pPr>
      <w:r w:rsidRPr="008C5911">
        <w:rPr>
          <w:lang w:val="fr-FR"/>
        </w:rPr>
        <w:t>[</w:t>
      </w:r>
      <w:r w:rsidRPr="00F22925">
        <w:rPr>
          <w:lang w:val="fr-FR"/>
        </w:rPr>
        <w:t>...</w:t>
      </w:r>
      <w:r w:rsidRPr="008C5911">
        <w:rPr>
          <w:lang w:val="fr-FR"/>
        </w:rPr>
        <w:t>]</w:t>
      </w:r>
    </w:p>
    <w:p w14:paraId="480A00A4" w14:textId="77777777" w:rsidR="00507F03" w:rsidRPr="008C5911" w:rsidRDefault="00507F03" w:rsidP="00507F03">
      <w:pPr>
        <w:pStyle w:val="SingleTxtG"/>
        <w:ind w:left="1701"/>
        <w:rPr>
          <w:bCs/>
          <w:lang w:val="fr-CA"/>
        </w:rPr>
      </w:pPr>
      <w:r w:rsidRPr="008C5911">
        <w:rPr>
          <w:lang w:val="fr-FR"/>
        </w:rPr>
        <w:t>2</w:t>
      </w:r>
      <w:r w:rsidRPr="00F22925">
        <w:rPr>
          <w:lang w:val="fr-FR"/>
        </w:rPr>
        <w:t>.</w:t>
      </w:r>
      <w:r w:rsidRPr="008C5911">
        <w:rPr>
          <w:lang w:val="fr-FR"/>
        </w:rPr>
        <w:tab/>
        <w:t>L</w:t>
      </w:r>
      <w:r>
        <w:rPr>
          <w:lang w:val="fr-FR"/>
        </w:rPr>
        <w:t>’</w:t>
      </w:r>
      <w:r w:rsidRPr="008C5911">
        <w:rPr>
          <w:lang w:val="fr-FR"/>
        </w:rPr>
        <w:t>application provisoire par un État ou une entité prend fin à la date de l</w:t>
      </w:r>
      <w:r>
        <w:rPr>
          <w:lang w:val="fr-FR"/>
        </w:rPr>
        <w:t>’</w:t>
      </w:r>
      <w:r w:rsidRPr="008C5911">
        <w:rPr>
          <w:lang w:val="fr-FR"/>
        </w:rPr>
        <w:t>entrée en vigueur du présent Accord à l</w:t>
      </w:r>
      <w:r>
        <w:rPr>
          <w:lang w:val="fr-FR"/>
        </w:rPr>
        <w:t>’</w:t>
      </w:r>
      <w:r w:rsidRPr="008C5911">
        <w:rPr>
          <w:lang w:val="fr-FR"/>
        </w:rPr>
        <w:t>égard de cet État ou cette entité ou lorsque ledit État ou ladite entité notifie par écrit au dépositaire son intention de mettre fin à l</w:t>
      </w:r>
      <w:r>
        <w:rPr>
          <w:lang w:val="fr-FR"/>
        </w:rPr>
        <w:t>’</w:t>
      </w:r>
      <w:r w:rsidRPr="008C5911">
        <w:rPr>
          <w:lang w:val="fr-FR"/>
        </w:rPr>
        <w:t>application provisoire</w:t>
      </w:r>
      <w:r w:rsidRPr="00F22925">
        <w:rPr>
          <w:lang w:val="fr-FR"/>
        </w:rPr>
        <w:t>.</w:t>
      </w:r>
    </w:p>
    <w:p w14:paraId="42C77F1A" w14:textId="77777777" w:rsidR="00507F03" w:rsidRPr="008C5911" w:rsidRDefault="00507F03" w:rsidP="00507F03">
      <w:pPr>
        <w:pStyle w:val="SingleTxtG"/>
        <w:rPr>
          <w:lang w:val="fr-CA"/>
        </w:rPr>
      </w:pPr>
      <w:r w:rsidRPr="008C5911">
        <w:rPr>
          <w:lang w:val="fr-FR"/>
        </w:rPr>
        <w:t>50</w:t>
      </w:r>
      <w:r w:rsidRPr="00F22925">
        <w:rPr>
          <w:lang w:val="fr-FR"/>
        </w:rPr>
        <w:t>.</w:t>
      </w:r>
      <w:r w:rsidRPr="008C5911">
        <w:rPr>
          <w:lang w:val="fr-FR"/>
        </w:rPr>
        <w:tab/>
        <w:t>Accord sur l</w:t>
      </w:r>
      <w:r>
        <w:rPr>
          <w:lang w:val="fr-FR"/>
        </w:rPr>
        <w:t>’</w:t>
      </w:r>
      <w:r w:rsidRPr="008C5911">
        <w:rPr>
          <w:lang w:val="fr-FR"/>
        </w:rPr>
        <w:t xml:space="preserve">application provisoire de certaines dispositions du Protocole </w:t>
      </w:r>
      <w:r w:rsidRPr="008C5911">
        <w:rPr>
          <w:rFonts w:eastAsia="MS Mincho"/>
          <w:lang w:val="fr-FR"/>
        </w:rPr>
        <w:t>n</w:t>
      </w:r>
      <w:r w:rsidRPr="008C5911">
        <w:rPr>
          <w:rFonts w:eastAsia="MS Mincho"/>
          <w:vertAlign w:val="superscript"/>
          <w:lang w:val="fr-FR"/>
        </w:rPr>
        <w:t>o</w:t>
      </w:r>
      <w:r w:rsidRPr="008C5911">
        <w:rPr>
          <w:lang w:val="fr-FR"/>
        </w:rPr>
        <w:t> 14 [à la Convention de sauvegarde des droits de l</w:t>
      </w:r>
      <w:r>
        <w:rPr>
          <w:lang w:val="fr-FR"/>
        </w:rPr>
        <w:t>’</w:t>
      </w:r>
      <w:r w:rsidRPr="008C5911">
        <w:rPr>
          <w:lang w:val="fr-FR"/>
        </w:rPr>
        <w:t>homme et des libertés fondamentales] dans l</w:t>
      </w:r>
      <w:r>
        <w:rPr>
          <w:lang w:val="fr-FR"/>
        </w:rPr>
        <w:t>’</w:t>
      </w:r>
      <w:r w:rsidRPr="008C5911">
        <w:rPr>
          <w:lang w:val="fr-FR"/>
        </w:rPr>
        <w:t>attente de son entrée en vigueur (Madrid, 12 mai 2009)</w:t>
      </w:r>
      <w:r w:rsidRPr="00F22830">
        <w:rPr>
          <w:rStyle w:val="FootnoteReference"/>
        </w:rPr>
        <w:footnoteReference w:id="53"/>
      </w:r>
      <w:r w:rsidRPr="008C5911">
        <w:rPr>
          <w:lang w:val="fr-FR"/>
        </w:rPr>
        <w:t> :</w:t>
      </w:r>
    </w:p>
    <w:p w14:paraId="7A63D505" w14:textId="77777777" w:rsidR="00507F03" w:rsidRPr="006F2D48" w:rsidRDefault="00507F03" w:rsidP="00507F03">
      <w:pPr>
        <w:pStyle w:val="SingleTxtG"/>
        <w:ind w:left="1701"/>
        <w:rPr>
          <w:lang w:val="fr-CA"/>
        </w:rPr>
      </w:pPr>
      <w:r w:rsidRPr="008C5911">
        <w:rPr>
          <w:lang w:val="fr-FR"/>
        </w:rPr>
        <w:tab/>
        <w:t>e)</w:t>
      </w:r>
      <w:r w:rsidRPr="008C5911">
        <w:rPr>
          <w:lang w:val="fr-FR"/>
        </w:rPr>
        <w:tab/>
        <w:t>l</w:t>
      </w:r>
      <w:r>
        <w:rPr>
          <w:lang w:val="fr-FR"/>
        </w:rPr>
        <w:t>’</w:t>
      </w:r>
      <w:r w:rsidRPr="008C5911">
        <w:rPr>
          <w:lang w:val="fr-FR"/>
        </w:rPr>
        <w:t xml:space="preserve">application provisoire des dispositions du Protocole </w:t>
      </w:r>
      <w:r w:rsidRPr="008C5911">
        <w:rPr>
          <w:rFonts w:eastAsia="MS Mincho"/>
          <w:lang w:val="fr-FR"/>
        </w:rPr>
        <w:t>n</w:t>
      </w:r>
      <w:r w:rsidRPr="008C5911">
        <w:rPr>
          <w:rFonts w:eastAsia="MS Mincho"/>
          <w:vertAlign w:val="superscript"/>
          <w:lang w:val="fr-FR"/>
        </w:rPr>
        <w:t>o</w:t>
      </w:r>
      <w:r w:rsidRPr="008C5911">
        <w:rPr>
          <w:lang w:val="fr-FR"/>
        </w:rPr>
        <w:t> 14 mentionnées ci-dessus prendra fin dès l</w:t>
      </w:r>
      <w:r>
        <w:rPr>
          <w:lang w:val="fr-FR"/>
        </w:rPr>
        <w:t>’</w:t>
      </w:r>
      <w:r w:rsidRPr="008C5911">
        <w:rPr>
          <w:lang w:val="fr-FR"/>
        </w:rPr>
        <w:t xml:space="preserve">entrée en vigueur du Protocole </w:t>
      </w:r>
      <w:r w:rsidRPr="008C5911">
        <w:rPr>
          <w:rFonts w:eastAsia="MS Mincho"/>
          <w:lang w:val="fr-FR"/>
        </w:rPr>
        <w:t>n</w:t>
      </w:r>
      <w:r w:rsidRPr="008C5911">
        <w:rPr>
          <w:rFonts w:eastAsia="MS Mincho"/>
          <w:vertAlign w:val="superscript"/>
          <w:lang w:val="fr-FR"/>
        </w:rPr>
        <w:t>o</w:t>
      </w:r>
      <w:r w:rsidRPr="008C5911">
        <w:rPr>
          <w:lang w:val="fr-FR"/>
        </w:rPr>
        <w:t> 14 ou si les Hautes Parties contractantes en conviennent ainsi d</w:t>
      </w:r>
      <w:r>
        <w:rPr>
          <w:lang w:val="fr-FR"/>
        </w:rPr>
        <w:t>’</w:t>
      </w:r>
      <w:r w:rsidRPr="008C5911">
        <w:rPr>
          <w:lang w:val="fr-FR"/>
        </w:rPr>
        <w:t>une autre manière</w:t>
      </w:r>
      <w:r w:rsidRPr="00F22925">
        <w:rPr>
          <w:lang w:val="fr-FR"/>
        </w:rPr>
        <w:t>.</w:t>
      </w:r>
    </w:p>
    <w:p w14:paraId="75A9B92F" w14:textId="77777777" w:rsidR="006D3D4E" w:rsidRDefault="00FA582D"/>
    <w:sectPr w:rsidR="006D3D4E" w:rsidSect="00610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8B71" w14:textId="77777777" w:rsidR="00FA582D" w:rsidRDefault="00FA582D" w:rsidP="00507F03">
      <w:pPr>
        <w:spacing w:line="240" w:lineRule="auto"/>
      </w:pPr>
      <w:r>
        <w:separator/>
      </w:r>
    </w:p>
  </w:endnote>
  <w:endnote w:type="continuationSeparator" w:id="0">
    <w:p w14:paraId="0E52145D" w14:textId="77777777" w:rsidR="00FA582D" w:rsidRDefault="00FA582D" w:rsidP="0050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5D36" w14:textId="77777777" w:rsidR="00FA582D" w:rsidRDefault="00FA582D" w:rsidP="00507F03">
      <w:pPr>
        <w:spacing w:line="240" w:lineRule="auto"/>
      </w:pPr>
      <w:r>
        <w:separator/>
      </w:r>
    </w:p>
  </w:footnote>
  <w:footnote w:type="continuationSeparator" w:id="0">
    <w:p w14:paraId="242B7806" w14:textId="77777777" w:rsidR="00FA582D" w:rsidRDefault="00FA582D" w:rsidP="00507F03">
      <w:pPr>
        <w:spacing w:line="240" w:lineRule="auto"/>
      </w:pPr>
      <w:r>
        <w:continuationSeparator/>
      </w:r>
    </w:p>
  </w:footnote>
  <w:footnote w:id="1">
    <w:p w14:paraId="62F01315" w14:textId="77777777" w:rsidR="00507F03" w:rsidRPr="00750617" w:rsidRDefault="00507F03" w:rsidP="00507F03">
      <w:pPr>
        <w:pStyle w:val="FootnoteText"/>
        <w:rPr>
          <w:szCs w:val="18"/>
        </w:rPr>
      </w:pPr>
      <w:r w:rsidRPr="00750617">
        <w:tab/>
      </w:r>
      <w:r w:rsidRPr="00750617">
        <w:rPr>
          <w:rStyle w:val="FootnoteReference"/>
        </w:rPr>
        <w:footnoteRef/>
      </w:r>
      <w:r w:rsidRPr="00750617">
        <w:tab/>
      </w:r>
      <w:r w:rsidRPr="00997C64">
        <w:rPr>
          <w:spacing w:val="-2"/>
        </w:rPr>
        <w:t>Aux fins du présent projet d’annexe, les « accords mixtes », conclus entre l’Union européenne et ses États membres, d’une part, et une tierce partie, d’autre part, sont considérés comme des traités bilatéraux.</w:t>
      </w:r>
      <w:r w:rsidRPr="00750617">
        <w:t xml:space="preserve"> </w:t>
      </w:r>
    </w:p>
  </w:footnote>
  <w:footnote w:id="2">
    <w:p w14:paraId="2F18E69F" w14:textId="77777777" w:rsidR="00507F03" w:rsidRPr="00750617" w:rsidRDefault="00507F03" w:rsidP="00507F03">
      <w:pPr>
        <w:pStyle w:val="FootnoteText"/>
      </w:pPr>
      <w:r w:rsidRPr="00750617">
        <w:tab/>
      </w:r>
      <w:r w:rsidRPr="00750617">
        <w:rPr>
          <w:rStyle w:val="FootnoteReference"/>
        </w:rPr>
        <w:footnoteRef/>
      </w:r>
      <w:r w:rsidRPr="00750617">
        <w:tab/>
        <w:t xml:space="preserve">Voir, en particulier, </w:t>
      </w:r>
      <w:hyperlink r:id="rId1" w:history="1">
        <w:r w:rsidRPr="00750617">
          <w:rPr>
            <w:rStyle w:val="Hyperlink"/>
          </w:rPr>
          <w:t>A/CN</w:t>
        </w:r>
        <w:r w:rsidRPr="00F22925">
          <w:rPr>
            <w:rStyle w:val="Hyperlink"/>
          </w:rPr>
          <w:t>.</w:t>
        </w:r>
        <w:r w:rsidRPr="00750617">
          <w:rPr>
            <w:rStyle w:val="Hyperlink"/>
          </w:rPr>
          <w:t>4/707</w:t>
        </w:r>
      </w:hyperlink>
      <w:r w:rsidRPr="00750617">
        <w:t>, « Application provisoire des traités − Étude du Secrétariat » (2017)</w:t>
      </w:r>
      <w:r w:rsidRPr="00F22925">
        <w:t>.</w:t>
      </w:r>
    </w:p>
  </w:footnote>
  <w:footnote w:id="3">
    <w:p w14:paraId="69541B01" w14:textId="77777777" w:rsidR="00507F03" w:rsidRPr="00750617" w:rsidRDefault="00507F03" w:rsidP="00507F03">
      <w:pPr>
        <w:pStyle w:val="FootnoteText"/>
        <w:rPr>
          <w:szCs w:val="18"/>
        </w:rPr>
      </w:pPr>
      <w:r w:rsidRPr="00750617">
        <w:tab/>
      </w:r>
      <w:r w:rsidRPr="00750617">
        <w:rPr>
          <w:rStyle w:val="FootnoteReference"/>
        </w:rPr>
        <w:footnoteRef/>
      </w:r>
      <w:r w:rsidRPr="00750617">
        <w:tab/>
        <w:t>La non-inclusion d’un document donné ne saurait être interprétée comme reflétant un quelconque point de vue de la part de la Commission</w:t>
      </w:r>
      <w:r w:rsidRPr="00F22925">
        <w:t>.</w:t>
      </w:r>
    </w:p>
  </w:footnote>
  <w:footnote w:id="4">
    <w:p w14:paraId="5A9CECDF" w14:textId="77777777" w:rsidR="00507F03" w:rsidRPr="00750617" w:rsidRDefault="00507F03" w:rsidP="00507F03">
      <w:pPr>
        <w:pStyle w:val="FootnoteText"/>
        <w:rPr>
          <w:szCs w:val="18"/>
        </w:rPr>
      </w:pPr>
      <w:r w:rsidRPr="00750617">
        <w:tab/>
      </w:r>
      <w:r w:rsidRPr="00750617">
        <w:rPr>
          <w:rStyle w:val="FootnoteReference"/>
        </w:rPr>
        <w:footnoteRef/>
      </w:r>
      <w:r w:rsidRPr="00750617">
        <w:tab/>
        <w:t xml:space="preserve">Nations Unies, </w:t>
      </w:r>
      <w:r w:rsidRPr="00750617">
        <w:rPr>
          <w:i/>
        </w:rPr>
        <w:t>Recueil des Traités</w:t>
      </w:r>
      <w:r w:rsidRPr="00750617">
        <w:t xml:space="preserve">, </w:t>
      </w:r>
      <w:r w:rsidRPr="00750617">
        <w:rPr>
          <w:rFonts w:eastAsia="MS Mincho"/>
        </w:rPr>
        <w:t>n</w:t>
      </w:r>
      <w:r w:rsidRPr="00750617">
        <w:rPr>
          <w:rFonts w:eastAsia="MS Mincho"/>
          <w:vertAlign w:val="superscript"/>
        </w:rPr>
        <w:t>o</w:t>
      </w:r>
      <w:r w:rsidRPr="00750617">
        <w:t xml:space="preserve"> 43056, vol</w:t>
      </w:r>
      <w:r w:rsidRPr="00F22925">
        <w:t>.</w:t>
      </w:r>
      <w:r w:rsidRPr="00750617">
        <w:t xml:space="preserve"> 2385, p</w:t>
      </w:r>
      <w:r w:rsidRPr="00F22925">
        <w:t>.</w:t>
      </w:r>
      <w:r w:rsidRPr="00750617">
        <w:t xml:space="preserve"> 403</w:t>
      </w:r>
      <w:r w:rsidRPr="00F22925">
        <w:t>.</w:t>
      </w:r>
      <w:r w:rsidRPr="00750617">
        <w:t xml:space="preserve"> </w:t>
      </w:r>
    </w:p>
  </w:footnote>
  <w:footnote w:id="5">
    <w:p w14:paraId="51381C59" w14:textId="77777777" w:rsidR="00507F03" w:rsidRPr="000D3559" w:rsidRDefault="00507F03" w:rsidP="00507F03">
      <w:pPr>
        <w:pStyle w:val="FootnoteText"/>
        <w:rPr>
          <w:szCs w:val="18"/>
          <w:lang w:val="es-ES"/>
        </w:rPr>
      </w:pPr>
      <w:r w:rsidRPr="00750617">
        <w:tab/>
      </w:r>
      <w:r w:rsidRPr="00750617">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43679, vol. 2420, p. 359.</w:t>
      </w:r>
    </w:p>
  </w:footnote>
  <w:footnote w:id="6">
    <w:p w14:paraId="70A46D67" w14:textId="77777777" w:rsidR="00507F03" w:rsidRPr="000D3559" w:rsidRDefault="00507F03" w:rsidP="00507F03">
      <w:pPr>
        <w:pStyle w:val="FootnoteText"/>
        <w:rPr>
          <w:szCs w:val="18"/>
          <w:lang w:val="es-ES"/>
        </w:rPr>
      </w:pPr>
      <w:r w:rsidRPr="000D3559">
        <w:rPr>
          <w:lang w:val="es-ES"/>
        </w:rPr>
        <w:tab/>
      </w:r>
      <w:r w:rsidRPr="00564A5D">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51602, vol. 2968, p. 237.</w:t>
      </w:r>
    </w:p>
  </w:footnote>
  <w:footnote w:id="7">
    <w:p w14:paraId="6F05F7E9" w14:textId="77777777" w:rsidR="00507F03" w:rsidRPr="000D3559" w:rsidRDefault="00507F03" w:rsidP="00507F03">
      <w:pPr>
        <w:pStyle w:val="FootnoteText"/>
        <w:rPr>
          <w:szCs w:val="18"/>
          <w:lang w:val="es-ES"/>
        </w:rPr>
      </w:pPr>
      <w:r w:rsidRPr="000D3559">
        <w:rPr>
          <w:lang w:val="es-ES"/>
        </w:rPr>
        <w:tab/>
      </w:r>
      <w:r w:rsidRPr="00564A5D">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41136, vol. 2306, p. 469.</w:t>
      </w:r>
    </w:p>
  </w:footnote>
  <w:footnote w:id="8">
    <w:p w14:paraId="53048A46" w14:textId="77777777" w:rsidR="00507F03" w:rsidRPr="000D3559" w:rsidRDefault="00507F03" w:rsidP="00507F03">
      <w:pPr>
        <w:pStyle w:val="FootnoteText"/>
        <w:rPr>
          <w:color w:val="000000"/>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42662, vol. 2367, p. 697.</w:t>
      </w:r>
    </w:p>
  </w:footnote>
  <w:footnote w:id="9">
    <w:p w14:paraId="7039772B"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50541, vol. 2889, p. 277.</w:t>
      </w:r>
    </w:p>
  </w:footnote>
  <w:footnote w:id="10">
    <w:p w14:paraId="679DA15B"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34151, vol. 1996, p. 33.</w:t>
      </w:r>
    </w:p>
  </w:footnote>
  <w:footnote w:id="11">
    <w:p w14:paraId="25442043"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43165, vol. 2389, p. 117.</w:t>
      </w:r>
    </w:p>
  </w:footnote>
  <w:footnote w:id="12">
    <w:p w14:paraId="41967C03"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45792, vol. 2570, p. 254. </w:t>
      </w:r>
    </w:p>
  </w:footnote>
  <w:footnote w:id="13">
    <w:p w14:paraId="4520587B"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w:t>
      </w:r>
      <w:r w:rsidRPr="000D3559">
        <w:rPr>
          <w:iCs/>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46921, vol. 2635 p. 3.</w:t>
      </w:r>
    </w:p>
  </w:footnote>
  <w:footnote w:id="14">
    <w:p w14:paraId="04EF34EA"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51580, vol. 2967, p. 123.</w:t>
      </w:r>
    </w:p>
  </w:footnote>
  <w:footnote w:id="15">
    <w:p w14:paraId="67CD9A65"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44001, vol. 2980, p. 195.</w:t>
      </w:r>
    </w:p>
  </w:footnote>
  <w:footnote w:id="16">
    <w:p w14:paraId="55A90708" w14:textId="77777777" w:rsidR="00507F03" w:rsidRPr="000D3559" w:rsidRDefault="00507F03" w:rsidP="00507F03">
      <w:pPr>
        <w:pStyle w:val="FootnoteText"/>
        <w:rPr>
          <w:szCs w:val="18"/>
          <w:u w:val="single"/>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34152, vol. 1996, p. 45.</w:t>
      </w:r>
    </w:p>
  </w:footnote>
  <w:footnote w:id="17">
    <w:p w14:paraId="507F9ECA" w14:textId="77777777" w:rsidR="00507F03" w:rsidRPr="00E44216" w:rsidRDefault="00507F03" w:rsidP="00507F03">
      <w:pPr>
        <w:pStyle w:val="FootnoteText"/>
        <w:rPr>
          <w:color w:val="000000"/>
          <w:szCs w:val="18"/>
        </w:rPr>
      </w:pPr>
      <w:r w:rsidRPr="000D3559">
        <w:rPr>
          <w:lang w:val="es-ES"/>
        </w:rPr>
        <w:tab/>
      </w:r>
      <w:r w:rsidRPr="00E44216">
        <w:rPr>
          <w:rStyle w:val="FootnoteReference"/>
        </w:rPr>
        <w:footnoteRef/>
      </w:r>
      <w:r w:rsidRPr="00E44216">
        <w:tab/>
        <w:t xml:space="preserve">Ibid., </w:t>
      </w:r>
      <w:r w:rsidRPr="00E44216">
        <w:rPr>
          <w:rFonts w:eastAsia="MS Mincho"/>
        </w:rPr>
        <w:t>n</w:t>
      </w:r>
      <w:r w:rsidRPr="00E44216">
        <w:rPr>
          <w:rFonts w:eastAsia="MS Mincho"/>
          <w:vertAlign w:val="superscript"/>
        </w:rPr>
        <w:t>o</w:t>
      </w:r>
      <w:r w:rsidRPr="00E44216">
        <w:t xml:space="preserve"> 41714, vol. 2689, p. 93.</w:t>
      </w:r>
    </w:p>
  </w:footnote>
  <w:footnote w:id="18">
    <w:p w14:paraId="4AFB7FE7" w14:textId="77777777" w:rsidR="00507F03" w:rsidRPr="00750617" w:rsidRDefault="00507F03" w:rsidP="00507F03">
      <w:pPr>
        <w:pStyle w:val="FootnoteText"/>
        <w:rPr>
          <w:szCs w:val="18"/>
        </w:rPr>
      </w:pPr>
      <w:r w:rsidRPr="00E44216">
        <w:tab/>
      </w:r>
      <w:r w:rsidRPr="00E44216">
        <w:rPr>
          <w:rStyle w:val="FootnoteReference"/>
        </w:rPr>
        <w:footnoteRef/>
      </w:r>
      <w:r w:rsidRPr="00E44216">
        <w:tab/>
        <w:t>Journal officiel de l’Union européenne, L 257, 14 mai 2011, p. 6.</w:t>
      </w:r>
    </w:p>
  </w:footnote>
  <w:footnote w:id="19">
    <w:p w14:paraId="2D669690" w14:textId="77777777" w:rsidR="00507F03" w:rsidRPr="00750617" w:rsidRDefault="00507F03" w:rsidP="00507F03">
      <w:pPr>
        <w:pStyle w:val="FootnoteText"/>
        <w:rPr>
          <w:szCs w:val="18"/>
        </w:rPr>
      </w:pPr>
      <w:r w:rsidRPr="00750617">
        <w:tab/>
      </w:r>
      <w:r w:rsidRPr="00750617">
        <w:rPr>
          <w:rStyle w:val="FootnoteReference"/>
        </w:rPr>
        <w:footnoteRef/>
      </w:r>
      <w:r w:rsidRPr="00750617">
        <w:tab/>
        <w:t xml:space="preserve">Nations Unies, </w:t>
      </w:r>
      <w:r w:rsidRPr="00750617">
        <w:rPr>
          <w:i/>
        </w:rPr>
        <w:t>Recueil des Traités</w:t>
      </w:r>
      <w:r w:rsidRPr="00750617">
        <w:t xml:space="preserve">, </w:t>
      </w:r>
      <w:r w:rsidRPr="00750617">
        <w:rPr>
          <w:rFonts w:eastAsia="MS Mincho"/>
        </w:rPr>
        <w:t>n</w:t>
      </w:r>
      <w:r w:rsidRPr="00750617">
        <w:rPr>
          <w:rFonts w:eastAsia="MS Mincho"/>
          <w:vertAlign w:val="superscript"/>
        </w:rPr>
        <w:t>o</w:t>
      </w:r>
      <w:r w:rsidRPr="00750617">
        <w:t xml:space="preserve"> 37924, vol</w:t>
      </w:r>
      <w:r w:rsidRPr="00F22925">
        <w:t>.</w:t>
      </w:r>
      <w:r w:rsidRPr="00750617">
        <w:t xml:space="preserve"> 2167, p</w:t>
      </w:r>
      <w:r w:rsidRPr="00F22925">
        <w:t>.</w:t>
      </w:r>
      <w:r w:rsidRPr="00750617">
        <w:t xml:space="preserve"> 3</w:t>
      </w:r>
      <w:r w:rsidRPr="00F22925">
        <w:t>.</w:t>
      </w:r>
    </w:p>
  </w:footnote>
  <w:footnote w:id="20">
    <w:p w14:paraId="53AADD64" w14:textId="77777777" w:rsidR="00507F03" w:rsidRPr="000D3559" w:rsidRDefault="00507F03" w:rsidP="00507F03">
      <w:pPr>
        <w:pStyle w:val="FootnoteText"/>
        <w:rPr>
          <w:szCs w:val="18"/>
          <w:lang w:val="es-ES"/>
        </w:rPr>
      </w:pPr>
      <w:r w:rsidRPr="00750617">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39640, vol. 2229, p. 2.</w:t>
      </w:r>
    </w:p>
  </w:footnote>
  <w:footnote w:id="21">
    <w:p w14:paraId="5CFC1F51"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47713, vol. 2688, p. 39.</w:t>
      </w:r>
    </w:p>
  </w:footnote>
  <w:footnote w:id="22">
    <w:p w14:paraId="4F4A4609" w14:textId="77777777" w:rsidR="00507F03" w:rsidRPr="00E44216" w:rsidRDefault="00507F03" w:rsidP="00507F03">
      <w:pPr>
        <w:pStyle w:val="FootnoteText"/>
        <w:rPr>
          <w:szCs w:val="18"/>
        </w:rPr>
      </w:pPr>
      <w:r w:rsidRPr="000D3559">
        <w:rPr>
          <w:lang w:val="es-ES"/>
        </w:rPr>
        <w:tab/>
      </w:r>
      <w:r w:rsidRPr="00E44216">
        <w:rPr>
          <w:rStyle w:val="FootnoteReference"/>
        </w:rPr>
        <w:footnoteRef/>
      </w:r>
      <w:r w:rsidRPr="00E44216">
        <w:tab/>
        <w:t xml:space="preserve">Ibid., </w:t>
      </w:r>
      <w:r w:rsidRPr="00E44216">
        <w:rPr>
          <w:rFonts w:eastAsia="MS Mincho"/>
        </w:rPr>
        <w:t>n</w:t>
      </w:r>
      <w:r w:rsidRPr="00E44216">
        <w:rPr>
          <w:rFonts w:eastAsia="MS Mincho"/>
          <w:vertAlign w:val="superscript"/>
        </w:rPr>
        <w:t>o</w:t>
      </w:r>
      <w:r w:rsidRPr="00E44216">
        <w:t xml:space="preserve"> 52373, vol. 3013 [à paraître]. </w:t>
      </w:r>
    </w:p>
  </w:footnote>
  <w:footnote w:id="23">
    <w:p w14:paraId="6F6D986A" w14:textId="77777777" w:rsidR="00507F03" w:rsidRPr="000D3559" w:rsidRDefault="00507F03" w:rsidP="00507F03">
      <w:pPr>
        <w:pStyle w:val="FootnoteText"/>
        <w:rPr>
          <w:lang w:val="es-ES"/>
        </w:rPr>
      </w:pPr>
      <w:r w:rsidRPr="00E44216">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49430, vol. 2821, p. 3.</w:t>
      </w:r>
    </w:p>
  </w:footnote>
  <w:footnote w:id="24">
    <w:p w14:paraId="5A7D0FD8"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51181, vol. 2953, p. 181.</w:t>
      </w:r>
    </w:p>
  </w:footnote>
  <w:footnote w:id="25">
    <w:p w14:paraId="0AD5BCB2" w14:textId="77777777" w:rsidR="00507F03" w:rsidRPr="00750617" w:rsidRDefault="00507F03" w:rsidP="00507F03">
      <w:pPr>
        <w:pStyle w:val="FootnoteText"/>
      </w:pPr>
      <w:r w:rsidRPr="000D3559">
        <w:rPr>
          <w:lang w:val="es-ES"/>
        </w:rPr>
        <w:tab/>
      </w:r>
      <w:r w:rsidRPr="00750617">
        <w:rPr>
          <w:rStyle w:val="FootnoteReference"/>
        </w:rPr>
        <w:footnoteRef/>
      </w:r>
      <w:r w:rsidRPr="00750617">
        <w:tab/>
        <w:t xml:space="preserve">Conseil de l’Europe, </w:t>
      </w:r>
      <w:r w:rsidRPr="00750617">
        <w:rPr>
          <w:i/>
        </w:rPr>
        <w:t>Recueil des Traités</w:t>
      </w:r>
      <w:r w:rsidRPr="00750617">
        <w:t xml:space="preserve"> </w:t>
      </w:r>
      <w:r w:rsidRPr="00750617">
        <w:rPr>
          <w:i/>
          <w:iCs/>
        </w:rPr>
        <w:t>européens</w:t>
      </w:r>
      <w:r w:rsidRPr="00750617">
        <w:t xml:space="preserve">, </w:t>
      </w:r>
      <w:r w:rsidRPr="00750617">
        <w:rPr>
          <w:rFonts w:eastAsia="MS Mincho"/>
        </w:rPr>
        <w:t>n</w:t>
      </w:r>
      <w:r w:rsidRPr="00750617">
        <w:rPr>
          <w:rFonts w:eastAsia="MS Mincho"/>
          <w:vertAlign w:val="superscript"/>
        </w:rPr>
        <w:t>o</w:t>
      </w:r>
      <w:r w:rsidRPr="00750617">
        <w:t xml:space="preserve"> 194</w:t>
      </w:r>
      <w:r w:rsidRPr="00F22925">
        <w:t>.</w:t>
      </w:r>
    </w:p>
  </w:footnote>
  <w:footnote w:id="26">
    <w:p w14:paraId="44B4A95E" w14:textId="77777777" w:rsidR="00507F03" w:rsidRPr="00750617" w:rsidRDefault="00507F03" w:rsidP="00507F03">
      <w:pPr>
        <w:pStyle w:val="FootnoteText"/>
        <w:rPr>
          <w:szCs w:val="18"/>
        </w:rPr>
      </w:pPr>
      <w:r w:rsidRPr="00750617">
        <w:tab/>
      </w:r>
      <w:r w:rsidRPr="00750617">
        <w:rPr>
          <w:rStyle w:val="FootnoteReference"/>
        </w:rPr>
        <w:footnoteRef/>
      </w:r>
      <w:r w:rsidRPr="00750617">
        <w:tab/>
        <w:t>Organisation mondiale du tourisme, résolution 365 (XII) adoptée par l’Assemblée générale à sa douzième session, à Istanbul (octobre 1997)</w:t>
      </w:r>
      <w:r w:rsidRPr="00F22925">
        <w:t>.</w:t>
      </w:r>
    </w:p>
  </w:footnote>
  <w:footnote w:id="27">
    <w:p w14:paraId="61D25789" w14:textId="77777777" w:rsidR="00507F03" w:rsidRPr="00750617" w:rsidRDefault="00507F03" w:rsidP="00507F03">
      <w:pPr>
        <w:pStyle w:val="FootnoteText"/>
        <w:rPr>
          <w:szCs w:val="18"/>
        </w:rPr>
      </w:pPr>
      <w:r w:rsidRPr="00750617">
        <w:tab/>
      </w:r>
      <w:r w:rsidRPr="00750617">
        <w:rPr>
          <w:rStyle w:val="FootnoteReference"/>
        </w:rPr>
        <w:footnoteRef/>
      </w:r>
      <w:r w:rsidRPr="00750617">
        <w:tab/>
        <w:t xml:space="preserve">Nations Unies, </w:t>
      </w:r>
      <w:r w:rsidRPr="00750617">
        <w:rPr>
          <w:i/>
        </w:rPr>
        <w:t>Recueil des Traités</w:t>
      </w:r>
      <w:r w:rsidRPr="00750617">
        <w:t xml:space="preserve">, </w:t>
      </w:r>
      <w:r w:rsidRPr="00750617">
        <w:rPr>
          <w:rFonts w:eastAsia="MS Mincho"/>
        </w:rPr>
        <w:t>n</w:t>
      </w:r>
      <w:r w:rsidRPr="00750617">
        <w:rPr>
          <w:rFonts w:eastAsia="MS Mincho"/>
          <w:vertAlign w:val="superscript"/>
        </w:rPr>
        <w:t>o</w:t>
      </w:r>
      <w:r w:rsidRPr="00750617">
        <w:t xml:space="preserve"> 31364, vol</w:t>
      </w:r>
      <w:r w:rsidRPr="00F22925">
        <w:t>.</w:t>
      </w:r>
      <w:r w:rsidRPr="00750617">
        <w:t xml:space="preserve"> 1836, p</w:t>
      </w:r>
      <w:r w:rsidRPr="00F22925">
        <w:t>.</w:t>
      </w:r>
      <w:r w:rsidRPr="00750617">
        <w:t xml:space="preserve"> 3</w:t>
      </w:r>
      <w:r w:rsidRPr="00F22925">
        <w:t>.</w:t>
      </w:r>
    </w:p>
  </w:footnote>
  <w:footnote w:id="28">
    <w:p w14:paraId="5D74FB2F" w14:textId="5F5F3E32" w:rsidR="00507F03" w:rsidRPr="000D3559" w:rsidRDefault="00507F03" w:rsidP="00507F03">
      <w:pPr>
        <w:pStyle w:val="FootnoteText"/>
        <w:rPr>
          <w:szCs w:val="18"/>
          <w:lang w:val="es-ES"/>
        </w:rPr>
      </w:pPr>
      <w:r w:rsidRPr="00750617">
        <w:tab/>
      </w:r>
      <w:r w:rsidRPr="00750617">
        <w:rPr>
          <w:rStyle w:val="FootnoteReference"/>
        </w:rPr>
        <w:footnoteRef/>
      </w:r>
      <w:r w:rsidRPr="000D3559">
        <w:rPr>
          <w:lang w:val="es-ES"/>
        </w:rPr>
        <w:tab/>
      </w:r>
      <w:proofErr w:type="spellStart"/>
      <w:r w:rsidRPr="000D3559">
        <w:rPr>
          <w:lang w:val="es-ES"/>
        </w:rPr>
        <w:t>Voir</w:t>
      </w:r>
      <w:proofErr w:type="spellEnd"/>
      <w:r w:rsidRPr="000D3559">
        <w:rPr>
          <w:lang w:val="es-ES"/>
        </w:rPr>
        <w:t xml:space="preserve"> </w:t>
      </w:r>
      <w:r w:rsidRPr="000D3559">
        <w:rPr>
          <w:i/>
          <w:iCs/>
          <w:lang w:val="es-ES"/>
        </w:rPr>
        <w:t>supra</w:t>
      </w:r>
      <w:r w:rsidRPr="000D3559">
        <w:rPr>
          <w:lang w:val="es-ES"/>
        </w:rPr>
        <w:t xml:space="preserve"> la note</w:t>
      </w:r>
      <w:r w:rsidR="00010000">
        <w:rPr>
          <w:lang w:val="es-ES"/>
        </w:rPr>
        <w:t xml:space="preserve"> </w:t>
      </w:r>
      <w:r w:rsidR="00010000">
        <w:rPr>
          <w:lang w:val="es-ES"/>
        </w:rPr>
        <w:fldChar w:fldCharType="begin"/>
      </w:r>
      <w:r w:rsidR="00010000">
        <w:rPr>
          <w:lang w:val="es-ES"/>
        </w:rPr>
        <w:instrText xml:space="preserve"> NOTEREF _Ref81999827 \h </w:instrText>
      </w:r>
      <w:r w:rsidR="00010000">
        <w:rPr>
          <w:lang w:val="es-ES"/>
        </w:rPr>
      </w:r>
      <w:r w:rsidR="00010000">
        <w:rPr>
          <w:lang w:val="es-ES"/>
        </w:rPr>
        <w:fldChar w:fldCharType="separate"/>
      </w:r>
      <w:r w:rsidR="00010000">
        <w:rPr>
          <w:lang w:val="es-ES"/>
        </w:rPr>
        <w:t>22</w:t>
      </w:r>
      <w:r w:rsidR="00010000">
        <w:rPr>
          <w:lang w:val="es-ES"/>
        </w:rPr>
        <w:fldChar w:fldCharType="end"/>
      </w:r>
      <w:r w:rsidRPr="000D3559">
        <w:rPr>
          <w:lang w:val="es-ES"/>
        </w:rPr>
        <w:t xml:space="preserve">. </w:t>
      </w:r>
    </w:p>
  </w:footnote>
  <w:footnote w:id="29">
    <w:p w14:paraId="6BD520CC"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34927, vol. 2023, p. 341.</w:t>
      </w:r>
    </w:p>
  </w:footnote>
  <w:footnote w:id="30">
    <w:p w14:paraId="6A58336F"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43066, vol. 2386, p. 3.</w:t>
      </w:r>
    </w:p>
  </w:footnote>
  <w:footnote w:id="31">
    <w:p w14:paraId="54BA16F2"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51490, vol. 2962, p. 339.</w:t>
      </w:r>
    </w:p>
  </w:footnote>
  <w:footnote w:id="32">
    <w:p w14:paraId="020F11CB" w14:textId="77777777" w:rsidR="00507F03" w:rsidRPr="00E44216" w:rsidRDefault="00507F03" w:rsidP="00507F03">
      <w:pPr>
        <w:pStyle w:val="FootnoteText"/>
        <w:rPr>
          <w:color w:val="000000"/>
          <w:szCs w:val="18"/>
        </w:rPr>
      </w:pPr>
      <w:r w:rsidRPr="000D3559">
        <w:rPr>
          <w:lang w:val="es-ES"/>
        </w:rPr>
        <w:tab/>
      </w:r>
      <w:r w:rsidRPr="00E44216">
        <w:rPr>
          <w:rStyle w:val="FootnoteReference"/>
        </w:rPr>
        <w:footnoteRef/>
      </w:r>
      <w:r w:rsidRPr="00E44216">
        <w:tab/>
        <w:t xml:space="preserve">Ibid., </w:t>
      </w:r>
      <w:r w:rsidRPr="00E44216">
        <w:rPr>
          <w:rFonts w:eastAsia="MS Mincho"/>
        </w:rPr>
        <w:t>n</w:t>
      </w:r>
      <w:r w:rsidRPr="00E44216">
        <w:rPr>
          <w:rFonts w:eastAsia="MS Mincho"/>
          <w:vertAlign w:val="superscript"/>
        </w:rPr>
        <w:t>o</w:t>
      </w:r>
      <w:r w:rsidRPr="00E44216">
        <w:t xml:space="preserve"> 43752, vol. 2424, p. 167.</w:t>
      </w:r>
    </w:p>
  </w:footnote>
  <w:footnote w:id="33">
    <w:p w14:paraId="172A3DFD" w14:textId="77777777" w:rsidR="00507F03" w:rsidRPr="00E44216" w:rsidRDefault="00507F03" w:rsidP="00507F03">
      <w:pPr>
        <w:pStyle w:val="FootnoteText"/>
        <w:rPr>
          <w:szCs w:val="18"/>
        </w:rPr>
      </w:pPr>
      <w:r w:rsidRPr="00E44216">
        <w:tab/>
      </w:r>
      <w:r w:rsidRPr="00E44216">
        <w:rPr>
          <w:rStyle w:val="FootnoteReference"/>
        </w:rPr>
        <w:footnoteRef/>
      </w:r>
      <w:r w:rsidRPr="00E44216">
        <w:tab/>
        <w:t xml:space="preserve">Journal officiel de l’Union européenne, L 386, 29 décembre 2006, p. 57. </w:t>
      </w:r>
    </w:p>
  </w:footnote>
  <w:footnote w:id="34">
    <w:p w14:paraId="4A98D0F4" w14:textId="77777777" w:rsidR="00507F03" w:rsidRPr="00E44216" w:rsidRDefault="00507F03" w:rsidP="00507F03">
      <w:pPr>
        <w:pStyle w:val="FootnoteText"/>
        <w:rPr>
          <w:szCs w:val="18"/>
        </w:rPr>
      </w:pPr>
      <w:r w:rsidRPr="00E44216">
        <w:tab/>
      </w:r>
      <w:r w:rsidRPr="00E44216">
        <w:rPr>
          <w:rStyle w:val="FootnoteReference"/>
        </w:rPr>
        <w:footnoteRef/>
      </w:r>
      <w:r w:rsidRPr="00E44216">
        <w:tab/>
        <w:t xml:space="preserve">Nations Unies, </w:t>
      </w:r>
      <w:r w:rsidRPr="00E44216">
        <w:rPr>
          <w:i/>
        </w:rPr>
        <w:t>Recueil des Traités</w:t>
      </w:r>
      <w:r w:rsidRPr="00E44216">
        <w:t xml:space="preserve">, </w:t>
      </w:r>
      <w:r w:rsidRPr="00E44216">
        <w:rPr>
          <w:rFonts w:eastAsia="MS Mincho"/>
        </w:rPr>
        <w:t>n</w:t>
      </w:r>
      <w:r w:rsidRPr="00E44216">
        <w:rPr>
          <w:rFonts w:eastAsia="MS Mincho"/>
          <w:vertAlign w:val="superscript"/>
        </w:rPr>
        <w:t>o</w:t>
      </w:r>
      <w:r w:rsidRPr="00E44216">
        <w:t xml:space="preserve"> 51275, vol. 2951, p. 3.</w:t>
      </w:r>
    </w:p>
  </w:footnote>
  <w:footnote w:id="35">
    <w:p w14:paraId="6394FA67" w14:textId="6E8AD83E" w:rsidR="00507F03" w:rsidRPr="000D3559" w:rsidRDefault="00507F03" w:rsidP="00507F03">
      <w:pPr>
        <w:pStyle w:val="FootnoteText"/>
        <w:rPr>
          <w:szCs w:val="18"/>
          <w:lang w:val="es-ES"/>
        </w:rPr>
      </w:pPr>
      <w:r w:rsidRPr="00E44216">
        <w:tab/>
      </w:r>
      <w:r w:rsidRPr="00E44216">
        <w:rPr>
          <w:rStyle w:val="FootnoteReference"/>
        </w:rPr>
        <w:footnoteRef/>
      </w:r>
      <w:r w:rsidRPr="000D3559">
        <w:rPr>
          <w:lang w:val="es-ES"/>
        </w:rPr>
        <w:tab/>
      </w:r>
      <w:proofErr w:type="spellStart"/>
      <w:r w:rsidRPr="000D3559">
        <w:rPr>
          <w:lang w:val="es-ES"/>
        </w:rPr>
        <w:t>Voir</w:t>
      </w:r>
      <w:proofErr w:type="spellEnd"/>
      <w:r w:rsidRPr="000D3559">
        <w:rPr>
          <w:lang w:val="es-ES"/>
        </w:rPr>
        <w:t xml:space="preserve"> </w:t>
      </w:r>
      <w:r w:rsidRPr="000D3559">
        <w:rPr>
          <w:i/>
          <w:iCs/>
          <w:lang w:val="es-ES"/>
        </w:rPr>
        <w:t>supra</w:t>
      </w:r>
      <w:r w:rsidRPr="000D3559">
        <w:rPr>
          <w:lang w:val="es-ES"/>
        </w:rPr>
        <w:t xml:space="preserve"> la note </w:t>
      </w:r>
      <w:r w:rsidRPr="00E44216">
        <w:fldChar w:fldCharType="begin"/>
      </w:r>
      <w:r w:rsidRPr="000D3559">
        <w:rPr>
          <w:lang w:val="es-ES"/>
        </w:rPr>
        <w:instrText xml:space="preserve"> NOTEREF _Ref81999950 \h  \* MERGEFORMAT </w:instrText>
      </w:r>
      <w:r w:rsidRPr="00E44216">
        <w:fldChar w:fldCharType="separate"/>
      </w:r>
      <w:r w:rsidRPr="00E44216">
        <w:fldChar w:fldCharType="end"/>
      </w:r>
      <w:r w:rsidR="00010000">
        <w:rPr>
          <w:lang w:val="es-ES"/>
        </w:rPr>
        <w:fldChar w:fldCharType="begin"/>
      </w:r>
      <w:r w:rsidR="00010000">
        <w:rPr>
          <w:lang w:val="es-ES"/>
        </w:rPr>
        <w:instrText xml:space="preserve"> NOTEREF _Ref81999950 \h </w:instrText>
      </w:r>
      <w:r w:rsidR="00010000">
        <w:rPr>
          <w:lang w:val="es-ES"/>
        </w:rPr>
      </w:r>
      <w:r w:rsidR="00010000">
        <w:rPr>
          <w:lang w:val="es-ES"/>
        </w:rPr>
        <w:fldChar w:fldCharType="separate"/>
      </w:r>
      <w:r w:rsidR="00010000">
        <w:rPr>
          <w:lang w:val="es-ES"/>
        </w:rPr>
        <w:t>27</w:t>
      </w:r>
      <w:r w:rsidR="00010000">
        <w:rPr>
          <w:lang w:val="es-ES"/>
        </w:rPr>
        <w:fldChar w:fldCharType="end"/>
      </w:r>
      <w:r w:rsidR="00010000">
        <w:rPr>
          <w:lang w:val="es-ES"/>
        </w:rPr>
        <w:t>.</w:t>
      </w:r>
    </w:p>
  </w:footnote>
  <w:footnote w:id="36">
    <w:p w14:paraId="6557327C"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32022, vol. 1882, p. 195.</w:t>
      </w:r>
    </w:p>
  </w:footnote>
  <w:footnote w:id="37">
    <w:p w14:paraId="5D389C8E" w14:textId="77777777" w:rsidR="00507F03" w:rsidRPr="00E44216" w:rsidRDefault="00507F03" w:rsidP="00507F03">
      <w:pPr>
        <w:pStyle w:val="FootnoteText"/>
        <w:rPr>
          <w:szCs w:val="18"/>
        </w:rPr>
      </w:pPr>
      <w:r w:rsidRPr="000D3559">
        <w:rPr>
          <w:lang w:val="es-ES"/>
        </w:rPr>
        <w:tab/>
      </w:r>
      <w:r w:rsidRPr="00E44216">
        <w:rPr>
          <w:rStyle w:val="FootnoteReference"/>
        </w:rPr>
        <w:footnoteRef/>
      </w:r>
      <w:r w:rsidRPr="00E44216">
        <w:tab/>
        <w:t>A/P.4/1/03.</w:t>
      </w:r>
    </w:p>
  </w:footnote>
  <w:footnote w:id="38">
    <w:p w14:paraId="5FDAE7CC" w14:textId="77777777" w:rsidR="00507F03" w:rsidRPr="00E44216" w:rsidRDefault="00507F03" w:rsidP="00507F03">
      <w:pPr>
        <w:pStyle w:val="FootnoteText"/>
        <w:rPr>
          <w:szCs w:val="18"/>
        </w:rPr>
      </w:pPr>
      <w:r w:rsidRPr="00E44216">
        <w:tab/>
      </w:r>
      <w:r w:rsidRPr="00E44216">
        <w:rPr>
          <w:rStyle w:val="FootnoteReference"/>
        </w:rPr>
        <w:footnoteRef/>
      </w:r>
      <w:r w:rsidRPr="00E44216">
        <w:tab/>
        <w:t xml:space="preserve">Nations Unies, </w:t>
      </w:r>
      <w:r w:rsidRPr="00E44216">
        <w:rPr>
          <w:i/>
        </w:rPr>
        <w:t>Recueil des Traités</w:t>
      </w:r>
      <w:r w:rsidRPr="00E44216">
        <w:t xml:space="preserve">, </w:t>
      </w:r>
      <w:r w:rsidRPr="00E44216">
        <w:rPr>
          <w:rFonts w:eastAsia="MS Mincho"/>
        </w:rPr>
        <w:t>n</w:t>
      </w:r>
      <w:r w:rsidRPr="00E44216">
        <w:rPr>
          <w:rFonts w:eastAsia="MS Mincho"/>
          <w:vertAlign w:val="superscript"/>
        </w:rPr>
        <w:t>o</w:t>
      </w:r>
      <w:r w:rsidRPr="00E44216">
        <w:t xml:space="preserve"> 35853, vol. 2069, p. 225.</w:t>
      </w:r>
    </w:p>
  </w:footnote>
  <w:footnote w:id="39">
    <w:p w14:paraId="6BFB72BF" w14:textId="77777777" w:rsidR="00507F03" w:rsidRPr="000D3559" w:rsidRDefault="00507F03" w:rsidP="00507F03">
      <w:pPr>
        <w:pStyle w:val="FootnoteText"/>
        <w:rPr>
          <w:szCs w:val="18"/>
          <w:lang w:val="es-ES"/>
        </w:rPr>
      </w:pPr>
      <w:r w:rsidRPr="00E44216">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38039, vol. 2169, p. 287.</w:t>
      </w:r>
    </w:p>
  </w:footnote>
  <w:footnote w:id="40">
    <w:p w14:paraId="286DE9F9"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43807, vol. 2429, p. 301.</w:t>
      </w:r>
    </w:p>
  </w:footnote>
  <w:footnote w:id="41">
    <w:p w14:paraId="1BB5AE2E"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47110, vol. 2643, p. 91.</w:t>
      </w:r>
    </w:p>
  </w:footnote>
  <w:footnote w:id="42">
    <w:p w14:paraId="23E7E172"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50146, vol. 2873, p. 125.</w:t>
      </w:r>
    </w:p>
  </w:footnote>
  <w:footnote w:id="43">
    <w:p w14:paraId="11C097E0" w14:textId="41EFD5C1"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Voir</w:t>
      </w:r>
      <w:proofErr w:type="spellEnd"/>
      <w:r w:rsidRPr="000D3559">
        <w:rPr>
          <w:lang w:val="es-ES"/>
        </w:rPr>
        <w:t xml:space="preserve"> supra la note</w:t>
      </w:r>
      <w:r w:rsidR="00010000">
        <w:t xml:space="preserve"> </w:t>
      </w:r>
      <w:r w:rsidR="00010000">
        <w:fldChar w:fldCharType="begin"/>
      </w:r>
      <w:r w:rsidR="00010000">
        <w:instrText xml:space="preserve"> NOTEREF _Ref81999950 \h </w:instrText>
      </w:r>
      <w:r w:rsidR="00010000">
        <w:fldChar w:fldCharType="separate"/>
      </w:r>
      <w:r w:rsidR="00010000">
        <w:t>27</w:t>
      </w:r>
      <w:r w:rsidR="00010000">
        <w:fldChar w:fldCharType="end"/>
      </w:r>
      <w:r w:rsidRPr="000D3559">
        <w:rPr>
          <w:lang w:val="es-ES"/>
        </w:rPr>
        <w:t>.</w:t>
      </w:r>
    </w:p>
  </w:footnote>
  <w:footnote w:id="44">
    <w:p w14:paraId="248F2E77"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35597, vol. 2056, p. 211.</w:t>
      </w:r>
    </w:p>
  </w:footnote>
  <w:footnote w:id="45">
    <w:p w14:paraId="23F646A7"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 xml:space="preserve"> </w:t>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37756, vol. 2161, p. 45.</w:t>
      </w:r>
    </w:p>
  </w:footnote>
  <w:footnote w:id="46">
    <w:p w14:paraId="3A0129B8"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43165, vol. 2389, p. 117.</w:t>
      </w:r>
    </w:p>
  </w:footnote>
  <w:footnote w:id="47">
    <w:p w14:paraId="59AA4265" w14:textId="77777777"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Ibid</w:t>
      </w:r>
      <w:proofErr w:type="spellEnd"/>
      <w:r w:rsidRPr="000D3559">
        <w:rPr>
          <w:lang w:val="es-ES"/>
        </w:rPr>
        <w:t xml:space="preserve">., </w:t>
      </w:r>
      <w:r w:rsidRPr="000D3559">
        <w:rPr>
          <w:rFonts w:eastAsia="MS Mincho"/>
          <w:lang w:val="es-ES"/>
        </w:rPr>
        <w:t>n</w:t>
      </w:r>
      <w:r w:rsidRPr="000D3559">
        <w:rPr>
          <w:rFonts w:eastAsia="MS Mincho"/>
          <w:vertAlign w:val="superscript"/>
          <w:lang w:val="es-ES"/>
        </w:rPr>
        <w:t>o</w:t>
      </w:r>
      <w:r w:rsidRPr="000D3559">
        <w:rPr>
          <w:lang w:val="es-ES"/>
        </w:rPr>
        <w:t xml:space="preserve"> 50651, vol. 2907, p. 51.</w:t>
      </w:r>
    </w:p>
  </w:footnote>
  <w:footnote w:id="48">
    <w:p w14:paraId="73C212A0" w14:textId="6D806A40" w:rsidR="00507F03" w:rsidRPr="000D3559" w:rsidRDefault="00507F03" w:rsidP="00507F03">
      <w:pPr>
        <w:pStyle w:val="FootnoteText"/>
        <w:rPr>
          <w:szCs w:val="18"/>
          <w:lang w:val="es-ES"/>
        </w:rPr>
      </w:pPr>
      <w:r w:rsidRPr="000D3559">
        <w:rPr>
          <w:lang w:val="es-ES"/>
        </w:rPr>
        <w:tab/>
      </w:r>
      <w:r w:rsidRPr="00E44216">
        <w:rPr>
          <w:rStyle w:val="FootnoteReference"/>
        </w:rPr>
        <w:footnoteRef/>
      </w:r>
      <w:r w:rsidRPr="000D3559">
        <w:rPr>
          <w:lang w:val="es-ES"/>
        </w:rPr>
        <w:tab/>
      </w:r>
      <w:proofErr w:type="spellStart"/>
      <w:r w:rsidRPr="000D3559">
        <w:rPr>
          <w:lang w:val="es-ES"/>
        </w:rPr>
        <w:t>Voir</w:t>
      </w:r>
      <w:proofErr w:type="spellEnd"/>
      <w:r w:rsidRPr="000D3559">
        <w:rPr>
          <w:lang w:val="es-ES"/>
        </w:rPr>
        <w:t xml:space="preserve"> supra la note </w:t>
      </w:r>
      <w:r w:rsidR="00010000">
        <w:rPr>
          <w:lang w:val="es-ES"/>
        </w:rPr>
        <w:fldChar w:fldCharType="begin"/>
      </w:r>
      <w:r w:rsidR="00010000">
        <w:rPr>
          <w:lang w:val="es-ES"/>
        </w:rPr>
        <w:instrText xml:space="preserve"> NOTEREF _Ref82001003 \h </w:instrText>
      </w:r>
      <w:r w:rsidR="00010000">
        <w:rPr>
          <w:lang w:val="es-ES"/>
        </w:rPr>
      </w:r>
      <w:r w:rsidR="00010000">
        <w:rPr>
          <w:lang w:val="es-ES"/>
        </w:rPr>
        <w:fldChar w:fldCharType="separate"/>
      </w:r>
      <w:r w:rsidR="00010000">
        <w:rPr>
          <w:lang w:val="es-ES"/>
        </w:rPr>
        <w:t>37</w:t>
      </w:r>
      <w:r w:rsidR="00010000">
        <w:rPr>
          <w:lang w:val="es-ES"/>
        </w:rPr>
        <w:fldChar w:fldCharType="end"/>
      </w:r>
      <w:r w:rsidRPr="00E44216">
        <w:fldChar w:fldCharType="begin"/>
      </w:r>
      <w:r w:rsidRPr="000D3559">
        <w:rPr>
          <w:lang w:val="es-ES"/>
        </w:rPr>
        <w:instrText xml:space="preserve"> NOTEREF _Ref82001003 \h  \* MERGEFORMAT </w:instrText>
      </w:r>
      <w:r w:rsidRPr="00E44216">
        <w:fldChar w:fldCharType="separate"/>
      </w:r>
      <w:r w:rsidRPr="00E44216">
        <w:fldChar w:fldCharType="end"/>
      </w:r>
      <w:r w:rsidRPr="000D3559">
        <w:rPr>
          <w:lang w:val="es-ES"/>
        </w:rPr>
        <w:t>.</w:t>
      </w:r>
    </w:p>
  </w:footnote>
  <w:footnote w:id="49">
    <w:p w14:paraId="77518094" w14:textId="77777777" w:rsidR="00507F03" w:rsidRPr="00750617" w:rsidRDefault="00507F03" w:rsidP="00507F03">
      <w:pPr>
        <w:pStyle w:val="FootnoteText"/>
        <w:rPr>
          <w:szCs w:val="18"/>
        </w:rPr>
      </w:pPr>
      <w:r w:rsidRPr="000D3559">
        <w:rPr>
          <w:lang w:val="es-ES"/>
        </w:rPr>
        <w:tab/>
      </w:r>
      <w:r w:rsidRPr="00750617">
        <w:rPr>
          <w:rStyle w:val="FootnoteReference"/>
        </w:rPr>
        <w:footnoteRef/>
      </w:r>
      <w:r w:rsidRPr="00750617">
        <w:tab/>
        <w:t xml:space="preserve">Nations Unies, </w:t>
      </w:r>
      <w:r w:rsidRPr="00750617">
        <w:rPr>
          <w:i/>
        </w:rPr>
        <w:t>Recueil des Traités</w:t>
      </w:r>
      <w:r w:rsidRPr="00750617">
        <w:t xml:space="preserve">, </w:t>
      </w:r>
      <w:r w:rsidRPr="00750617">
        <w:rPr>
          <w:rFonts w:eastAsia="MS Mincho"/>
        </w:rPr>
        <w:t>n</w:t>
      </w:r>
      <w:r w:rsidRPr="00750617">
        <w:rPr>
          <w:rFonts w:eastAsia="MS Mincho"/>
          <w:vertAlign w:val="superscript"/>
        </w:rPr>
        <w:t>o</w:t>
      </w:r>
      <w:r w:rsidRPr="00750617">
        <w:t xml:space="preserve"> 51492, vol</w:t>
      </w:r>
      <w:r w:rsidRPr="00F22925">
        <w:t>.</w:t>
      </w:r>
      <w:r w:rsidRPr="00750617">
        <w:t xml:space="preserve"> 2963, p</w:t>
      </w:r>
      <w:r w:rsidRPr="00F22925">
        <w:t>.</w:t>
      </w:r>
      <w:r w:rsidRPr="00750617">
        <w:t xml:space="preserve"> 23</w:t>
      </w:r>
      <w:r w:rsidRPr="00F22925">
        <w:t>.</w:t>
      </w:r>
    </w:p>
  </w:footnote>
  <w:footnote w:id="50">
    <w:p w14:paraId="0CBEA2BB" w14:textId="6423EAEF" w:rsidR="00507F03" w:rsidRPr="00750617" w:rsidRDefault="00507F03" w:rsidP="00507F03">
      <w:pPr>
        <w:pStyle w:val="FootnoteText"/>
        <w:rPr>
          <w:szCs w:val="18"/>
        </w:rPr>
      </w:pPr>
      <w:r w:rsidRPr="00750617">
        <w:tab/>
      </w:r>
      <w:r w:rsidRPr="00750617">
        <w:rPr>
          <w:rStyle w:val="FootnoteReference"/>
        </w:rPr>
        <w:footnoteRef/>
      </w:r>
      <w:r w:rsidRPr="00750617">
        <w:tab/>
      </w:r>
      <w:r>
        <w:t xml:space="preserve">Voir </w:t>
      </w:r>
      <w:r w:rsidRPr="00F87887">
        <w:rPr>
          <w:i/>
          <w:iCs/>
        </w:rPr>
        <w:t>supra</w:t>
      </w:r>
      <w:r>
        <w:t xml:space="preserve"> la note</w:t>
      </w:r>
      <w:r w:rsidR="00010000">
        <w:t xml:space="preserve"> </w:t>
      </w:r>
      <w:r w:rsidR="00010000">
        <w:fldChar w:fldCharType="begin"/>
      </w:r>
      <w:r w:rsidR="00010000">
        <w:instrText xml:space="preserve"> NOTEREF _Ref82001757 \h </w:instrText>
      </w:r>
      <w:r w:rsidR="00010000">
        <w:fldChar w:fldCharType="separate"/>
      </w:r>
      <w:r w:rsidR="00010000">
        <w:t>18</w:t>
      </w:r>
      <w:r w:rsidR="00010000">
        <w:fldChar w:fldCharType="end"/>
      </w:r>
      <w:r w:rsidRPr="00F22925">
        <w:t>.</w:t>
      </w:r>
    </w:p>
  </w:footnote>
  <w:footnote w:id="51">
    <w:p w14:paraId="0875A83E" w14:textId="77777777" w:rsidR="00507F03" w:rsidRPr="00750617" w:rsidRDefault="00507F03" w:rsidP="00507F03">
      <w:pPr>
        <w:pStyle w:val="FootnoteText"/>
        <w:rPr>
          <w:szCs w:val="18"/>
        </w:rPr>
      </w:pPr>
      <w:r w:rsidRPr="00750617">
        <w:tab/>
      </w:r>
      <w:r w:rsidRPr="00750617">
        <w:rPr>
          <w:rStyle w:val="FootnoteReference"/>
        </w:rPr>
        <w:footnoteRef/>
      </w:r>
      <w:r w:rsidRPr="00750617">
        <w:tab/>
        <w:t xml:space="preserve">Journal officiel de </w:t>
      </w:r>
      <w:r w:rsidRPr="00F87887">
        <w:t>l’Union européenne, L 161,</w:t>
      </w:r>
      <w:r w:rsidRPr="00750617">
        <w:t xml:space="preserve"> 29 mai 2014, p</w:t>
      </w:r>
      <w:r w:rsidRPr="00F22925">
        <w:t>.</w:t>
      </w:r>
      <w:r w:rsidRPr="00750617">
        <w:t xml:space="preserve"> 3</w:t>
      </w:r>
      <w:r w:rsidRPr="00F22925">
        <w:t>.</w:t>
      </w:r>
    </w:p>
  </w:footnote>
  <w:footnote w:id="52">
    <w:p w14:paraId="24C410DE" w14:textId="3D5F8DC8" w:rsidR="00507F03" w:rsidRPr="00750617" w:rsidRDefault="00507F03" w:rsidP="00507F03">
      <w:pPr>
        <w:pStyle w:val="FootnoteText"/>
        <w:rPr>
          <w:szCs w:val="18"/>
        </w:rPr>
      </w:pPr>
      <w:r w:rsidRPr="00750617">
        <w:tab/>
      </w:r>
      <w:r w:rsidRPr="00750617">
        <w:rPr>
          <w:rStyle w:val="FootnoteReference"/>
        </w:rPr>
        <w:footnoteRef/>
      </w:r>
      <w:r w:rsidRPr="00750617">
        <w:tab/>
      </w:r>
      <w:r>
        <w:t xml:space="preserve">Voir </w:t>
      </w:r>
      <w:r w:rsidRPr="00F87887">
        <w:rPr>
          <w:i/>
          <w:iCs/>
        </w:rPr>
        <w:t>supra</w:t>
      </w:r>
      <w:r>
        <w:t xml:space="preserve"> la note </w:t>
      </w:r>
      <w:r w:rsidR="00010000">
        <w:fldChar w:fldCharType="begin"/>
      </w:r>
      <w:r w:rsidR="00010000">
        <w:instrText xml:space="preserve"> NOTEREF _Ref82002179 \h </w:instrText>
      </w:r>
      <w:r w:rsidR="00010000">
        <w:fldChar w:fldCharType="separate"/>
      </w:r>
      <w:r w:rsidR="00010000">
        <w:t>19</w:t>
      </w:r>
      <w:r w:rsidR="00010000">
        <w:fldChar w:fldCharType="end"/>
      </w:r>
      <w:r>
        <w:fldChar w:fldCharType="begin"/>
      </w:r>
      <w:r>
        <w:instrText xml:space="preserve"> NOTEREF _Ref82002179 \h </w:instrText>
      </w:r>
      <w:r>
        <w:fldChar w:fldCharType="separate"/>
      </w:r>
      <w:r>
        <w:fldChar w:fldCharType="end"/>
      </w:r>
      <w:r w:rsidRPr="00F22925">
        <w:t>.</w:t>
      </w:r>
    </w:p>
  </w:footnote>
  <w:footnote w:id="53">
    <w:p w14:paraId="10C7CCEC" w14:textId="77777777" w:rsidR="00507F03" w:rsidRPr="00750617" w:rsidRDefault="00507F03" w:rsidP="00507F03">
      <w:pPr>
        <w:pStyle w:val="FootnoteText"/>
        <w:rPr>
          <w:szCs w:val="18"/>
        </w:rPr>
      </w:pPr>
      <w:r w:rsidRPr="00750617">
        <w:tab/>
      </w:r>
      <w:r w:rsidRPr="00750617">
        <w:rPr>
          <w:rStyle w:val="FootnoteReference"/>
        </w:rPr>
        <w:footnoteRef/>
      </w:r>
      <w:r w:rsidRPr="00750617">
        <w:tab/>
        <w:t xml:space="preserve">Conseil de l’Europe, </w:t>
      </w:r>
      <w:r w:rsidRPr="00750617">
        <w:rPr>
          <w:i/>
        </w:rPr>
        <w:t>Recueil des Traités</w:t>
      </w:r>
      <w:r w:rsidRPr="00750617">
        <w:t xml:space="preserve"> </w:t>
      </w:r>
      <w:r w:rsidRPr="00750617">
        <w:rPr>
          <w:i/>
          <w:iCs/>
        </w:rPr>
        <w:t>européens</w:t>
      </w:r>
      <w:r w:rsidRPr="00750617">
        <w:t xml:space="preserve">, </w:t>
      </w:r>
      <w:r w:rsidRPr="00750617">
        <w:rPr>
          <w:rFonts w:eastAsia="MS Mincho"/>
        </w:rPr>
        <w:t>n</w:t>
      </w:r>
      <w:r w:rsidRPr="00750617">
        <w:rPr>
          <w:rFonts w:eastAsia="MS Mincho"/>
          <w:vertAlign w:val="superscript"/>
        </w:rPr>
        <w:t>o</w:t>
      </w:r>
      <w:r w:rsidRPr="00750617">
        <w:t xml:space="preserve"> 194</w:t>
      </w:r>
      <w:r w:rsidRPr="00F2292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16D4C83"/>
    <w:multiLevelType w:val="multilevel"/>
    <w:tmpl w:val="40E036F0"/>
    <w:styleLink w:val="CurrentList2"/>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9206BAD"/>
    <w:multiLevelType w:val="multilevel"/>
    <w:tmpl w:val="9C363498"/>
    <w:styleLink w:val="CurrentList1"/>
    <w:lvl w:ilvl="0">
      <w:start w:val="1"/>
      <w:numFmt w:val="lowerRoman"/>
      <w:lvlText w:val="(%1)"/>
      <w:lvlJc w:val="left"/>
      <w:pPr>
        <w:ind w:left="1890" w:hanging="72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2"/>
  </w:num>
  <w:num w:numId="4">
    <w:abstractNumId w:val="0"/>
  </w:num>
  <w:num w:numId="5">
    <w:abstractNumId w:val="6"/>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03"/>
    <w:rsid w:val="00010000"/>
    <w:rsid w:val="000B75FE"/>
    <w:rsid w:val="002A3CEE"/>
    <w:rsid w:val="00330E9D"/>
    <w:rsid w:val="00332B5D"/>
    <w:rsid w:val="00383A15"/>
    <w:rsid w:val="00464F7E"/>
    <w:rsid w:val="00507F03"/>
    <w:rsid w:val="005B0396"/>
    <w:rsid w:val="00610EC5"/>
    <w:rsid w:val="00632697"/>
    <w:rsid w:val="006F2A17"/>
    <w:rsid w:val="007A64AC"/>
    <w:rsid w:val="009B45F0"/>
    <w:rsid w:val="00A3455E"/>
    <w:rsid w:val="00B03ED2"/>
    <w:rsid w:val="00C205B2"/>
    <w:rsid w:val="00CB6319"/>
    <w:rsid w:val="00E20467"/>
    <w:rsid w:val="00E52F3B"/>
    <w:rsid w:val="00E66E99"/>
    <w:rsid w:val="00EE5DAE"/>
    <w:rsid w:val="00F6717E"/>
    <w:rsid w:val="00F70EFE"/>
    <w:rsid w:val="00F82317"/>
    <w:rsid w:val="00FA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DF8E8"/>
  <w14:defaultImageDpi w14:val="32767"/>
  <w15:chartTrackingRefBased/>
  <w15:docId w15:val="{EC72EC59-D463-F443-996E-09F1AFC6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7F03"/>
    <w:pPr>
      <w:suppressAutoHyphens/>
      <w:kinsoku w:val="0"/>
      <w:overflowPunct w:val="0"/>
      <w:autoSpaceDE w:val="0"/>
      <w:autoSpaceDN w:val="0"/>
      <w:adjustRightInd w:val="0"/>
      <w:snapToGrid w:val="0"/>
      <w:spacing w:line="240" w:lineRule="atLeast"/>
    </w:pPr>
    <w:rPr>
      <w:rFonts w:ascii="Times New Roman" w:hAnsi="Times New Roman" w:cs="Times New Roman"/>
      <w:sz w:val="20"/>
      <w:szCs w:val="20"/>
      <w:lang w:val="fr-CH"/>
    </w:rPr>
  </w:style>
  <w:style w:type="paragraph" w:styleId="Heading1">
    <w:name w:val="heading 1"/>
    <w:aliases w:val="Table_G"/>
    <w:basedOn w:val="SingleTxtG"/>
    <w:next w:val="SingleTxtG"/>
    <w:link w:val="Heading1Char"/>
    <w:qFormat/>
    <w:rsid w:val="00507F03"/>
    <w:pPr>
      <w:keepNext/>
      <w:keepLines/>
      <w:spacing w:after="0" w:line="240" w:lineRule="auto"/>
      <w:ind w:right="0"/>
      <w:jc w:val="left"/>
      <w:outlineLvl w:val="0"/>
    </w:pPr>
  </w:style>
  <w:style w:type="paragraph" w:styleId="Heading2">
    <w:name w:val="heading 2"/>
    <w:basedOn w:val="Normal"/>
    <w:next w:val="Normal"/>
    <w:link w:val="Heading2Char"/>
    <w:qFormat/>
    <w:rsid w:val="00507F03"/>
    <w:pPr>
      <w:outlineLvl w:val="1"/>
    </w:pPr>
  </w:style>
  <w:style w:type="paragraph" w:styleId="Heading3">
    <w:name w:val="heading 3"/>
    <w:basedOn w:val="Normal"/>
    <w:next w:val="Normal"/>
    <w:link w:val="Heading3Char"/>
    <w:qFormat/>
    <w:rsid w:val="00507F03"/>
    <w:pPr>
      <w:outlineLvl w:val="2"/>
    </w:pPr>
  </w:style>
  <w:style w:type="paragraph" w:styleId="Heading4">
    <w:name w:val="heading 4"/>
    <w:basedOn w:val="Normal"/>
    <w:next w:val="Normal"/>
    <w:link w:val="Heading4Char"/>
    <w:qFormat/>
    <w:rsid w:val="00507F03"/>
    <w:pPr>
      <w:outlineLvl w:val="3"/>
    </w:pPr>
  </w:style>
  <w:style w:type="paragraph" w:styleId="Heading5">
    <w:name w:val="heading 5"/>
    <w:basedOn w:val="Normal"/>
    <w:next w:val="Normal"/>
    <w:link w:val="Heading5Char"/>
    <w:qFormat/>
    <w:rsid w:val="00507F03"/>
    <w:pPr>
      <w:outlineLvl w:val="4"/>
    </w:pPr>
  </w:style>
  <w:style w:type="paragraph" w:styleId="Heading6">
    <w:name w:val="heading 6"/>
    <w:basedOn w:val="Normal"/>
    <w:next w:val="Normal"/>
    <w:link w:val="Heading6Char"/>
    <w:qFormat/>
    <w:rsid w:val="00507F03"/>
    <w:pPr>
      <w:outlineLvl w:val="5"/>
    </w:pPr>
  </w:style>
  <w:style w:type="paragraph" w:styleId="Heading7">
    <w:name w:val="heading 7"/>
    <w:basedOn w:val="Normal"/>
    <w:next w:val="Normal"/>
    <w:link w:val="Heading7Char"/>
    <w:qFormat/>
    <w:rsid w:val="00507F03"/>
    <w:pPr>
      <w:outlineLvl w:val="6"/>
    </w:pPr>
  </w:style>
  <w:style w:type="paragraph" w:styleId="Heading8">
    <w:name w:val="heading 8"/>
    <w:basedOn w:val="Normal"/>
    <w:next w:val="Normal"/>
    <w:link w:val="Heading8Char"/>
    <w:qFormat/>
    <w:rsid w:val="00507F03"/>
    <w:pPr>
      <w:outlineLvl w:val="7"/>
    </w:pPr>
  </w:style>
  <w:style w:type="paragraph" w:styleId="Heading9">
    <w:name w:val="heading 9"/>
    <w:basedOn w:val="Normal"/>
    <w:next w:val="Normal"/>
    <w:link w:val="Heading9Char"/>
    <w:qFormat/>
    <w:rsid w:val="00507F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507F03"/>
    <w:rPr>
      <w:rFonts w:ascii="Times New Roman" w:hAnsi="Times New Roman" w:cs="Times New Roman"/>
      <w:sz w:val="20"/>
      <w:szCs w:val="20"/>
      <w:lang w:val="fr-CH"/>
    </w:rPr>
  </w:style>
  <w:style w:type="character" w:customStyle="1" w:styleId="Heading2Char">
    <w:name w:val="Heading 2 Char"/>
    <w:basedOn w:val="DefaultParagraphFont"/>
    <w:link w:val="Heading2"/>
    <w:rsid w:val="00507F03"/>
    <w:rPr>
      <w:rFonts w:ascii="Times New Roman" w:hAnsi="Times New Roman" w:cs="Times New Roman"/>
      <w:sz w:val="20"/>
      <w:szCs w:val="20"/>
      <w:lang w:val="fr-CH"/>
    </w:rPr>
  </w:style>
  <w:style w:type="character" w:customStyle="1" w:styleId="Heading3Char">
    <w:name w:val="Heading 3 Char"/>
    <w:basedOn w:val="DefaultParagraphFont"/>
    <w:link w:val="Heading3"/>
    <w:rsid w:val="00507F03"/>
    <w:rPr>
      <w:rFonts w:ascii="Times New Roman" w:hAnsi="Times New Roman" w:cs="Times New Roman"/>
      <w:sz w:val="20"/>
      <w:szCs w:val="20"/>
      <w:lang w:val="fr-CH"/>
    </w:rPr>
  </w:style>
  <w:style w:type="character" w:customStyle="1" w:styleId="Heading4Char">
    <w:name w:val="Heading 4 Char"/>
    <w:basedOn w:val="DefaultParagraphFont"/>
    <w:link w:val="Heading4"/>
    <w:rsid w:val="00507F03"/>
    <w:rPr>
      <w:rFonts w:ascii="Times New Roman" w:hAnsi="Times New Roman" w:cs="Times New Roman"/>
      <w:sz w:val="20"/>
      <w:szCs w:val="20"/>
      <w:lang w:val="fr-CH"/>
    </w:rPr>
  </w:style>
  <w:style w:type="character" w:customStyle="1" w:styleId="Heading5Char">
    <w:name w:val="Heading 5 Char"/>
    <w:basedOn w:val="DefaultParagraphFont"/>
    <w:link w:val="Heading5"/>
    <w:rsid w:val="00507F03"/>
    <w:rPr>
      <w:rFonts w:ascii="Times New Roman" w:hAnsi="Times New Roman" w:cs="Times New Roman"/>
      <w:sz w:val="20"/>
      <w:szCs w:val="20"/>
      <w:lang w:val="fr-CH"/>
    </w:rPr>
  </w:style>
  <w:style w:type="character" w:customStyle="1" w:styleId="Heading6Char">
    <w:name w:val="Heading 6 Char"/>
    <w:basedOn w:val="DefaultParagraphFont"/>
    <w:link w:val="Heading6"/>
    <w:rsid w:val="00507F03"/>
    <w:rPr>
      <w:rFonts w:ascii="Times New Roman" w:hAnsi="Times New Roman" w:cs="Times New Roman"/>
      <w:sz w:val="20"/>
      <w:szCs w:val="20"/>
      <w:lang w:val="fr-CH"/>
    </w:rPr>
  </w:style>
  <w:style w:type="character" w:customStyle="1" w:styleId="Heading7Char">
    <w:name w:val="Heading 7 Char"/>
    <w:basedOn w:val="DefaultParagraphFont"/>
    <w:link w:val="Heading7"/>
    <w:rsid w:val="00507F03"/>
    <w:rPr>
      <w:rFonts w:ascii="Times New Roman" w:hAnsi="Times New Roman" w:cs="Times New Roman"/>
      <w:sz w:val="20"/>
      <w:szCs w:val="20"/>
      <w:lang w:val="fr-CH"/>
    </w:rPr>
  </w:style>
  <w:style w:type="character" w:customStyle="1" w:styleId="Heading8Char">
    <w:name w:val="Heading 8 Char"/>
    <w:basedOn w:val="DefaultParagraphFont"/>
    <w:link w:val="Heading8"/>
    <w:rsid w:val="00507F03"/>
    <w:rPr>
      <w:rFonts w:ascii="Times New Roman" w:hAnsi="Times New Roman" w:cs="Times New Roman"/>
      <w:sz w:val="20"/>
      <w:szCs w:val="20"/>
      <w:lang w:val="fr-CH"/>
    </w:rPr>
  </w:style>
  <w:style w:type="character" w:customStyle="1" w:styleId="Heading9Char">
    <w:name w:val="Heading 9 Char"/>
    <w:basedOn w:val="DefaultParagraphFont"/>
    <w:link w:val="Heading9"/>
    <w:rsid w:val="00507F03"/>
    <w:rPr>
      <w:rFonts w:ascii="Times New Roman" w:hAnsi="Times New Roman" w:cs="Times New Roman"/>
      <w:sz w:val="20"/>
      <w:szCs w:val="20"/>
      <w:lang w:val="fr-CH"/>
    </w:rPr>
  </w:style>
  <w:style w:type="paragraph" w:customStyle="1" w:styleId="SingleTxtG">
    <w:name w:val="_ Single Txt_G"/>
    <w:basedOn w:val="Normal"/>
    <w:link w:val="SingleTxtGCar"/>
    <w:qFormat/>
    <w:rsid w:val="00507F03"/>
    <w:pPr>
      <w:tabs>
        <w:tab w:val="left" w:pos="1701"/>
        <w:tab w:val="left" w:pos="2268"/>
        <w:tab w:val="left" w:pos="2835"/>
      </w:tabs>
      <w:spacing w:after="120"/>
      <w:ind w:left="1134" w:right="1134"/>
      <w:jc w:val="both"/>
    </w:pPr>
  </w:style>
  <w:style w:type="paragraph" w:styleId="EndnoteText">
    <w:name w:val="endnote text"/>
    <w:aliases w:val="2_G"/>
    <w:basedOn w:val="FootnoteText"/>
    <w:link w:val="EndnoteTextChar"/>
    <w:qFormat/>
    <w:rsid w:val="00507F03"/>
  </w:style>
  <w:style w:type="character" w:customStyle="1" w:styleId="EndnoteTextChar">
    <w:name w:val="Endnote Text Char"/>
    <w:aliases w:val="2_G Char"/>
    <w:basedOn w:val="DefaultParagraphFont"/>
    <w:link w:val="EndnoteText"/>
    <w:rsid w:val="00507F03"/>
    <w:rPr>
      <w:rFonts w:ascii="Times New Roman" w:hAnsi="Times New Roman" w:cs="Times New Roman"/>
      <w:sz w:val="18"/>
      <w:szCs w:val="20"/>
      <w:lang w:val="fr-CH"/>
    </w:rPr>
  </w:style>
  <w:style w:type="paragraph" w:styleId="FootnoteText">
    <w:name w:val="footnote text"/>
    <w:aliases w:val="5_G,FOOTNOTES,fn,single space,footnote text,f,ft,Footnote Text 1,Footnote Text Char Char,Footnote Text Char Char Char,Footnote Text Char2 Char,Footnote Text Char1 Char Char,ALTS FOOTNOTE,ADB,Footnote Style,Footnote,Char"/>
    <w:basedOn w:val="Normal"/>
    <w:link w:val="FootnoteTextChar"/>
    <w:qFormat/>
    <w:rsid w:val="00507F03"/>
    <w:pPr>
      <w:tabs>
        <w:tab w:val="right" w:pos="1021"/>
      </w:tabs>
      <w:spacing w:line="220" w:lineRule="exact"/>
      <w:ind w:left="1134" w:right="1134" w:hanging="1134"/>
    </w:pPr>
    <w:rPr>
      <w:sz w:val="18"/>
    </w:rPr>
  </w:style>
  <w:style w:type="character" w:customStyle="1" w:styleId="FootnoteTextChar">
    <w:name w:val="Footnote Text Char"/>
    <w:aliases w:val="5_G Char,FOOTNOTES Char,fn Char,single space Char,footnote text Char,f Char,ft Char,Footnote Text 1 Char,Footnote Text Char Char Char1,Footnote Text Char Char Char Char,Footnote Text Char2 Char Char,Footnote Text Char1 Char Char Char"/>
    <w:basedOn w:val="DefaultParagraphFont"/>
    <w:link w:val="FootnoteText"/>
    <w:qFormat/>
    <w:rsid w:val="00507F03"/>
    <w:rPr>
      <w:rFonts w:ascii="Times New Roman" w:hAnsi="Times New Roman" w:cs="Times New Roman"/>
      <w:sz w:val="18"/>
      <w:szCs w:val="20"/>
      <w:lang w:val="fr-CH"/>
    </w:rPr>
  </w:style>
  <w:style w:type="paragraph" w:styleId="Footer">
    <w:name w:val="footer"/>
    <w:aliases w:val="3_G"/>
    <w:basedOn w:val="Normal"/>
    <w:next w:val="Normal"/>
    <w:link w:val="FooterChar"/>
    <w:uiPriority w:val="99"/>
    <w:qFormat/>
    <w:rsid w:val="00507F03"/>
    <w:pPr>
      <w:spacing w:line="240" w:lineRule="auto"/>
    </w:pPr>
    <w:rPr>
      <w:sz w:val="16"/>
    </w:rPr>
  </w:style>
  <w:style w:type="character" w:customStyle="1" w:styleId="FooterChar">
    <w:name w:val="Footer Char"/>
    <w:aliases w:val="3_G Char"/>
    <w:basedOn w:val="DefaultParagraphFont"/>
    <w:link w:val="Footer"/>
    <w:uiPriority w:val="99"/>
    <w:rsid w:val="00507F03"/>
    <w:rPr>
      <w:rFonts w:ascii="Times New Roman" w:hAnsi="Times New Roman" w:cs="Times New Roman"/>
      <w:sz w:val="16"/>
      <w:szCs w:val="20"/>
      <w:lang w:val="fr-CH"/>
    </w:rPr>
  </w:style>
  <w:style w:type="character" w:styleId="EndnoteReference">
    <w:name w:val="endnote reference"/>
    <w:aliases w:val="1_G"/>
    <w:basedOn w:val="FootnoteReference"/>
    <w:qFormat/>
    <w:rsid w:val="00507F03"/>
    <w:rPr>
      <w:rFonts w:ascii="Times New Roman" w:hAnsi="Times New Roman"/>
      <w:sz w:val="18"/>
      <w:vertAlign w:val="superscript"/>
      <w:lang w:val="fr-CH"/>
    </w:rPr>
  </w:style>
  <w:style w:type="character" w:styleId="FootnoteReference">
    <w:name w:val="footnote reference"/>
    <w:aliases w:val="4_G,Appel note de bas de page Char,Texto de nota al pie Char,referencia nota al pie Char,FZ Char,a Footnote Reference Char,a Footnote text + MetaNormal-Roman Char,Appel note de bas de page Char1 Char Char Char Char Char Char"/>
    <w:basedOn w:val="DefaultParagraphFont"/>
    <w:qFormat/>
    <w:rsid w:val="00507F03"/>
    <w:rPr>
      <w:rFonts w:ascii="Times New Roman" w:hAnsi="Times New Roman"/>
      <w:sz w:val="18"/>
      <w:vertAlign w:val="superscript"/>
      <w:lang w:val="fr-CH"/>
    </w:rPr>
  </w:style>
  <w:style w:type="character" w:styleId="PageNumber">
    <w:name w:val="page number"/>
    <w:aliases w:val="7_G"/>
    <w:basedOn w:val="DefaultParagraphFont"/>
    <w:qFormat/>
    <w:rsid w:val="00507F03"/>
    <w:rPr>
      <w:rFonts w:ascii="Times New Roman" w:hAnsi="Times New Roman"/>
      <w:b/>
      <w:sz w:val="18"/>
      <w:lang w:val="fr-CH"/>
    </w:rPr>
  </w:style>
  <w:style w:type="paragraph" w:styleId="Header">
    <w:name w:val="header"/>
    <w:aliases w:val="6_G"/>
    <w:basedOn w:val="Normal"/>
    <w:next w:val="Normal"/>
    <w:link w:val="HeaderChar"/>
    <w:uiPriority w:val="99"/>
    <w:qFormat/>
    <w:rsid w:val="00507F0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507F03"/>
    <w:rPr>
      <w:rFonts w:ascii="Times New Roman" w:hAnsi="Times New Roman" w:cs="Times New Roman"/>
      <w:b/>
      <w:sz w:val="18"/>
      <w:szCs w:val="20"/>
      <w:lang w:val="fr-CH"/>
    </w:rPr>
  </w:style>
  <w:style w:type="paragraph" w:customStyle="1" w:styleId="H1G">
    <w:name w:val="_ H_1_G"/>
    <w:basedOn w:val="Normal"/>
    <w:next w:val="Normal"/>
    <w:qFormat/>
    <w:rsid w:val="00507F03"/>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507F03"/>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507F03"/>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link w:val="H23GChar"/>
    <w:qFormat/>
    <w:rsid w:val="00507F03"/>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07F03"/>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07F03"/>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507F03"/>
    <w:pPr>
      <w:keepNext/>
      <w:keepLines/>
      <w:spacing w:before="240" w:after="240" w:line="420" w:lineRule="exact"/>
      <w:ind w:left="1134" w:right="1134"/>
    </w:pPr>
    <w:rPr>
      <w:b/>
      <w:sz w:val="40"/>
    </w:rPr>
  </w:style>
  <w:style w:type="paragraph" w:customStyle="1" w:styleId="SLG">
    <w:name w:val="__S_L_G"/>
    <w:basedOn w:val="Normal"/>
    <w:next w:val="Normal"/>
    <w:rsid w:val="00507F03"/>
    <w:pPr>
      <w:keepNext/>
      <w:keepLines/>
      <w:spacing w:before="240" w:after="240" w:line="580" w:lineRule="exact"/>
      <w:ind w:left="1134" w:right="1134"/>
    </w:pPr>
    <w:rPr>
      <w:b/>
      <w:sz w:val="56"/>
    </w:rPr>
  </w:style>
  <w:style w:type="paragraph" w:customStyle="1" w:styleId="SSG">
    <w:name w:val="__S_S_G"/>
    <w:basedOn w:val="Normal"/>
    <w:next w:val="Normal"/>
    <w:rsid w:val="00507F03"/>
    <w:pPr>
      <w:keepNext/>
      <w:keepLines/>
      <w:spacing w:before="240" w:after="240" w:line="300" w:lineRule="exact"/>
      <w:ind w:left="1134" w:right="1134"/>
    </w:pPr>
    <w:rPr>
      <w:b/>
      <w:sz w:val="28"/>
    </w:rPr>
  </w:style>
  <w:style w:type="paragraph" w:customStyle="1" w:styleId="XLargeG">
    <w:name w:val="__XLarge_G"/>
    <w:basedOn w:val="Normal"/>
    <w:next w:val="Normal"/>
    <w:rsid w:val="00507F03"/>
    <w:pPr>
      <w:keepNext/>
      <w:keepLines/>
      <w:spacing w:before="240" w:after="240" w:line="420" w:lineRule="exact"/>
      <w:ind w:left="1134" w:right="1134"/>
    </w:pPr>
    <w:rPr>
      <w:b/>
      <w:sz w:val="40"/>
    </w:rPr>
  </w:style>
  <w:style w:type="paragraph" w:customStyle="1" w:styleId="Bullet1G">
    <w:name w:val="_Bullet 1_G"/>
    <w:basedOn w:val="Normal"/>
    <w:qFormat/>
    <w:rsid w:val="00507F03"/>
    <w:pPr>
      <w:numPr>
        <w:numId w:val="1"/>
      </w:numPr>
      <w:spacing w:after="120"/>
      <w:ind w:right="1134"/>
      <w:jc w:val="both"/>
    </w:pPr>
  </w:style>
  <w:style w:type="paragraph" w:customStyle="1" w:styleId="Bullet2G">
    <w:name w:val="_Bullet 2_G"/>
    <w:basedOn w:val="Normal"/>
    <w:qFormat/>
    <w:rsid w:val="00507F03"/>
    <w:pPr>
      <w:numPr>
        <w:numId w:val="2"/>
      </w:numPr>
      <w:spacing w:after="120"/>
      <w:ind w:right="1134"/>
      <w:jc w:val="both"/>
    </w:pPr>
  </w:style>
  <w:style w:type="table" w:styleId="TableGrid">
    <w:name w:val="Table Grid"/>
    <w:basedOn w:val="TableNormal"/>
    <w:rsid w:val="00507F03"/>
    <w:pPr>
      <w:suppressAutoHyphens/>
      <w:spacing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DefaultParagraphFont"/>
    <w:link w:val="SingleTxtG"/>
    <w:rsid w:val="00507F03"/>
    <w:rPr>
      <w:rFonts w:ascii="Times New Roman" w:hAnsi="Times New Roman" w:cs="Times New Roman"/>
      <w:sz w:val="20"/>
      <w:szCs w:val="20"/>
      <w:lang w:val="fr-CH"/>
    </w:rPr>
  </w:style>
  <w:style w:type="character" w:styleId="Hyperlink">
    <w:name w:val="Hyperlink"/>
    <w:basedOn w:val="DefaultParagraphFont"/>
    <w:qFormat/>
    <w:rsid w:val="00507F03"/>
    <w:rPr>
      <w:color w:val="0000FF"/>
      <w:u w:val="none"/>
    </w:rPr>
  </w:style>
  <w:style w:type="character" w:styleId="FollowedHyperlink">
    <w:name w:val="FollowedHyperlink"/>
    <w:basedOn w:val="DefaultParagraphFont"/>
    <w:uiPriority w:val="99"/>
    <w:qFormat/>
    <w:rsid w:val="00507F03"/>
    <w:rPr>
      <w:color w:val="0000FF"/>
      <w:u w:val="none"/>
    </w:rPr>
  </w:style>
  <w:style w:type="paragraph" w:customStyle="1" w:styleId="ParNoG">
    <w:name w:val="_ParNo_G"/>
    <w:basedOn w:val="Normal"/>
    <w:qFormat/>
    <w:rsid w:val="00507F03"/>
    <w:pPr>
      <w:numPr>
        <w:numId w:val="3"/>
      </w:numPr>
      <w:tabs>
        <w:tab w:val="left" w:pos="1701"/>
        <w:tab w:val="left" w:pos="2268"/>
        <w:tab w:val="left" w:pos="2835"/>
      </w:tabs>
      <w:spacing w:after="120"/>
      <w:ind w:right="1134"/>
      <w:jc w:val="both"/>
    </w:pPr>
  </w:style>
  <w:style w:type="paragraph" w:styleId="BalloonText">
    <w:name w:val="Balloon Text"/>
    <w:basedOn w:val="Normal"/>
    <w:link w:val="BalloonTextChar"/>
    <w:uiPriority w:val="99"/>
    <w:rsid w:val="00507F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07F03"/>
    <w:rPr>
      <w:rFonts w:ascii="Tahoma" w:hAnsi="Tahoma" w:cs="Tahoma"/>
      <w:sz w:val="16"/>
      <w:szCs w:val="16"/>
      <w:lang w:val="fr-CH"/>
    </w:rPr>
  </w:style>
  <w:style w:type="character" w:customStyle="1" w:styleId="SingleTxtGChar">
    <w:name w:val="_ Single Txt_G Char"/>
    <w:basedOn w:val="DefaultParagraphFont"/>
    <w:rsid w:val="00507F03"/>
    <w:rPr>
      <w:rFonts w:ascii="Times New Roman" w:eastAsia="SimSun" w:hAnsi="Times New Roman" w:cs="Times New Roman"/>
      <w:sz w:val="20"/>
      <w:szCs w:val="20"/>
      <w:lang w:val="en-GB"/>
    </w:rPr>
  </w:style>
  <w:style w:type="paragraph" w:customStyle="1" w:styleId="ParaNoG">
    <w:name w:val="_ParaNo._G"/>
    <w:basedOn w:val="SingleTxtG"/>
    <w:qFormat/>
    <w:rsid w:val="00507F03"/>
    <w:pPr>
      <w:numPr>
        <w:numId w:val="4"/>
      </w:numPr>
      <w:tabs>
        <w:tab w:val="clear" w:pos="0"/>
        <w:tab w:val="clear" w:pos="2835"/>
        <w:tab w:val="num" w:pos="360"/>
      </w:tabs>
    </w:pPr>
    <w:rPr>
      <w:lang w:val="en-GB"/>
    </w:rPr>
  </w:style>
  <w:style w:type="numbering" w:styleId="111111">
    <w:name w:val="Outline List 2"/>
    <w:basedOn w:val="NoList"/>
    <w:rsid w:val="00507F03"/>
    <w:pPr>
      <w:numPr>
        <w:numId w:val="5"/>
      </w:numPr>
    </w:pPr>
  </w:style>
  <w:style w:type="numbering" w:styleId="1ai">
    <w:name w:val="Outline List 1"/>
    <w:basedOn w:val="NoList"/>
    <w:rsid w:val="00507F03"/>
    <w:pPr>
      <w:numPr>
        <w:numId w:val="6"/>
      </w:numPr>
    </w:pPr>
  </w:style>
  <w:style w:type="character" w:styleId="BookTitle">
    <w:name w:val="Book Title"/>
    <w:basedOn w:val="DefaultParagraphFont"/>
    <w:uiPriority w:val="33"/>
    <w:rsid w:val="00507F03"/>
    <w:rPr>
      <w:b/>
      <w:bCs/>
      <w:smallCaps/>
      <w:spacing w:val="5"/>
    </w:rPr>
  </w:style>
  <w:style w:type="character" w:styleId="CommentReference">
    <w:name w:val="annotation reference"/>
    <w:basedOn w:val="DefaultParagraphFont"/>
    <w:uiPriority w:val="99"/>
    <w:semiHidden/>
    <w:unhideWhenUsed/>
    <w:rsid w:val="00507F03"/>
    <w:rPr>
      <w:sz w:val="16"/>
      <w:szCs w:val="16"/>
    </w:rPr>
  </w:style>
  <w:style w:type="paragraph" w:styleId="CommentText">
    <w:name w:val="annotation text"/>
    <w:basedOn w:val="Normal"/>
    <w:link w:val="CommentTextChar"/>
    <w:uiPriority w:val="99"/>
    <w:unhideWhenUsed/>
    <w:rsid w:val="00507F03"/>
    <w:pPr>
      <w:suppressAutoHyphens w:val="0"/>
      <w:kinsoku/>
      <w:overflowPunct/>
      <w:autoSpaceDE/>
      <w:autoSpaceDN/>
      <w:adjustRightInd/>
      <w:snapToGrid/>
      <w:spacing w:line="240" w:lineRule="auto"/>
    </w:pPr>
    <w:rPr>
      <w:rFonts w:eastAsia="SimSun"/>
      <w:lang w:val="en-GB" w:eastAsia="zh-CN"/>
    </w:rPr>
  </w:style>
  <w:style w:type="character" w:customStyle="1" w:styleId="CommentTextChar">
    <w:name w:val="Comment Text Char"/>
    <w:basedOn w:val="DefaultParagraphFont"/>
    <w:link w:val="CommentText"/>
    <w:uiPriority w:val="99"/>
    <w:rsid w:val="00507F03"/>
    <w:rPr>
      <w:rFonts w:ascii="Times New Roman" w:eastAsia="SimSun" w:hAnsi="Times New Roman" w:cs="Times New Roman"/>
      <w:sz w:val="20"/>
      <w:szCs w:val="20"/>
      <w:lang w:val="en-GB" w:eastAsia="zh-CN"/>
    </w:rPr>
  </w:style>
  <w:style w:type="paragraph" w:styleId="CommentSubject">
    <w:name w:val="annotation subject"/>
    <w:basedOn w:val="Normal"/>
    <w:next w:val="Normal"/>
    <w:link w:val="CommentSubjectChar"/>
    <w:uiPriority w:val="99"/>
    <w:semiHidden/>
    <w:unhideWhenUsed/>
    <w:rsid w:val="00507F03"/>
    <w:pPr>
      <w:suppressAutoHyphens w:val="0"/>
      <w:kinsoku/>
      <w:overflowPunct/>
      <w:autoSpaceDE/>
      <w:autoSpaceDN/>
      <w:adjustRightInd/>
      <w:snapToGrid/>
      <w:spacing w:line="240" w:lineRule="auto"/>
    </w:pPr>
    <w:rPr>
      <w:rFonts w:eastAsia="SimSun"/>
      <w:b/>
      <w:bCs/>
      <w:lang w:val="en-GB" w:eastAsia="zh-CN"/>
    </w:rPr>
  </w:style>
  <w:style w:type="character" w:customStyle="1" w:styleId="CommentSubjectChar">
    <w:name w:val="Comment Subject Char"/>
    <w:basedOn w:val="CommentTextChar"/>
    <w:link w:val="CommentSubject"/>
    <w:uiPriority w:val="99"/>
    <w:semiHidden/>
    <w:rsid w:val="00507F03"/>
    <w:rPr>
      <w:rFonts w:ascii="Times New Roman" w:eastAsia="SimSun" w:hAnsi="Times New Roman" w:cs="Times New Roman"/>
      <w:b/>
      <w:bCs/>
      <w:sz w:val="20"/>
      <w:szCs w:val="20"/>
      <w:lang w:val="en-GB" w:eastAsia="zh-CN"/>
    </w:rPr>
  </w:style>
  <w:style w:type="character" w:customStyle="1" w:styleId="H23GChar">
    <w:name w:val="_ H_2/3_G Char"/>
    <w:link w:val="H23G"/>
    <w:rsid w:val="00507F03"/>
    <w:rPr>
      <w:rFonts w:ascii="Times New Roman" w:hAnsi="Times New Roman" w:cs="Times New Roman"/>
      <w:b/>
      <w:sz w:val="20"/>
      <w:szCs w:val="20"/>
      <w:lang w:val="fr-CH"/>
    </w:rPr>
  </w:style>
  <w:style w:type="paragraph" w:customStyle="1" w:styleId="Revision1">
    <w:name w:val="Revision1"/>
    <w:next w:val="Revision"/>
    <w:hidden/>
    <w:uiPriority w:val="99"/>
    <w:semiHidden/>
    <w:rsid w:val="00507F03"/>
    <w:rPr>
      <w:rFonts w:eastAsiaTheme="minorEastAsia"/>
      <w:sz w:val="22"/>
      <w:szCs w:val="22"/>
      <w:lang w:val="en-GB"/>
    </w:rPr>
  </w:style>
  <w:style w:type="paragraph" w:customStyle="1" w:styleId="Rvision1">
    <w:name w:val="Révision1"/>
    <w:hidden/>
    <w:semiHidden/>
    <w:rsid w:val="00507F03"/>
    <w:rPr>
      <w:rFonts w:ascii="Times New Roman" w:eastAsia="Times New Roman" w:hAnsi="Times New Roman" w:cs="Times New Roman"/>
      <w:sz w:val="20"/>
      <w:szCs w:val="20"/>
      <w:lang w:val="en-GB"/>
    </w:rPr>
  </w:style>
  <w:style w:type="character" w:customStyle="1" w:styleId="Mentionnonrsolue1">
    <w:name w:val="Mention non résolue1"/>
    <w:basedOn w:val="DefaultParagraphFont"/>
    <w:uiPriority w:val="99"/>
    <w:semiHidden/>
    <w:unhideWhenUsed/>
    <w:rsid w:val="00507F03"/>
    <w:rPr>
      <w:color w:val="605E5C"/>
      <w:shd w:val="clear" w:color="auto" w:fill="E1DFDD"/>
    </w:rPr>
  </w:style>
  <w:style w:type="paragraph" w:customStyle="1" w:styleId="Rvision11">
    <w:name w:val="Révision11"/>
    <w:hidden/>
    <w:semiHidden/>
    <w:rsid w:val="00507F03"/>
    <w:rPr>
      <w:rFonts w:ascii="Times New Roman" w:eastAsia="Times New Roman" w:hAnsi="Times New Roman" w:cs="Times New Roman"/>
      <w:sz w:val="20"/>
      <w:szCs w:val="20"/>
      <w:lang w:val="en-GB"/>
    </w:rPr>
  </w:style>
  <w:style w:type="paragraph" w:styleId="Revision">
    <w:name w:val="Revision"/>
    <w:hidden/>
    <w:uiPriority w:val="99"/>
    <w:semiHidden/>
    <w:rsid w:val="00507F03"/>
    <w:rPr>
      <w:rFonts w:eastAsiaTheme="minorEastAsia"/>
      <w:sz w:val="22"/>
      <w:szCs w:val="22"/>
    </w:rPr>
  </w:style>
  <w:style w:type="character" w:customStyle="1" w:styleId="Hyperlink1">
    <w:name w:val="Hyperlink1"/>
    <w:basedOn w:val="DefaultParagraphFont"/>
    <w:uiPriority w:val="99"/>
    <w:unhideWhenUsed/>
    <w:qFormat/>
    <w:rsid w:val="00507F03"/>
    <w:rPr>
      <w:color w:val="0000FF"/>
      <w:u w:val="none"/>
    </w:rPr>
  </w:style>
  <w:style w:type="paragraph" w:styleId="ListParagraph">
    <w:name w:val="List Paragraph"/>
    <w:basedOn w:val="Normal"/>
    <w:uiPriority w:val="34"/>
    <w:qFormat/>
    <w:rsid w:val="00507F03"/>
    <w:pPr>
      <w:suppressAutoHyphens w:val="0"/>
      <w:kinsoku/>
      <w:overflowPunct/>
      <w:autoSpaceDE/>
      <w:autoSpaceDN/>
      <w:adjustRightInd/>
      <w:snapToGrid/>
      <w:spacing w:line="240" w:lineRule="auto"/>
      <w:ind w:left="720"/>
      <w:contextualSpacing/>
    </w:pPr>
    <w:rPr>
      <w:rFonts w:eastAsia="SimSun"/>
      <w:lang w:val="en-GB" w:eastAsia="zh-CN"/>
    </w:rPr>
  </w:style>
  <w:style w:type="character" w:styleId="Emphasis">
    <w:name w:val="Emphasis"/>
    <w:basedOn w:val="DefaultParagraphFont"/>
    <w:uiPriority w:val="20"/>
    <w:qFormat/>
    <w:rsid w:val="00507F03"/>
    <w:rPr>
      <w:i/>
      <w:iCs/>
    </w:rPr>
  </w:style>
  <w:style w:type="paragraph" w:styleId="NormalWeb">
    <w:name w:val="Normal (Web)"/>
    <w:basedOn w:val="Normal"/>
    <w:uiPriority w:val="99"/>
    <w:unhideWhenUsed/>
    <w:rsid w:val="00507F0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p1">
    <w:name w:val="p1"/>
    <w:basedOn w:val="Normal"/>
    <w:rsid w:val="00507F03"/>
    <w:pPr>
      <w:suppressAutoHyphens w:val="0"/>
      <w:kinsoku/>
      <w:overflowPunct/>
      <w:autoSpaceDE/>
      <w:autoSpaceDN/>
      <w:adjustRightInd/>
      <w:snapToGrid/>
      <w:spacing w:line="240" w:lineRule="auto"/>
    </w:pPr>
    <w:rPr>
      <w:rFonts w:ascii="Times" w:eastAsia="Times New Roman" w:hAnsi="Times"/>
      <w:sz w:val="15"/>
      <w:szCs w:val="15"/>
      <w:lang w:val="en-US"/>
    </w:rPr>
  </w:style>
  <w:style w:type="character" w:customStyle="1" w:styleId="apple-converted-space">
    <w:name w:val="apple-converted-space"/>
    <w:basedOn w:val="DefaultParagraphFont"/>
    <w:rsid w:val="00507F03"/>
  </w:style>
  <w:style w:type="character" w:customStyle="1" w:styleId="s1">
    <w:name w:val="s1"/>
    <w:basedOn w:val="DefaultParagraphFont"/>
    <w:rsid w:val="00507F03"/>
    <w:rPr>
      <w:rFonts w:ascii="Times" w:hAnsi="Times" w:hint="default"/>
      <w:sz w:val="11"/>
      <w:szCs w:val="11"/>
    </w:rPr>
  </w:style>
  <w:style w:type="character" w:customStyle="1" w:styleId="a-size-base">
    <w:name w:val="a-size-base"/>
    <w:basedOn w:val="DefaultParagraphFont"/>
    <w:rsid w:val="00507F03"/>
  </w:style>
  <w:style w:type="character" w:customStyle="1" w:styleId="a-size-extra-large">
    <w:name w:val="a-size-extra-large"/>
    <w:basedOn w:val="DefaultParagraphFont"/>
    <w:rsid w:val="00507F03"/>
  </w:style>
  <w:style w:type="character" w:customStyle="1" w:styleId="smallcaps">
    <w:name w:val="smallcaps"/>
    <w:basedOn w:val="DefaultParagraphFont"/>
    <w:rsid w:val="00507F03"/>
  </w:style>
  <w:style w:type="character" w:customStyle="1" w:styleId="ssleftalign">
    <w:name w:val="ss_leftalign"/>
    <w:basedOn w:val="DefaultParagraphFont"/>
    <w:rsid w:val="00507F03"/>
  </w:style>
  <w:style w:type="character" w:customStyle="1" w:styleId="sssh">
    <w:name w:val="ss_sh"/>
    <w:basedOn w:val="DefaultParagraphFont"/>
    <w:rsid w:val="00507F03"/>
  </w:style>
  <w:style w:type="paragraph" w:customStyle="1" w:styleId="p2">
    <w:name w:val="p2"/>
    <w:basedOn w:val="Normal"/>
    <w:rsid w:val="00507F03"/>
    <w:pPr>
      <w:suppressAutoHyphens w:val="0"/>
      <w:kinsoku/>
      <w:overflowPunct/>
      <w:autoSpaceDE/>
      <w:autoSpaceDN/>
      <w:adjustRightInd/>
      <w:snapToGrid/>
      <w:spacing w:line="240" w:lineRule="auto"/>
    </w:pPr>
    <w:rPr>
      <w:rFonts w:ascii="Times" w:eastAsia="Times New Roman" w:hAnsi="Times"/>
      <w:color w:val="011278"/>
      <w:sz w:val="30"/>
      <w:szCs w:val="30"/>
      <w:lang w:val="en-US"/>
    </w:rPr>
  </w:style>
  <w:style w:type="character" w:customStyle="1" w:styleId="ssit">
    <w:name w:val="ss_it"/>
    <w:basedOn w:val="DefaultParagraphFont"/>
    <w:rsid w:val="00507F03"/>
  </w:style>
  <w:style w:type="character" w:customStyle="1" w:styleId="addmd">
    <w:name w:val="addmd"/>
    <w:basedOn w:val="DefaultParagraphFont"/>
    <w:rsid w:val="00507F03"/>
  </w:style>
  <w:style w:type="character" w:styleId="Strong">
    <w:name w:val="Strong"/>
    <w:basedOn w:val="DefaultParagraphFont"/>
    <w:uiPriority w:val="22"/>
    <w:qFormat/>
    <w:rsid w:val="00507F03"/>
    <w:rPr>
      <w:b/>
      <w:bCs/>
    </w:rPr>
  </w:style>
  <w:style w:type="character" w:customStyle="1" w:styleId="title1">
    <w:name w:val="title1"/>
    <w:basedOn w:val="DefaultParagraphFont"/>
    <w:rsid w:val="00507F03"/>
  </w:style>
  <w:style w:type="paragraph" w:styleId="HTMLPreformatted">
    <w:name w:val="HTML Preformatted"/>
    <w:basedOn w:val="Normal"/>
    <w:link w:val="HTMLPreformattedChar"/>
    <w:uiPriority w:val="99"/>
    <w:semiHidden/>
    <w:unhideWhenUsed/>
    <w:rsid w:val="0050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semiHidden/>
    <w:rsid w:val="00507F03"/>
    <w:rPr>
      <w:rFonts w:ascii="Courier New" w:eastAsia="Times New Roman" w:hAnsi="Courier New" w:cs="Courier New"/>
      <w:sz w:val="20"/>
      <w:szCs w:val="20"/>
    </w:rPr>
  </w:style>
  <w:style w:type="character" w:customStyle="1" w:styleId="st">
    <w:name w:val="st"/>
    <w:basedOn w:val="DefaultParagraphFont"/>
    <w:rsid w:val="00507F03"/>
  </w:style>
  <w:style w:type="paragraph" w:customStyle="1" w:styleId="p3">
    <w:name w:val="p3"/>
    <w:basedOn w:val="Normal"/>
    <w:rsid w:val="00507F03"/>
    <w:pPr>
      <w:suppressAutoHyphens w:val="0"/>
      <w:kinsoku/>
      <w:overflowPunct/>
      <w:autoSpaceDE/>
      <w:autoSpaceDN/>
      <w:adjustRightInd/>
      <w:snapToGrid/>
      <w:spacing w:after="90" w:line="240" w:lineRule="auto"/>
      <w:ind w:hanging="825"/>
    </w:pPr>
    <w:rPr>
      <w:rFonts w:eastAsia="Times New Roman"/>
      <w:sz w:val="15"/>
      <w:szCs w:val="15"/>
      <w:lang w:val="en-US"/>
    </w:rPr>
  </w:style>
  <w:style w:type="paragraph" w:customStyle="1" w:styleId="p4">
    <w:name w:val="p4"/>
    <w:basedOn w:val="Normal"/>
    <w:rsid w:val="00507F03"/>
    <w:pPr>
      <w:suppressAutoHyphens w:val="0"/>
      <w:kinsoku/>
      <w:overflowPunct/>
      <w:autoSpaceDE/>
      <w:autoSpaceDN/>
      <w:adjustRightInd/>
      <w:snapToGrid/>
      <w:spacing w:after="90" w:line="240" w:lineRule="auto"/>
    </w:pPr>
    <w:rPr>
      <w:rFonts w:eastAsia="Times New Roman"/>
      <w:sz w:val="15"/>
      <w:szCs w:val="15"/>
      <w:lang w:val="en-US"/>
    </w:rPr>
  </w:style>
  <w:style w:type="paragraph" w:customStyle="1" w:styleId="p5">
    <w:name w:val="p5"/>
    <w:basedOn w:val="Normal"/>
    <w:rsid w:val="00507F03"/>
    <w:pPr>
      <w:suppressAutoHyphens w:val="0"/>
      <w:kinsoku/>
      <w:overflowPunct/>
      <w:autoSpaceDE/>
      <w:autoSpaceDN/>
      <w:adjustRightInd/>
      <w:snapToGrid/>
      <w:spacing w:after="90" w:line="240" w:lineRule="auto"/>
      <w:ind w:hanging="1290"/>
    </w:pPr>
    <w:rPr>
      <w:rFonts w:eastAsia="Times New Roman"/>
      <w:sz w:val="15"/>
      <w:szCs w:val="15"/>
      <w:lang w:val="en-US"/>
    </w:rPr>
  </w:style>
  <w:style w:type="paragraph" w:customStyle="1" w:styleId="p6">
    <w:name w:val="p6"/>
    <w:basedOn w:val="Normal"/>
    <w:rsid w:val="00507F03"/>
    <w:pPr>
      <w:suppressAutoHyphens w:val="0"/>
      <w:kinsoku/>
      <w:overflowPunct/>
      <w:autoSpaceDE/>
      <w:autoSpaceDN/>
      <w:adjustRightInd/>
      <w:snapToGrid/>
      <w:spacing w:line="240" w:lineRule="auto"/>
      <w:ind w:firstLine="465"/>
    </w:pPr>
    <w:rPr>
      <w:rFonts w:eastAsia="Times New Roman"/>
      <w:sz w:val="15"/>
      <w:szCs w:val="15"/>
      <w:lang w:val="en-US"/>
    </w:rPr>
  </w:style>
  <w:style w:type="paragraph" w:customStyle="1" w:styleId="suggested-citation">
    <w:name w:val="suggested-citation"/>
    <w:basedOn w:val="Normal"/>
    <w:rsid w:val="00507F0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styleId="HTMLCite">
    <w:name w:val="HTML Cite"/>
    <w:basedOn w:val="DefaultParagraphFont"/>
    <w:uiPriority w:val="99"/>
    <w:semiHidden/>
    <w:unhideWhenUsed/>
    <w:rsid w:val="00507F03"/>
    <w:rPr>
      <w:i/>
      <w:iCs/>
    </w:rPr>
  </w:style>
  <w:style w:type="character" w:customStyle="1" w:styleId="s2">
    <w:name w:val="s2"/>
    <w:basedOn w:val="DefaultParagraphFont"/>
    <w:rsid w:val="00507F03"/>
    <w:rPr>
      <w:color w:val="000000"/>
    </w:rPr>
  </w:style>
  <w:style w:type="character" w:customStyle="1" w:styleId="UnresolvedMention1">
    <w:name w:val="Unresolved Mention1"/>
    <w:basedOn w:val="DefaultParagraphFont"/>
    <w:uiPriority w:val="99"/>
    <w:rsid w:val="00507F03"/>
    <w:rPr>
      <w:color w:val="808080"/>
      <w:shd w:val="clear" w:color="auto" w:fill="E6E6E6"/>
    </w:rPr>
  </w:style>
  <w:style w:type="paragraph" w:customStyle="1" w:styleId="textbox">
    <w:name w:val="textbox"/>
    <w:basedOn w:val="Normal"/>
    <w:rsid w:val="00507F03"/>
    <w:pPr>
      <w:suppressAutoHyphens w:val="0"/>
      <w:kinsoku/>
      <w:overflowPunct/>
      <w:autoSpaceDE/>
      <w:autoSpaceDN/>
      <w:adjustRightInd/>
      <w:snapToGrid/>
      <w:spacing w:before="100" w:beforeAutospacing="1" w:after="100" w:afterAutospacing="1" w:line="240" w:lineRule="auto"/>
    </w:pPr>
    <w:rPr>
      <w:rFonts w:ascii="Times" w:hAnsi="Times" w:cstheme="minorBidi"/>
      <w:lang w:val="en-US"/>
    </w:rPr>
  </w:style>
  <w:style w:type="character" w:customStyle="1" w:styleId="UnresolvedMention2">
    <w:name w:val="Unresolved Mention2"/>
    <w:basedOn w:val="DefaultParagraphFont"/>
    <w:uiPriority w:val="99"/>
    <w:unhideWhenUsed/>
    <w:rsid w:val="00507F03"/>
    <w:rPr>
      <w:color w:val="808080"/>
      <w:shd w:val="clear" w:color="auto" w:fill="E6E6E6"/>
    </w:rPr>
  </w:style>
  <w:style w:type="character" w:customStyle="1" w:styleId="a-size-large">
    <w:name w:val="a-size-large"/>
    <w:basedOn w:val="DefaultParagraphFont"/>
    <w:rsid w:val="00507F03"/>
  </w:style>
  <w:style w:type="paragraph" w:customStyle="1" w:styleId="Default">
    <w:name w:val="Default"/>
    <w:rsid w:val="00507F03"/>
    <w:pPr>
      <w:autoSpaceDE w:val="0"/>
      <w:autoSpaceDN w:val="0"/>
      <w:adjustRightInd w:val="0"/>
    </w:pPr>
    <w:rPr>
      <w:rFonts w:ascii="Times New Roman" w:hAnsi="Times New Roman" w:cs="Times New Roman"/>
      <w:color w:val="000000"/>
    </w:rPr>
  </w:style>
  <w:style w:type="paragraph" w:customStyle="1" w:styleId="Prrafodelista1">
    <w:name w:val="Párrafo de lista1"/>
    <w:basedOn w:val="Normal"/>
    <w:uiPriority w:val="34"/>
    <w:qFormat/>
    <w:rsid w:val="00507F03"/>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en-US"/>
    </w:rPr>
  </w:style>
  <w:style w:type="character" w:customStyle="1" w:styleId="UnresolvedMention3">
    <w:name w:val="Unresolved Mention3"/>
    <w:basedOn w:val="DefaultParagraphFont"/>
    <w:uiPriority w:val="99"/>
    <w:semiHidden/>
    <w:unhideWhenUsed/>
    <w:rsid w:val="00507F03"/>
    <w:rPr>
      <w:color w:val="605E5C"/>
      <w:shd w:val="clear" w:color="auto" w:fill="E1DFDD"/>
    </w:rPr>
  </w:style>
  <w:style w:type="paragraph" w:styleId="Subtitle">
    <w:name w:val="Subtitle"/>
    <w:basedOn w:val="Normal"/>
    <w:next w:val="Normal"/>
    <w:link w:val="SubtitleChar"/>
    <w:uiPriority w:val="11"/>
    <w:qFormat/>
    <w:rsid w:val="00507F03"/>
    <w:pPr>
      <w:numPr>
        <w:ilvl w:val="1"/>
      </w:numPr>
      <w:suppressAutoHyphens w:val="0"/>
      <w:kinsoku/>
      <w:overflowPunct/>
      <w:autoSpaceDE/>
      <w:autoSpaceDN/>
      <w:adjustRightInd/>
      <w:snapToGrid/>
      <w:spacing w:after="160" w:line="240" w:lineRule="auto"/>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07F03"/>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507F03"/>
    <w:pPr>
      <w:suppressAutoHyphens w:val="0"/>
      <w:kinsoku/>
      <w:overflowPunct/>
      <w:autoSpaceDE/>
      <w:autoSpaceDN/>
      <w:adjustRightInd/>
      <w:snapToGrid/>
      <w:spacing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07F03"/>
    <w:rPr>
      <w:rFonts w:asciiTheme="majorHAnsi" w:eastAsiaTheme="majorEastAsia" w:hAnsiTheme="majorHAnsi" w:cstheme="majorBidi"/>
      <w:spacing w:val="-10"/>
      <w:kern w:val="28"/>
      <w:sz w:val="56"/>
      <w:szCs w:val="56"/>
    </w:rPr>
  </w:style>
  <w:style w:type="character" w:customStyle="1" w:styleId="citationitalic">
    <w:name w:val="citationitalic"/>
    <w:basedOn w:val="DefaultParagraphFont"/>
    <w:rsid w:val="00507F03"/>
  </w:style>
  <w:style w:type="character" w:customStyle="1" w:styleId="UnresolvedMention4">
    <w:name w:val="Unresolved Mention4"/>
    <w:basedOn w:val="DefaultParagraphFont"/>
    <w:uiPriority w:val="99"/>
    <w:semiHidden/>
    <w:unhideWhenUsed/>
    <w:rsid w:val="00507F03"/>
    <w:rPr>
      <w:color w:val="605E5C"/>
      <w:shd w:val="clear" w:color="auto" w:fill="E1DFDD"/>
    </w:rPr>
  </w:style>
  <w:style w:type="character" w:styleId="SubtleReference">
    <w:name w:val="Subtle Reference"/>
    <w:basedOn w:val="DefaultParagraphFont"/>
    <w:uiPriority w:val="31"/>
    <w:qFormat/>
    <w:rsid w:val="00507F03"/>
    <w:rPr>
      <w:smallCaps/>
      <w:color w:val="5A5A5A" w:themeColor="text1" w:themeTint="A5"/>
    </w:rPr>
  </w:style>
  <w:style w:type="character" w:customStyle="1" w:styleId="footnotemark">
    <w:name w:val="footnote mark"/>
    <w:hidden/>
    <w:rsid w:val="00507F03"/>
    <w:rPr>
      <w:rFonts w:ascii="Times New Roman" w:eastAsia="Times New Roman" w:hAnsi="Times New Roman" w:cs="Times New Roman"/>
      <w:color w:val="000000"/>
      <w:sz w:val="18"/>
      <w:vertAlign w:val="superscript"/>
    </w:rPr>
  </w:style>
  <w:style w:type="character" w:styleId="UnresolvedMention">
    <w:name w:val="Unresolved Mention"/>
    <w:basedOn w:val="DefaultParagraphFont"/>
    <w:uiPriority w:val="99"/>
    <w:unhideWhenUsed/>
    <w:rsid w:val="00507F03"/>
    <w:rPr>
      <w:color w:val="605E5C"/>
      <w:shd w:val="clear" w:color="auto" w:fill="E1DFDD"/>
    </w:rPr>
  </w:style>
  <w:style w:type="character" w:customStyle="1" w:styleId="preferred">
    <w:name w:val="preferred"/>
    <w:basedOn w:val="DefaultParagraphFont"/>
    <w:rsid w:val="00507F03"/>
  </w:style>
  <w:style w:type="character" w:customStyle="1" w:styleId="fr">
    <w:name w:val="fr"/>
    <w:basedOn w:val="DefaultParagraphFont"/>
    <w:rsid w:val="00507F03"/>
  </w:style>
  <w:style w:type="character" w:customStyle="1" w:styleId="admitted">
    <w:name w:val="admitted"/>
    <w:basedOn w:val="DefaultParagraphFont"/>
    <w:rsid w:val="00507F03"/>
  </w:style>
  <w:style w:type="paragraph" w:customStyle="1" w:styleId="SingleTxt">
    <w:name w:val="__Single Txt"/>
    <w:basedOn w:val="Normal"/>
    <w:rsid w:val="00507F03"/>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lang w:val="en-GB"/>
    </w:rPr>
  </w:style>
  <w:style w:type="paragraph" w:customStyle="1" w:styleId="H4">
    <w:name w:val="_ H_4"/>
    <w:basedOn w:val="Normal"/>
    <w:next w:val="SingleTxt"/>
    <w:rsid w:val="00507F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i/>
      <w:spacing w:val="3"/>
      <w:w w:val="103"/>
      <w:kern w:val="14"/>
      <w:lang w:val="en-GB"/>
    </w:rPr>
  </w:style>
  <w:style w:type="numbering" w:customStyle="1" w:styleId="CurrentList1">
    <w:name w:val="Current List1"/>
    <w:uiPriority w:val="99"/>
    <w:rsid w:val="00507F03"/>
    <w:pPr>
      <w:numPr>
        <w:numId w:val="9"/>
      </w:numPr>
    </w:pPr>
  </w:style>
  <w:style w:type="numbering" w:customStyle="1" w:styleId="CurrentList2">
    <w:name w:val="Current List2"/>
    <w:uiPriority w:val="99"/>
    <w:rsid w:val="00507F03"/>
    <w:pPr>
      <w:numPr>
        <w:numId w:val="10"/>
      </w:numPr>
    </w:pPr>
  </w:style>
  <w:style w:type="character" w:customStyle="1" w:styleId="Mentionnonrsolue2">
    <w:name w:val="Mention non résolue2"/>
    <w:basedOn w:val="DefaultParagraphFont"/>
    <w:uiPriority w:val="99"/>
    <w:semiHidden/>
    <w:unhideWhenUsed/>
    <w:rsid w:val="00507F03"/>
    <w:rPr>
      <w:color w:val="605E5C"/>
      <w:shd w:val="clear" w:color="auto" w:fill="E1DFDD"/>
    </w:rPr>
  </w:style>
  <w:style w:type="paragraph" w:customStyle="1" w:styleId="heading20">
    <w:name w:val="heading2"/>
    <w:basedOn w:val="Normal"/>
    <w:next w:val="Heading2"/>
    <w:rsid w:val="00010000"/>
    <w:pPr>
      <w:keepNext/>
      <w:keepLines/>
      <w:kinsoku/>
      <w:overflowPunct/>
      <w:autoSpaceDE/>
      <w:autoSpaceDN/>
      <w:adjustRightInd/>
      <w:snapToGrid/>
      <w:spacing w:before="80" w:after="80" w:line="240" w:lineRule="auto"/>
      <w:jc w:val="center"/>
    </w:pPr>
    <w:rPr>
      <w:rFonts w:eastAsia="Times New Roman"/>
      <w:b/>
      <w:bCs/>
      <w:spacing w:val="4"/>
      <w:w w:val="103"/>
      <w:kern w:val="14"/>
      <w:sz w:val="19"/>
      <w:szCs w:val="19"/>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A/CN.4/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D356D8F-C68A-E74A-A974-F483467E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5847</Words>
  <Characters>33332</Characters>
  <Application>Microsoft Office Word</Application>
  <DocSecurity>0</DocSecurity>
  <Lines>277</Lines>
  <Paragraphs>78</Paragraphs>
  <ScaleCrop>false</ScaleCrop>
  <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2</cp:revision>
  <dcterms:created xsi:type="dcterms:W3CDTF">2021-10-07T00:31:00Z</dcterms:created>
  <dcterms:modified xsi:type="dcterms:W3CDTF">2021-10-07T21:18:00Z</dcterms:modified>
</cp:coreProperties>
</file>